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933EB8"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Supplementary data</w:t>
      </w:r>
    </w:p>
    <w:p w14:paraId="78EF023F"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A Novel Nanomedicine for Osteosarcoma Treatment: Triggering Ferroptosis through GSH Depletion and Inhibition for Enhanced Synergistic PDT/PTT Therapy</w:t>
      </w:r>
    </w:p>
    <w:p w14:paraId="5CA45553">
      <w:pPr>
        <w:jc w:val="left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Tangbing Xu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a,b,1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，</w:t>
      </w:r>
      <w:r>
        <w:rPr>
          <w:rFonts w:hint="default" w:ascii="Times New Roman" w:hAnsi="Times New Roman" w:cs="Times New Roman"/>
          <w:sz w:val="24"/>
          <w:szCs w:val="24"/>
        </w:rPr>
        <w:t>Qiming Ma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a,1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Chi Zhang</w:t>
      </w:r>
      <w:r>
        <w:rPr>
          <w:rFonts w:hint="default" w:ascii="Times New Roman" w:hAnsi="Times New Roman" w:cs="Times New Roman"/>
          <w:color w:val="auto"/>
          <w:sz w:val="24"/>
          <w:szCs w:val="24"/>
          <w:vertAlign w:val="superscript"/>
          <w:lang w:val="en-US" w:eastAsia="zh-CN"/>
        </w:rPr>
        <w:t>a,b,1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，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Xiaoyan He</w:t>
      </w:r>
      <w:r>
        <w:rPr>
          <w:rFonts w:hint="default" w:ascii="Times New Roman" w:hAnsi="Times New Roman" w:cs="Times New Roman"/>
          <w:color w:val="auto"/>
          <w:sz w:val="24"/>
          <w:szCs w:val="24"/>
          <w:vertAlign w:val="superscript"/>
          <w:lang w:val="en-US" w:eastAsia="zh-CN"/>
        </w:rPr>
        <w:t>c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，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</w:rPr>
        <w:t>Qian Wang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vertAlign w:val="superscript"/>
          <w:lang w:val="en-US" w:eastAsia="zh-CN"/>
        </w:rPr>
        <w:t>e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>Yunfeng Wu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vertAlign w:val="superscript"/>
          <w:lang w:val="en-US" w:eastAsia="zh-CN"/>
        </w:rPr>
        <w:t>a,b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>，Kunpeng Qin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vertAlign w:val="superscript"/>
          <w:lang w:val="en-US" w:eastAsia="zh-CN"/>
        </w:rPr>
        <w:t>a,b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>，Faxue Liao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vertAlign w:val="superscript"/>
          <w:lang w:val="en-US" w:eastAsia="zh-CN"/>
        </w:rPr>
        <w:t>a,b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>，Ping Zhou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vertAlign w:val="superscript"/>
          <w:lang w:val="en-US" w:eastAsia="zh-CN"/>
        </w:rPr>
        <w:t>a,b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>，Pengfei Xu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vertAlign w:val="superscript"/>
          <w:lang w:val="en-US" w:eastAsia="zh-CN"/>
        </w:rPr>
        <w:t>a,b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>，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>Jialai Yang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vertAlign w:val="superscript"/>
          <w:lang w:val="en-US" w:eastAsia="zh-CN"/>
        </w:rPr>
        <w:t>f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vertAlign w:val="superscript"/>
          <w:lang w:val="en-US" w:eastAsia="zh-CN"/>
        </w:rPr>
        <w:t>,b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>Junjun Yang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vertAlign w:val="superscript"/>
          <w:lang w:val="en-US" w:eastAsia="zh-CN"/>
        </w:rPr>
        <w:t>a,b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>Jun Chang</w:t>
      </w:r>
      <w:r>
        <w:rPr>
          <w:rFonts w:hint="default" w:ascii="Times New Roman" w:hAnsi="Times New Roman" w:cs="Times New Roman"/>
          <w:kern w:val="0"/>
          <w:sz w:val="24"/>
          <w:szCs w:val="24"/>
          <w:vertAlign w:val="superscript"/>
          <w:lang w:val="en-US" w:eastAsia="zh-CN"/>
        </w:rPr>
        <w:t>a,b,***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Lei Qiao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d</w:t>
      </w:r>
      <w:r>
        <w:rPr>
          <w:rFonts w:hint="default" w:ascii="Times New Roman" w:hAnsi="Times New Roman" w:cs="Times New Roman"/>
          <w:kern w:val="0"/>
          <w:sz w:val="24"/>
          <w:szCs w:val="24"/>
          <w:vertAlign w:val="superscript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**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,Yong Hu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kern w:val="0"/>
          <w:sz w:val="24"/>
          <w:szCs w:val="24"/>
          <w:vertAlign w:val="superscript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*</w:t>
      </w:r>
    </w:p>
    <w:p w14:paraId="06B3364B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Department of Orthopaedics,</w:t>
      </w:r>
      <w:bookmarkStart w:id="0" w:name="_Hlk75339081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bookmarkEnd w:id="0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The First Affiliated Hospital of Anhui Medical University,Hefei 230022,China</w:t>
      </w:r>
    </w:p>
    <w:p w14:paraId="0BE2046F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Anhui Public Health Clinical Center,Heifei 230012,China</w:t>
      </w:r>
    </w:p>
    <w:p w14:paraId="1200932B"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vertAlign w:val="superscript"/>
          <w:lang w:val="en-US" w:eastAsia="zh-CN"/>
        </w:rPr>
        <w:t>c</w:t>
      </w: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School of Life Sciences Anhui Medical University Hefei 230032, China</w:t>
      </w:r>
    </w:p>
    <w:p w14:paraId="796CB12E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d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Department of Polymer Science and Engineering University of Science and Technology of China Hefei 230026, China</w:t>
      </w:r>
    </w:p>
    <w:p w14:paraId="21D34181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e</w:t>
      </w:r>
      <w:r>
        <w:rPr>
          <w:rFonts w:hint="default" w:ascii="Times New Roman" w:hAnsi="Times New Roman" w:cs="Times New Roman"/>
          <w:sz w:val="24"/>
          <w:szCs w:val="24"/>
        </w:rPr>
        <w:t>Department of Respiratory and Critical Care Medicine, The First Affiliated Hospital of Anhui Medical University, Hefei 230022, Anhui, China</w:t>
      </w:r>
    </w:p>
    <w:p w14:paraId="6415DF0B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>f</w:t>
      </w:r>
      <w:r>
        <w:rPr>
          <w:rFonts w:hint="default" w:ascii="Times New Roman" w:hAnsi="Times New Roman" w:cs="Times New Roman"/>
          <w:sz w:val="24"/>
          <w:szCs w:val="24"/>
        </w:rPr>
        <w:t xml:space="preserve">Department of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emergency</w:t>
      </w:r>
      <w:r>
        <w:rPr>
          <w:rFonts w:hint="default" w:ascii="Times New Roman" w:hAnsi="Times New Roman" w:cs="Times New Roman"/>
          <w:sz w:val="24"/>
          <w:szCs w:val="24"/>
        </w:rPr>
        <w:t>, The First Affiliated Hospital of Anhui Medical University, Hefei 230022, Anhui, China</w:t>
      </w:r>
    </w:p>
    <w:p w14:paraId="3792702E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Keywords:</w:t>
      </w:r>
      <w:r>
        <w:rPr>
          <w:rFonts w:hint="default" w:ascii="Times New Roman" w:hAnsi="Times New Roman" w:cs="Times New Roman"/>
          <w:sz w:val="24"/>
          <w:szCs w:val="24"/>
        </w:rPr>
        <w:t>carrier-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free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n</w:t>
      </w:r>
      <w:r>
        <w:rPr>
          <w:rFonts w:hint="default" w:ascii="Times New Roman" w:hAnsi="Times New Roman" w:cs="Times New Roman"/>
          <w:sz w:val="24"/>
          <w:szCs w:val="24"/>
        </w:rPr>
        <w:t>anomedicine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,o</w:t>
      </w:r>
      <w:r>
        <w:rPr>
          <w:rFonts w:hint="default" w:ascii="Times New Roman" w:hAnsi="Times New Roman" w:cs="Times New Roman"/>
          <w:sz w:val="24"/>
          <w:szCs w:val="24"/>
        </w:rPr>
        <w:t>steosarcoma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,f</w:t>
      </w:r>
      <w:r>
        <w:rPr>
          <w:rFonts w:hint="default" w:ascii="Times New Roman" w:hAnsi="Times New Roman" w:cs="Times New Roman"/>
          <w:sz w:val="24"/>
          <w:szCs w:val="24"/>
        </w:rPr>
        <w:t>erroptosis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</w:rPr>
        <w:t>PDT/PTTTherapy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</w:t>
      </w:r>
    </w:p>
    <w:p w14:paraId="392B76DF"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reactive oxygen species</w:t>
      </w:r>
    </w:p>
    <w:p w14:paraId="70D07C13">
      <w:pPr>
        <w:jc w:val="left"/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t xml:space="preserve">* Corresponding author. </w:t>
      </w:r>
    </w:p>
    <w:p w14:paraId="1492BE2A">
      <w:pPr>
        <w:jc w:val="left"/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t xml:space="preserve">** Corresponding author. </w:t>
      </w:r>
    </w:p>
    <w:p w14:paraId="4AB2F4B3">
      <w:pPr>
        <w:jc w:val="left"/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t>***Corresponding author.</w:t>
      </w:r>
    </w:p>
    <w:p w14:paraId="55F4B2FA">
      <w:pPr>
        <w:numPr>
          <w:ilvl w:val="0"/>
          <w:numId w:val="1"/>
        </w:numPr>
        <w:jc w:val="left"/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t xml:space="preserve">mail addresses: </w:t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instrText xml:space="preserve"> HYPERLINK "mailto:changjun_2008@hotmail.com" </w:instrText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t>changjun_2008@hotmail.com</w:t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fldChar w:fldCharType="end"/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t>（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>J. Chang</w:t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t>），Leiqiao@</w:t>
      </w:r>
      <w:r>
        <w:rPr>
          <w:rFonts w:hint="eastAsia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t>mail.ustc.edu.cn</w:t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t>（L. Qiao），</w:t>
      </w:r>
    </w:p>
    <w:p w14:paraId="7101BE6E">
      <w:pPr>
        <w:numPr>
          <w:ilvl w:val="0"/>
          <w:numId w:val="0"/>
        </w:numPr>
        <w:jc w:val="left"/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instrText xml:space="preserve"> HYPERLINK "mailto:hy.in163@163.com" </w:instrText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t>hy.in163@163.com</w:t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fldChar w:fldCharType="end"/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t>（Y. Hu）</w:t>
      </w:r>
    </w:p>
    <w:p w14:paraId="55540286">
      <w:pPr>
        <w:jc w:val="left"/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vertAlign w:val="superscript"/>
          <w:lang w:val="en-US" w:eastAsia="zh-CN"/>
        </w:rPr>
        <w:t xml:space="preserve">1 </w:t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/>
        </w:rPr>
        <w:t xml:space="preserve">These authors contributed equally to this work. </w:t>
      </w:r>
    </w:p>
    <w:p w14:paraId="13444C8E">
      <w:pPr>
        <w:spacing w:line="36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3956FAF8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232E0845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750EBF77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Experimental data</w:t>
      </w:r>
    </w:p>
    <w:p w14:paraId="5326A545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Materials</w:t>
      </w:r>
    </w:p>
    <w:p w14:paraId="47DCC8BD">
      <w:pPr>
        <w:jc w:val="both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vertAlign w:val="baseline"/>
          <w:lang w:val="en-US" w:eastAsia="zh-CN"/>
        </w:rPr>
        <w:t xml:space="preserve">Sorafenib and </w:t>
      </w:r>
      <w:r>
        <w:rPr>
          <w:rFonts w:hint="default" w:ascii="Times New Roman" w:hAnsi="Times New Roman" w:cs="Times New Roman"/>
          <w:sz w:val="24"/>
          <w:szCs w:val="24"/>
        </w:rPr>
        <w:t>Copper sulfate pentahydrate (CuSO4</w:t>
      </w:r>
      <w:r>
        <w:rPr>
          <w:rFonts w:hint="default" w:ascii="Times New Roman" w:hAnsi="Times New Roman" w:cs="Times New Roman"/>
          <w:b/>
          <w:bCs/>
          <w:sz w:val="24"/>
          <w:szCs w:val="24"/>
          <w:vertAlign w:val="superscript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>5H2O) w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ere</w:t>
      </w:r>
      <w:r>
        <w:rPr>
          <w:rFonts w:hint="default" w:ascii="Times New Roman" w:hAnsi="Times New Roman" w:cs="Times New Roman"/>
          <w:sz w:val="24"/>
          <w:szCs w:val="24"/>
        </w:rPr>
        <w:t xml:space="preserve"> purchased from Shanghai Macklin Biochemical Co., Ltd.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IR780 iodide was purchased from Guangzhou baiyun Biochemical Co.,dimethyl sulfoxide (DMSO) was purchased from Sigma−Aldrich (Beijing, China). (GSH) Colorimetric Assay Kit was supplied from Elabscience Biotechnology Co., Ltd.Reactive Oxygen Species Assay Kit and Calcein/PI Cell Viability/Cytotoxicity Assay Kit  were supplied  Beyotime Biotechnology (Shanghai, China).BODIPY™581/591(C11-BODIPY)was supplied from ThermoFisher Scientific.Phosphatebuffered saline (PBS), fetal bovine serum (FBS),  penicillin−streptomycin, trypsin ,and dulbecco's modified eagle's medium (DMEM), were purchased from Biological Industries Inc. The antibody of GAPDH was supplied from Cell Signaling Technology Inc. Anti- Glutathione Peroxidase 4 antibody and SLC7A11/xCT Polyclonal antibody were supplied from Wuhan sanying Biotechnology Co., Ltd.All other reagents were obtained from commercial suppliers and used as received.</w:t>
      </w:r>
    </w:p>
    <w:p w14:paraId="5F0114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Depletion of GSH</w:t>
      </w:r>
    </w:p>
    <w:p w14:paraId="112EAA9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Different amounts of Cu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2+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 (0,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,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2,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4,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8,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12,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16,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and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32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µg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mL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-1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)were added to the solution containing GSH (0.2 mM) and co-incubation for 30 min.Next, 25 µL of 5, 5’-dithiobis-2-nitrobenoic acid (DTNB) was added. An microplate reader was used to measure full absorption spectrums of different samples.The GSH was incubated with  CSIR (the concentration of Cu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2+ 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was 20µg mL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-1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)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for differ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ent time (0, 10, 20, 30, 40, 50, and 60 min) to detect the consumption of GSH .</w:t>
      </w:r>
    </w:p>
    <w:p w14:paraId="4C978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Cellular uptake of CSIR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br w:type="textWrapping"/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To investigate the cellular uptake,K7M2 cells were cultured in 6-well plates at a density of 1×10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5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 cells per well overnight and then incubated with the different treatments including ‘PBS’, ‘free Cu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2+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’, ‘free SRF’, ‘free IR780’, ‘free Cu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2+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+IR780’, ‘free SRF+IR780’, ‘free Cu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2+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+SRF+IR780’and CSIR for 6 h. After three more washes with PBS, the cells were analysed by flow cytometry.Next, laser scanning confocal microscopy (CLSM, Zeiss LSM800) was used to visualize the cellular uptake of the nanomedicine. </w:t>
      </w:r>
    </w:p>
    <w:p w14:paraId="6A15F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K7M2 cells were plated overnight in 35- mm mattek culture dishes. The cell culture media were replaced with fresh media containing ‘free Cu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2+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+ SRF+ IR780’ and CSIR (IR780 concentration was 10 μg/mL). After incubation for 12 h, the cells were washed with PBS for 3 times and the cells nuclei were stained with Hoechst 33342 (10 μg/mL) for 10 min. Finally, i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u w:val="none"/>
          <w:lang w:val="en-US" w:eastAsia="zh-CN"/>
        </w:rPr>
        <w:t>ntracellular IR780 (λex = 780 nm, λem =820 nm) and cells nuclei (λex = 346 nm, λem =460 nm) were imaged using CLSM.</w:t>
      </w:r>
    </w:p>
    <w:p w14:paraId="1C4B4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Western blot analysis</w:t>
      </w:r>
    </w:p>
    <w:p w14:paraId="5E59492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K7M2 cells were seeded in a 6 cm petri dish containing 2 mL DMEM medium, with 2 ×10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5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cells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per well and incubated at 37 °C for 24 h.the medium was replaced by fresh medium including ‘PBS’, ‘free Cu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2+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’, ‘free SRF’, ‘free IR780’, ‘free Cu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2+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+IR780’, ‘free SRF+IR780’, ‘free Cu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2+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+SRF+IR780’and CSIR (the concentration of Cu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2+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,SRF and IR780 were 20 μg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mL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-1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, 10 μg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mL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-1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, and 10 μg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mL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-1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, respectively).After incubation for 12 h, the cells were exposed to laser irradiation (1.2 W cm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-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) for 5 min. After 4 h incubation, cells were collected for protein extraction for western blotting.The total protein extracts were subjected to SDS-PAGE. After electrophoresis, the proteins were transferred to poly (vinylidene  fluoride) (PVDF) membranes (Millipore). To prevent non - specific binding, the sections were blocked  TBST (Trisbuffered saline with Tween-20) containing 5% milk for 1 h to prevent non - specific binding.Primary antibodies were incubated overnight at 4°C overnight and secondary antibodies at RT for one hour.The expressions of proteins were visualized using a chemiluminescence imaging analysis system (Tanon 5200, China).</w:t>
      </w:r>
    </w:p>
    <w:p w14:paraId="4D2E4B9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Immunohistochemical analysis</w:t>
      </w:r>
    </w:p>
    <w:p w14:paraId="4641C0A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the tumor sections were fixed in 4% paraformaldehyde for 20 min at room temperature ,and then a 5 mm thickness was cut off the samples after embedding them in paraffin.After washing in phosphate-buffered saline (PBS) with 0.05% Tween 20 (PBST), the sections were blocked with 2% bovine serum albumin (BSA, Sigma) and 0.1% Tween 20 for 1.5 h at 37 °C.Following incubation with primary antibody for 2h at 37°C in humidified chamber and then incubated with secondary antibody for 1h at 37°C in dark.Finally, the samples were analyzed with microscopy system.</w:t>
      </w:r>
    </w:p>
    <w:p w14:paraId="354B9624">
      <w:pPr>
        <w:jc w:val="both"/>
        <w:rPr>
          <w:rFonts w:hint="eastAsia"/>
          <w:b/>
          <w:bCs/>
          <w:lang w:val="en-US" w:eastAsia="zh-CN"/>
        </w:rPr>
      </w:pPr>
    </w:p>
    <w:p w14:paraId="5521E0E8">
      <w:pPr>
        <w:jc w:val="both"/>
        <w:rPr>
          <w:rFonts w:hint="eastAsia"/>
          <w:b/>
          <w:bCs/>
          <w:lang w:val="en-US" w:eastAsia="zh-CN"/>
        </w:rPr>
      </w:pPr>
    </w:p>
    <w:p w14:paraId="0FDCD60B">
      <w:pPr>
        <w:jc w:val="both"/>
        <w:rPr>
          <w:rFonts w:hint="eastAsia"/>
          <w:b/>
          <w:bCs/>
          <w:lang w:val="en-US" w:eastAsia="zh-CN"/>
        </w:rPr>
      </w:pPr>
    </w:p>
    <w:p w14:paraId="128ADA92">
      <w:pPr>
        <w:jc w:val="both"/>
        <w:rPr>
          <w:rFonts w:hint="eastAsia"/>
          <w:b/>
          <w:bCs/>
          <w:lang w:val="en-US" w:eastAsia="zh-CN"/>
        </w:rPr>
      </w:pPr>
    </w:p>
    <w:p w14:paraId="509EDB11">
      <w:pPr>
        <w:jc w:val="both"/>
        <w:rPr>
          <w:rFonts w:hint="eastAsia"/>
          <w:b/>
          <w:bCs/>
          <w:lang w:val="en-US" w:eastAsia="zh-CN"/>
        </w:rPr>
      </w:pPr>
    </w:p>
    <w:p w14:paraId="3B10360B">
      <w:pPr>
        <w:jc w:val="both"/>
        <w:rPr>
          <w:rFonts w:hint="eastAsia"/>
          <w:b/>
          <w:bCs/>
          <w:lang w:val="en-US" w:eastAsia="zh-CN"/>
        </w:rPr>
      </w:pPr>
    </w:p>
    <w:p w14:paraId="04F2E838">
      <w:pPr>
        <w:jc w:val="both"/>
        <w:rPr>
          <w:rFonts w:hint="eastAsia"/>
          <w:b/>
          <w:bCs/>
          <w:lang w:val="en-US" w:eastAsia="zh-CN"/>
        </w:rPr>
      </w:pPr>
    </w:p>
    <w:p w14:paraId="12556BFB">
      <w:pPr>
        <w:jc w:val="both"/>
        <w:rPr>
          <w:rFonts w:hint="eastAsia"/>
          <w:b/>
          <w:bCs/>
          <w:lang w:val="en-US" w:eastAsia="zh-CN"/>
        </w:rPr>
      </w:pPr>
    </w:p>
    <w:p w14:paraId="136FCDC9">
      <w:pPr>
        <w:jc w:val="both"/>
        <w:rPr>
          <w:rFonts w:hint="eastAsia"/>
          <w:b/>
          <w:bCs/>
          <w:lang w:val="en-US" w:eastAsia="zh-CN"/>
        </w:rPr>
      </w:pPr>
    </w:p>
    <w:p w14:paraId="38083E42">
      <w:pPr>
        <w:jc w:val="both"/>
        <w:rPr>
          <w:rFonts w:hint="eastAsia"/>
          <w:b/>
          <w:bCs/>
          <w:lang w:val="en-US" w:eastAsia="zh-CN"/>
        </w:rPr>
      </w:pPr>
    </w:p>
    <w:p w14:paraId="18B8B5A7">
      <w:pPr>
        <w:jc w:val="both"/>
        <w:rPr>
          <w:rFonts w:hint="eastAsia"/>
          <w:b/>
          <w:bCs/>
          <w:lang w:val="en-US" w:eastAsia="zh-CN"/>
        </w:rPr>
      </w:pPr>
    </w:p>
    <w:p w14:paraId="7A74F7C0">
      <w:pPr>
        <w:jc w:val="both"/>
        <w:rPr>
          <w:rFonts w:hint="eastAsia"/>
          <w:b/>
          <w:bCs/>
          <w:lang w:val="en-US" w:eastAsia="zh-CN"/>
        </w:rPr>
      </w:pPr>
    </w:p>
    <w:p w14:paraId="0F1F598C">
      <w:pPr>
        <w:jc w:val="both"/>
        <w:rPr>
          <w:rFonts w:hint="eastAsia"/>
          <w:b/>
          <w:bCs/>
          <w:lang w:val="en-US" w:eastAsia="zh-CN"/>
        </w:rPr>
      </w:pPr>
    </w:p>
    <w:p w14:paraId="20AE7C22">
      <w:pPr>
        <w:jc w:val="both"/>
        <w:rPr>
          <w:rFonts w:hint="eastAsia"/>
          <w:b/>
          <w:bCs/>
          <w:lang w:val="en-US" w:eastAsia="zh-CN"/>
        </w:rPr>
      </w:pPr>
    </w:p>
    <w:p w14:paraId="6C7E2524">
      <w:pPr>
        <w:jc w:val="both"/>
        <w:rPr>
          <w:rFonts w:hint="eastAsia"/>
          <w:b/>
          <w:bCs/>
          <w:lang w:val="en-US" w:eastAsia="zh-CN"/>
        </w:rPr>
      </w:pPr>
    </w:p>
    <w:p w14:paraId="4563CA07">
      <w:pPr>
        <w:jc w:val="both"/>
        <w:rPr>
          <w:rFonts w:hint="eastAsia"/>
          <w:b/>
          <w:bCs/>
          <w:lang w:val="en-US" w:eastAsia="zh-CN"/>
        </w:rPr>
      </w:pPr>
    </w:p>
    <w:p w14:paraId="585418BA">
      <w:pPr>
        <w:jc w:val="both"/>
        <w:rPr>
          <w:rFonts w:hint="eastAsia"/>
          <w:b/>
          <w:bCs/>
          <w:lang w:val="en-US" w:eastAsia="zh-CN"/>
        </w:rPr>
      </w:pPr>
    </w:p>
    <w:p w14:paraId="69889114">
      <w:pPr>
        <w:jc w:val="both"/>
        <w:rPr>
          <w:rFonts w:hint="eastAsia"/>
          <w:b/>
          <w:bCs/>
          <w:lang w:val="en-US" w:eastAsia="zh-CN"/>
        </w:rPr>
      </w:pPr>
    </w:p>
    <w:p w14:paraId="17ED7983">
      <w:pPr>
        <w:jc w:val="both"/>
        <w:rPr>
          <w:rFonts w:hint="eastAsia"/>
          <w:b/>
          <w:bCs/>
          <w:lang w:val="en-US" w:eastAsia="zh-CN"/>
        </w:rPr>
      </w:pPr>
    </w:p>
    <w:p w14:paraId="643EB39A">
      <w:pPr>
        <w:jc w:val="both"/>
        <w:rPr>
          <w:rFonts w:hint="eastAsia"/>
          <w:b/>
          <w:bCs/>
          <w:lang w:val="en-US" w:eastAsia="zh-CN"/>
        </w:rPr>
      </w:pPr>
    </w:p>
    <w:p w14:paraId="3EE21969">
      <w:pPr>
        <w:jc w:val="both"/>
        <w:rPr>
          <w:rFonts w:hint="eastAsia"/>
          <w:b/>
          <w:bCs/>
          <w:lang w:val="en-US" w:eastAsia="zh-CN"/>
        </w:rPr>
      </w:pPr>
    </w:p>
    <w:p w14:paraId="65FEF913">
      <w:p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drawing>
          <wp:inline distT="0" distB="0" distL="114300" distR="114300">
            <wp:extent cx="5271135" cy="4314825"/>
            <wp:effectExtent l="0" t="0" r="5715" b="0"/>
            <wp:docPr id="1" name="图片 1" descr="SI-111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I-111_画板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5240F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Fig.S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1</w:t>
      </w:r>
      <w:r>
        <w:rPr>
          <w:rFonts w:hint="default" w:ascii="Times New Roman" w:hAnsi="Times New Roman" w:cs="Times New Roman"/>
          <w:sz w:val="24"/>
          <w:szCs w:val="24"/>
        </w:rPr>
        <w:t xml:space="preserve">  a) Energy-dispersive X-ray spectroscopy (EDS) of CSIR. b) XPS full spectrum </w:t>
      </w:r>
    </w:p>
    <w:p w14:paraId="25A5DCDA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273675" cy="5984240"/>
            <wp:effectExtent l="0" t="0" r="3175" b="6985"/>
            <wp:docPr id="9" name="图片 9" descr="SI2-2-8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I2-2-8-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98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88925">
      <w:pP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</w:p>
    <w:p w14:paraId="59DF8596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Fig.S2</w:t>
      </w:r>
      <w:r>
        <w:rPr>
          <w:rFonts w:hint="default" w:ascii="Times New Roman" w:hAnsi="Times New Roman" w:cs="Times New Roman"/>
          <w:sz w:val="24"/>
          <w:szCs w:val="24"/>
        </w:rPr>
        <w:t xml:space="preserve"> XPS deconvoluted C1sa) spectra, F1s b), Cl2p c),I3d d), Cu2p3 e)and CuLMM f)spectra of CSIR</w:t>
      </w:r>
    </w:p>
    <w:p w14:paraId="0F0F58CB">
      <w:pPr>
        <w:rPr>
          <w:rFonts w:hint="default" w:ascii="Times New Roman" w:hAnsi="Times New Roman" w:cs="Times New Roman"/>
          <w:sz w:val="24"/>
          <w:szCs w:val="24"/>
        </w:rPr>
      </w:pPr>
    </w:p>
    <w:p w14:paraId="1BD84BFF">
      <w:pPr>
        <w:rPr>
          <w:rFonts w:hint="default" w:ascii="Times New Roman" w:hAnsi="Times New Roman" w:cs="Times New Roman"/>
          <w:sz w:val="24"/>
          <w:szCs w:val="24"/>
        </w:rPr>
      </w:pPr>
    </w:p>
    <w:p w14:paraId="6F5C75FF">
      <w:pPr>
        <w:rPr>
          <w:rFonts w:hint="default" w:ascii="Times New Roman" w:hAnsi="Times New Roman" w:cs="Times New Roman"/>
          <w:sz w:val="24"/>
          <w:szCs w:val="24"/>
        </w:rPr>
      </w:pPr>
    </w:p>
    <w:p w14:paraId="1BACB8C3">
      <w:pPr>
        <w:rPr>
          <w:rFonts w:hint="default" w:ascii="Times New Roman" w:hAnsi="Times New Roman" w:cs="Times New Roman"/>
          <w:sz w:val="24"/>
          <w:szCs w:val="24"/>
        </w:rPr>
      </w:pPr>
    </w:p>
    <w:p w14:paraId="26ADFF4C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271135" cy="1627505"/>
            <wp:effectExtent l="0" t="0" r="5715" b="1270"/>
            <wp:docPr id="2" name="图片 2" descr="Figure_S3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_S3_画板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62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9A2B4">
      <w:pP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Fig.S3 </w:t>
      </w:r>
      <w:r>
        <w:rPr>
          <w:rFonts w:hint="default" w:ascii="Times New Roman" w:hAnsi="Times New Roman" w:cs="Times New Roman"/>
          <w:sz w:val="24"/>
          <w:szCs w:val="24"/>
        </w:rPr>
        <w:t>a)CLSM and b)FCM analysis of red florescence in K7M2 cells after incubated with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“</w:t>
      </w:r>
      <w:r>
        <w:rPr>
          <w:rFonts w:hint="default" w:ascii="Times New Roman" w:hAnsi="Times New Roman" w:cs="Times New Roman"/>
          <w:sz w:val="24"/>
          <w:szCs w:val="24"/>
        </w:rPr>
        <w:t>PBS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”</w:t>
      </w:r>
      <w:r>
        <w:rPr>
          <w:rFonts w:hint="default" w:ascii="Times New Roman" w:hAnsi="Times New Roman" w:cs="Times New Roman"/>
          <w:sz w:val="24"/>
          <w:szCs w:val="24"/>
        </w:rPr>
        <w:t>,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“</w:t>
      </w:r>
      <w:r>
        <w:rPr>
          <w:rFonts w:hint="default" w:ascii="Times New Roman" w:hAnsi="Times New Roman" w:cs="Times New Roman"/>
          <w:sz w:val="24"/>
          <w:szCs w:val="24"/>
        </w:rPr>
        <w:t>Cu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hint="default" w:ascii="Times New Roman" w:hAnsi="Times New Roman" w:cs="Times New Roman"/>
          <w:sz w:val="24"/>
          <w:szCs w:val="24"/>
        </w:rPr>
        <w:t xml:space="preserve">+SRF+IR780” and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“</w:t>
      </w:r>
      <w:r>
        <w:rPr>
          <w:rFonts w:hint="default" w:ascii="Times New Roman" w:hAnsi="Times New Roman" w:cs="Times New Roman"/>
          <w:sz w:val="24"/>
          <w:szCs w:val="24"/>
        </w:rPr>
        <w:t>CSIR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”</w:t>
      </w:r>
      <w:r>
        <w:rPr>
          <w:rFonts w:hint="default" w:ascii="Times New Roman" w:hAnsi="Times New Roman" w:cs="Times New Roman"/>
          <w:sz w:val="24"/>
          <w:szCs w:val="24"/>
        </w:rPr>
        <w:t xml:space="preserve"> for 6 h, respectively. Scale bar: 10 µm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p w14:paraId="73629990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7027E597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2BA545BF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bookmarkStart w:id="1" w:name="_GoBack"/>
      <w:bookmarkEnd w:id="1"/>
    </w:p>
    <w:p w14:paraId="17A946D0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4541EC67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26065DC7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0D8F067D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70F95BB3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35AF8B19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24FBDFE1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54BA127E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7A21485A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271135" cy="4573905"/>
            <wp:effectExtent l="0" t="0" r="5715" b="7620"/>
            <wp:docPr id="4" name="图片 4" descr="SI-4ab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I-4ab_画板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57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2B8DA">
      <w:pP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Fig.S4</w:t>
      </w:r>
      <w:r>
        <w:rPr>
          <w:rFonts w:hint="default" w:ascii="Times New Roman" w:hAnsi="Times New Roman" w:cs="Times New Roman"/>
          <w:sz w:val="24"/>
          <w:szCs w:val="24"/>
        </w:rPr>
        <w:t xml:space="preserve">  a)Differential differences of the five genes enriched in the ferroptosis pathway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  <w:szCs w:val="24"/>
        </w:rPr>
        <w:t>b)The 10 genes with the most obvious differences in the difference analysis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p w14:paraId="2655D75A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105B711F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03B7B13F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28F704E9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2866F42A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50DD9C9B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042210EF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3050D7AF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206153BB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005C119C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1DFD3614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44900E14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271135" cy="1638300"/>
            <wp:effectExtent l="0" t="0" r="5715" b="0"/>
            <wp:docPr id="5" name="图片 5" descr="SI-5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I-5-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08178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Fig.S5  </w:t>
      </w:r>
      <w:r>
        <w:rPr>
          <w:rFonts w:hint="default" w:ascii="Times New Roman" w:hAnsi="Times New Roman" w:cs="Times New Roman"/>
          <w:sz w:val="24"/>
          <w:szCs w:val="24"/>
        </w:rPr>
        <w:t>Weight–curve changes in mice following various treatments.</w:t>
      </w:r>
    </w:p>
    <w:p w14:paraId="03229756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7351B46C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4B44C50D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4545002D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44262830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11596F21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40714039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58CB3C52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4DADAA5C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0BB512AB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1602205A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4345D756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0B273A6C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768E0D41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33159966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38BB02A0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2E2D46B7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739977D8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74A05A19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6FBF2CD9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34A4B466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35BFEE45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430BD769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11F8297A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490087FE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271135" cy="2107565"/>
            <wp:effectExtent l="0" t="0" r="5715" b="6985"/>
            <wp:docPr id="3" name="图片 3" descr="Figure_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_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0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EAFFC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Fig.S6  </w:t>
      </w:r>
      <w:r>
        <w:rPr>
          <w:rFonts w:hint="default" w:ascii="Times New Roman" w:hAnsi="Times New Roman" w:cs="Times New Roman"/>
          <w:sz w:val="24"/>
          <w:szCs w:val="24"/>
        </w:rPr>
        <w:t xml:space="preserve">H&amp;E staining of the major organs include heart, liver, spleen, lung, and </w:t>
      </w:r>
    </w:p>
    <w:p w14:paraId="3F7D75E6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kidney of different groups at 12th day post-treatment. Scale bars: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10</w:t>
      </w:r>
      <w:r>
        <w:rPr>
          <w:rFonts w:hint="default" w:ascii="Times New Roman" w:hAnsi="Times New Roman" w:cs="Times New Roman"/>
          <w:sz w:val="24"/>
          <w:szCs w:val="24"/>
        </w:rPr>
        <w:t>0 µm.</w:t>
      </w:r>
    </w:p>
    <w:p w14:paraId="00CBF490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4B5C2EE4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1EADD39F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4C4209C6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265B1BE4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02DE980A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58BA88BA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6783AB7B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2D60E738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013C9187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14990776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55122725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7CE6775B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4B2E9860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57CEC7DC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55EE5F46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428BF792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08EC453B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1FC49AC4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1E3199D0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</w:p>
    <w:p w14:paraId="499F75CF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178425" cy="4465320"/>
            <wp:effectExtent l="0" t="0" r="3175" b="1905"/>
            <wp:docPr id="6" name="图片 6" descr="Figure_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_S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78425" cy="446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74BD8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Fig.S7 </w:t>
      </w:r>
      <w:r>
        <w:rPr>
          <w:rFonts w:hint="default" w:ascii="Times New Roman" w:hAnsi="Times New Roman" w:cs="Times New Roman"/>
          <w:sz w:val="24"/>
          <w:szCs w:val="24"/>
        </w:rPr>
        <w:t xml:space="preserve">a) The hemolysis ratio induced by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CSIR </w:t>
      </w:r>
      <w:r>
        <w:rPr>
          <w:rFonts w:hint="default" w:ascii="Times New Roman" w:hAnsi="Times New Roman" w:cs="Times New Roman"/>
          <w:sz w:val="24"/>
          <w:szCs w:val="24"/>
        </w:rPr>
        <w:t xml:space="preserve">with different concentration. </w:t>
      </w:r>
    </w:p>
    <w:p w14:paraId="16826D9A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b) The images H2O, NaCl, and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CSIR</w:t>
      </w:r>
      <w:r>
        <w:rPr>
          <w:rFonts w:hint="default" w:ascii="Times New Roman" w:hAnsi="Times New Roman" w:cs="Times New Roman"/>
          <w:sz w:val="24"/>
          <w:szCs w:val="24"/>
        </w:rPr>
        <w:t xml:space="preserve"> at the concentration of 25-100 μg mL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hint="default" w:ascii="Times New Roman" w:hAnsi="Times New Roman" w:cs="Times New Roman"/>
          <w:sz w:val="24"/>
          <w:szCs w:val="24"/>
        </w:rPr>
        <w:t>before and after incubation with erythrocyte. c) Erythrocyte morphology was observed by inverted fluorescence microscope after incubation with different preparations for 6 h. Scale bar: 20 µm. Data were displayed as the mean ± SD (n = 3).</w:t>
      </w:r>
    </w:p>
    <w:p w14:paraId="7AD178AF">
      <w:pPr>
        <w:rPr>
          <w:rFonts w:hint="default" w:ascii="Times New Roman" w:hAnsi="Times New Roman" w:cs="Times New Roman"/>
          <w:sz w:val="24"/>
          <w:szCs w:val="24"/>
        </w:rPr>
      </w:pPr>
    </w:p>
    <w:p w14:paraId="0E961BDF">
      <w:pPr>
        <w:jc w:val="both"/>
        <w:rPr>
          <w:rFonts w:hint="eastAsia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906DA9"/>
    <w:multiLevelType w:val="singleLevel"/>
    <w:tmpl w:val="68906DA9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wMTkzMzI0ZDYyODMwNWEwNjA0YTVmMjcwOGUyM2QifQ=="/>
  </w:docVars>
  <w:rsids>
    <w:rsidRoot w:val="5C1F7FA2"/>
    <w:rsid w:val="045B5447"/>
    <w:rsid w:val="059B568B"/>
    <w:rsid w:val="062A62AD"/>
    <w:rsid w:val="065A51AD"/>
    <w:rsid w:val="06B918AD"/>
    <w:rsid w:val="06EC0CF1"/>
    <w:rsid w:val="0A7D7BBF"/>
    <w:rsid w:val="0D071725"/>
    <w:rsid w:val="104B2F7B"/>
    <w:rsid w:val="15AA7E8B"/>
    <w:rsid w:val="15D43180"/>
    <w:rsid w:val="18623888"/>
    <w:rsid w:val="18DA7886"/>
    <w:rsid w:val="1B8E4C8D"/>
    <w:rsid w:val="1E2D065D"/>
    <w:rsid w:val="2A1420B3"/>
    <w:rsid w:val="2BFA6B6D"/>
    <w:rsid w:val="3174071F"/>
    <w:rsid w:val="328C11FD"/>
    <w:rsid w:val="33532927"/>
    <w:rsid w:val="35110A93"/>
    <w:rsid w:val="39381E27"/>
    <w:rsid w:val="3DB96ED6"/>
    <w:rsid w:val="3DCE7F3D"/>
    <w:rsid w:val="3F44662B"/>
    <w:rsid w:val="40C12EBC"/>
    <w:rsid w:val="40DC1F08"/>
    <w:rsid w:val="43ED026C"/>
    <w:rsid w:val="47C06084"/>
    <w:rsid w:val="48F54058"/>
    <w:rsid w:val="4934533F"/>
    <w:rsid w:val="4A981A8C"/>
    <w:rsid w:val="4B6B6DE2"/>
    <w:rsid w:val="4E024E41"/>
    <w:rsid w:val="51BF7E0A"/>
    <w:rsid w:val="51EA524A"/>
    <w:rsid w:val="53197B79"/>
    <w:rsid w:val="56660C90"/>
    <w:rsid w:val="56C7494C"/>
    <w:rsid w:val="578C6440"/>
    <w:rsid w:val="5AF4294D"/>
    <w:rsid w:val="5BD11631"/>
    <w:rsid w:val="5C000C58"/>
    <w:rsid w:val="5C1F7FA2"/>
    <w:rsid w:val="5E394EDC"/>
    <w:rsid w:val="61534665"/>
    <w:rsid w:val="635E7AEC"/>
    <w:rsid w:val="63D32EFC"/>
    <w:rsid w:val="64CB2A8F"/>
    <w:rsid w:val="677130A1"/>
    <w:rsid w:val="6C431DF3"/>
    <w:rsid w:val="72B1108D"/>
    <w:rsid w:val="77087FD4"/>
    <w:rsid w:val="79330A4E"/>
    <w:rsid w:val="794B223C"/>
    <w:rsid w:val="7D9D7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994</Words>
  <Characters>5742</Characters>
  <Lines>0</Lines>
  <Paragraphs>0</Paragraphs>
  <TotalTime>3</TotalTime>
  <ScaleCrop>false</ScaleCrop>
  <LinksUpToDate>false</LinksUpToDate>
  <CharactersWithSpaces>6677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2024-06-17T12:28:00Z</dcterms:created>
  <dc:creator>许唐兵</dc:creator>
  <cp:lastModifiedBy>许唐兵</cp:lastModifiedBy>
  <dcterms:modified xsi:type="dcterms:W3CDTF">2024-11-03T22:20:57Z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F6362B050E984B7FBD1A05CBB2885ECB_11</vt:lpwstr>
  </property>
</Properties>
</file>