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F1646">
      <w:pPr>
        <w:spacing w:after="240" w:line="480" w:lineRule="auto"/>
        <w:jc w:val="center"/>
        <w:rPr>
          <w:rFonts w:eastAsia="宋体" w:cs="Times New Roman"/>
          <w:b/>
          <w:bCs/>
          <w:sz w:val="30"/>
          <w:szCs w:val="30"/>
          <w:highlight w:val="none"/>
        </w:rPr>
      </w:pPr>
      <w:r>
        <w:rPr>
          <w:rFonts w:eastAsia="宋体" w:cs="Times New Roman"/>
          <w:b/>
          <w:bCs/>
          <w:sz w:val="30"/>
          <w:szCs w:val="30"/>
          <w:highlight w:val="none"/>
        </w:rPr>
        <w:t>Supp</w:t>
      </w:r>
      <w:r>
        <w:rPr>
          <w:rFonts w:hint="eastAsia" w:eastAsia="宋体" w:cs="Times New Roman"/>
          <w:b/>
          <w:bCs/>
          <w:sz w:val="30"/>
          <w:szCs w:val="30"/>
          <w:highlight w:val="none"/>
        </w:rPr>
        <w:t>orting</w:t>
      </w:r>
      <w:r>
        <w:rPr>
          <w:rFonts w:eastAsia="宋体" w:cs="Times New Roman"/>
          <w:b/>
          <w:bCs/>
          <w:sz w:val="30"/>
          <w:szCs w:val="30"/>
          <w:highlight w:val="none"/>
        </w:rPr>
        <w:t xml:space="preserve"> Information</w:t>
      </w:r>
    </w:p>
    <w:p w14:paraId="555407AF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line="360" w:lineRule="auto"/>
        <w:ind w:firstLine="0"/>
        <w:textAlignment w:val="auto"/>
        <w:outlineLvl w:val="1"/>
        <w:rPr>
          <w:rFonts w:hint="eastAsia" w:ascii="Times New Roman" w:hAnsi="Times New Roman" w:eastAsiaTheme="minorEastAsia"/>
          <w:b/>
          <w:sz w:val="28"/>
          <w:szCs w:val="28"/>
        </w:rPr>
      </w:pPr>
      <w:r>
        <w:rPr>
          <w:rFonts w:hint="eastAsia" w:ascii="Times New Roman" w:hAnsi="Times New Roman" w:eastAsiaTheme="minorEastAsia"/>
          <w:b/>
          <w:sz w:val="28"/>
          <w:szCs w:val="28"/>
        </w:rPr>
        <w:t>Effects of Water-Sediment Regulation on spatial-temporal distribution of nutrients in the lower Yellow River</w:t>
      </w:r>
    </w:p>
    <w:p w14:paraId="574EC411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line="360" w:lineRule="auto"/>
        <w:ind w:firstLine="0"/>
        <w:textAlignment w:val="auto"/>
        <w:outlineLvl w:val="1"/>
        <w:rPr>
          <w:rFonts w:hint="default" w:ascii="Times New Roman" w:hAnsi="Times New Roman" w:eastAsia="黑体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/>
          <w:b/>
          <w:bCs/>
          <w:sz w:val="24"/>
          <w:szCs w:val="24"/>
          <w:lang w:val="en-US" w:eastAsia="zh-CN"/>
        </w:rPr>
        <w:t>Yimei Ying</w:t>
      </w:r>
      <w:r>
        <w:rPr>
          <w:rFonts w:hint="eastAsia" w:ascii="Times New Roman" w:hAnsi="Times New Roman" w:eastAsia="黑体"/>
          <w:sz w:val="24"/>
          <w:szCs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 w:eastAsia="黑体"/>
          <w:b/>
          <w:bCs/>
          <w:sz w:val="24"/>
          <w:szCs w:val="24"/>
        </w:rPr>
        <w:t xml:space="preserve">, </w:t>
      </w:r>
      <w:r>
        <w:rPr>
          <w:rFonts w:hint="eastAsia" w:ascii="Times New Roman" w:hAnsi="Times New Roman" w:eastAsia="黑体"/>
          <w:b/>
          <w:bCs/>
          <w:sz w:val="24"/>
          <w:szCs w:val="24"/>
          <w:lang w:val="en-US" w:eastAsia="zh-CN"/>
        </w:rPr>
        <w:t>Xu</w:t>
      </w:r>
      <w:r>
        <w:rPr>
          <w:rFonts w:hint="eastAsia" w:ascii="Times New Roman" w:hAnsi="Times New Roman" w:eastAsia="黑体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eastAsia="黑体"/>
          <w:b/>
          <w:bCs/>
          <w:sz w:val="24"/>
          <w:szCs w:val="24"/>
          <w:lang w:val="en-US" w:eastAsia="zh-CN"/>
        </w:rPr>
        <w:t>Wang</w:t>
      </w:r>
      <w:r>
        <w:rPr>
          <w:rFonts w:hint="eastAsia" w:eastAsia="黑体"/>
          <w:b/>
          <w:bCs/>
          <w:sz w:val="24"/>
          <w:szCs w:val="24"/>
          <w:vertAlign w:val="superscript"/>
          <w:lang w:val="en-US" w:eastAsia="zh-CN"/>
        </w:rPr>
        <w:t>a</w:t>
      </w:r>
      <w:r>
        <w:rPr>
          <w:rFonts w:eastAsia="黑体"/>
          <w:sz w:val="24"/>
          <w:szCs w:val="24"/>
          <w:vertAlign w:val="superscript"/>
        </w:rPr>
        <w:footnoteReference w:id="0" w:customMarkFollows="1"/>
        <w:sym w:font="Symbol" w:char="F02A"/>
      </w:r>
      <w:r>
        <w:rPr>
          <w:rFonts w:ascii="Times New Roman" w:hAnsi="Times New Roman" w:eastAsia="黑体"/>
          <w:b/>
          <w:bCs/>
          <w:sz w:val="24"/>
          <w:szCs w:val="24"/>
        </w:rPr>
        <w:t>,</w:t>
      </w:r>
      <w:r>
        <w:rPr>
          <w:rFonts w:hint="eastAsia" w:ascii="Times New Roman" w:hAnsi="Times New Roman" w:eastAsia="黑体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eastAsia="黑体"/>
          <w:b/>
          <w:bCs/>
          <w:sz w:val="24"/>
          <w:szCs w:val="24"/>
          <w:lang w:val="en-US" w:eastAsia="zh-CN"/>
        </w:rPr>
        <w:t>Men</w:t>
      </w:r>
      <w:bookmarkStart w:id="0" w:name="_GoBack"/>
      <w:bookmarkEnd w:id="0"/>
      <w:r>
        <w:rPr>
          <w:rFonts w:hint="eastAsia" w:ascii="Times New Roman" w:hAnsi="Times New Roman" w:eastAsia="黑体"/>
          <w:b/>
          <w:bCs/>
          <w:sz w:val="24"/>
          <w:szCs w:val="24"/>
          <w:lang w:val="en-US" w:eastAsia="zh-CN"/>
        </w:rPr>
        <w:t>g Shang</w:t>
      </w:r>
      <w:r>
        <w:rPr>
          <w:rFonts w:hint="eastAsia" w:ascii="Times New Roman" w:hAnsi="Times New Roman" w:eastAsia="黑体"/>
          <w:b w:val="0"/>
          <w:bCs w:val="0"/>
          <w:sz w:val="24"/>
          <w:szCs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 w:eastAsia="黑体"/>
          <w:b/>
          <w:bCs/>
          <w:sz w:val="24"/>
          <w:szCs w:val="24"/>
        </w:rPr>
        <w:t xml:space="preserve">, </w:t>
      </w:r>
      <w:r>
        <w:rPr>
          <w:rFonts w:hint="eastAsia" w:ascii="Times New Roman" w:hAnsi="Times New Roman" w:eastAsia="黑体"/>
          <w:b/>
          <w:bCs/>
          <w:sz w:val="24"/>
          <w:szCs w:val="24"/>
          <w:lang w:val="en-US" w:eastAsia="zh-CN"/>
        </w:rPr>
        <w:t>Xinrui</w:t>
      </w:r>
      <w:r>
        <w:rPr>
          <w:rFonts w:hint="eastAsia" w:ascii="Times New Roman" w:hAnsi="Times New Roman" w:eastAsia="黑体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eastAsia="黑体"/>
          <w:b/>
          <w:bCs/>
          <w:sz w:val="24"/>
          <w:szCs w:val="24"/>
          <w:lang w:val="en-US" w:eastAsia="zh-CN"/>
        </w:rPr>
        <w:t>Cun</w:t>
      </w:r>
      <w:r>
        <w:rPr>
          <w:rFonts w:hint="eastAsia" w:ascii="Times New Roman" w:hAnsi="Times New Roman" w:eastAsia="黑体"/>
          <w:b w:val="0"/>
          <w:bCs w:val="0"/>
          <w:sz w:val="24"/>
          <w:szCs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 w:eastAsia="黑体"/>
          <w:b/>
          <w:bCs/>
          <w:sz w:val="24"/>
          <w:szCs w:val="24"/>
        </w:rPr>
        <w:t xml:space="preserve">, </w:t>
      </w:r>
      <w:r>
        <w:rPr>
          <w:rFonts w:hint="eastAsia" w:ascii="Times New Roman" w:hAnsi="Times New Roman" w:eastAsia="黑体"/>
          <w:b/>
          <w:bCs/>
          <w:sz w:val="24"/>
          <w:szCs w:val="24"/>
          <w:lang w:val="en-US" w:eastAsia="zh-CN"/>
        </w:rPr>
        <w:t>Ruijie</w:t>
      </w:r>
      <w:r>
        <w:rPr>
          <w:rFonts w:hint="eastAsia" w:ascii="Times New Roman" w:hAnsi="Times New Roman" w:eastAsia="黑体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eastAsia="黑体"/>
          <w:b/>
          <w:bCs/>
          <w:sz w:val="24"/>
          <w:szCs w:val="24"/>
          <w:lang w:val="en-US" w:eastAsia="zh-CN"/>
        </w:rPr>
        <w:t>Hu</w:t>
      </w:r>
      <w:r>
        <w:rPr>
          <w:rFonts w:hint="eastAsia" w:ascii="Times New Roman" w:hAnsi="Times New Roman" w:eastAsia="黑体"/>
          <w:b/>
          <w:bCs/>
          <w:sz w:val="24"/>
          <w:szCs w:val="24"/>
        </w:rPr>
        <w:t>ang</w:t>
      </w:r>
      <w:r>
        <w:rPr>
          <w:rFonts w:hint="eastAsia" w:ascii="Times New Roman" w:hAnsi="Times New Roman" w:eastAsia="黑体"/>
          <w:b w:val="0"/>
          <w:bCs w:val="0"/>
          <w:sz w:val="24"/>
          <w:szCs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 w:eastAsia="黑体"/>
          <w:b/>
          <w:bCs/>
          <w:sz w:val="24"/>
          <w:szCs w:val="24"/>
        </w:rPr>
        <w:t>,</w:t>
      </w:r>
      <w:r>
        <w:rPr>
          <w:rFonts w:hint="eastAsia" w:ascii="Times New Roman" w:hAnsi="Times New Roman" w:eastAsia="黑体"/>
          <w:sz w:val="24"/>
          <w:szCs w:val="24"/>
        </w:rPr>
        <w:t xml:space="preserve"> </w:t>
      </w:r>
      <w:r>
        <w:rPr>
          <w:rFonts w:hint="eastAsia" w:ascii="Times New Roman" w:hAnsi="Times New Roman" w:eastAsia="黑体"/>
          <w:b/>
          <w:sz w:val="24"/>
          <w:szCs w:val="24"/>
          <w:lang w:val="en-US" w:eastAsia="zh-CN"/>
        </w:rPr>
        <w:t>Caili Su</w:t>
      </w:r>
      <w:r>
        <w:rPr>
          <w:rFonts w:hint="eastAsia" w:ascii="Times New Roman" w:hAnsi="Times New Roman" w:eastAsia="黑体"/>
          <w:b w:val="0"/>
          <w:bCs w:val="0"/>
          <w:sz w:val="24"/>
          <w:szCs w:val="24"/>
          <w:vertAlign w:val="superscript"/>
          <w:lang w:val="en-US" w:eastAsia="zh-CN"/>
        </w:rPr>
        <w:t>a</w:t>
      </w:r>
      <w:r>
        <w:rPr>
          <w:rFonts w:ascii="Times New Roman" w:hAnsi="Times New Roman" w:eastAsia="黑体"/>
          <w:b/>
          <w:sz w:val="24"/>
          <w:szCs w:val="24"/>
        </w:rPr>
        <w:t>,</w:t>
      </w:r>
      <w:r>
        <w:rPr>
          <w:rFonts w:eastAsia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 w:eastAsia="黑体"/>
          <w:b/>
          <w:sz w:val="24"/>
          <w:szCs w:val="24"/>
          <w:lang w:val="en-US" w:eastAsia="zh-CN"/>
        </w:rPr>
        <w:t>Bing Han</w:t>
      </w:r>
      <w:r>
        <w:rPr>
          <w:rFonts w:hint="eastAsia" w:ascii="Times New Roman" w:hAnsi="Times New Roman" w:eastAsia="黑体"/>
          <w:b w:val="0"/>
          <w:bCs/>
          <w:sz w:val="24"/>
          <w:szCs w:val="24"/>
          <w:vertAlign w:val="superscript"/>
          <w:lang w:val="en-US" w:eastAsia="zh-CN"/>
        </w:rPr>
        <w:t>b</w:t>
      </w:r>
      <w:r>
        <w:rPr>
          <w:rFonts w:eastAsia="黑体"/>
          <w:sz w:val="24"/>
          <w:szCs w:val="24"/>
          <w:vertAlign w:val="superscript"/>
        </w:rPr>
        <w:footnoteReference w:id="1" w:customMarkFollows="1"/>
        <w:sym w:font="Symbol" w:char="F02A"/>
      </w:r>
      <w:r>
        <w:rPr>
          <w:rFonts w:eastAsia="黑体"/>
          <w:sz w:val="24"/>
          <w:szCs w:val="24"/>
          <w:vertAlign w:val="superscript"/>
        </w:rPr>
        <w:footnoteReference w:id="2" w:customMarkFollows="1"/>
        <w:sym w:font="Symbol" w:char="F02A"/>
      </w:r>
      <w:r>
        <w:rPr>
          <w:rFonts w:hint="eastAsia" w:ascii="Times New Roman" w:hAnsi="Times New Roman" w:eastAsia="黑体"/>
          <w:b/>
          <w:bCs/>
          <w:sz w:val="24"/>
          <w:szCs w:val="24"/>
        </w:rPr>
        <w:t>,</w:t>
      </w:r>
      <w:r>
        <w:rPr>
          <w:rFonts w:hint="eastAsia" w:ascii="Times New Roman" w:hAnsi="Times New Roman" w:eastAsia="黑体"/>
          <w:b/>
          <w:bCs/>
          <w:sz w:val="24"/>
          <w:szCs w:val="24"/>
          <w:lang w:val="en-US" w:eastAsia="zh-CN"/>
        </w:rPr>
        <w:t>Qian Huang</w:t>
      </w:r>
      <w:r>
        <w:rPr>
          <w:rFonts w:hint="eastAsia" w:ascii="Times New Roman" w:hAnsi="Times New Roman" w:eastAsia="黑体"/>
          <w:sz w:val="24"/>
          <w:szCs w:val="24"/>
          <w:vertAlign w:val="superscript"/>
          <w:lang w:val="en-US" w:eastAsia="zh-CN"/>
        </w:rPr>
        <w:t>a</w:t>
      </w:r>
    </w:p>
    <w:p w14:paraId="1D46414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line="360" w:lineRule="auto"/>
        <w:ind w:left="0" w:leftChars="0" w:firstLine="0" w:firstLineChars="0"/>
        <w:textAlignment w:val="auto"/>
        <w:rPr>
          <w:rFonts w:ascii="Times New Roman" w:hAnsi="Times New Roman" w:eastAsia="Times New Roman"/>
          <w:sz w:val="21"/>
          <w:szCs w:val="21"/>
        </w:rPr>
      </w:pPr>
      <w:r>
        <w:rPr>
          <w:rFonts w:ascii="Times New Roman" w:hAnsi="Times New Roman" w:eastAsia="Times New Roman"/>
          <w:sz w:val="21"/>
          <w:szCs w:val="21"/>
        </w:rPr>
        <w:t xml:space="preserve">School of Environmental and Municipal Engineering, North China University of Water Resources and Electric </w:t>
      </w:r>
      <w:r>
        <w:rPr>
          <w:rFonts w:hint="eastAsia" w:eastAsia="宋体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eastAsia="Times New Roman"/>
          <w:sz w:val="21"/>
          <w:szCs w:val="21"/>
        </w:rPr>
        <w:t>Power, Zhengzhou 450011, China</w:t>
      </w:r>
    </w:p>
    <w:p w14:paraId="18D27BB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line="360" w:lineRule="auto"/>
        <w:ind w:left="0" w:leftChars="0" w:firstLine="0" w:firstLineChars="0"/>
        <w:textAlignment w:val="auto"/>
        <w:rPr>
          <w:rFonts w:ascii="Times New Roman" w:hAnsi="Times New Roman" w:eastAsia="Times New Roman"/>
          <w:sz w:val="21"/>
          <w:szCs w:val="21"/>
        </w:rPr>
      </w:pPr>
      <w:r>
        <w:rPr>
          <w:rFonts w:hint="eastAsia" w:ascii="Times New Roman" w:hAnsi="Times New Roman" w:eastAsia="Times New Roman"/>
          <w:sz w:val="21"/>
          <w:szCs w:val="21"/>
        </w:rPr>
        <w:t>Henan Key Laboratory of Ecological Environment Protection and Restoration of Yellow River Basin</w:t>
      </w:r>
      <w:r>
        <w:rPr>
          <w:rFonts w:ascii="Times New Roman" w:hAnsi="Times New Roman" w:eastAsia="Times New Roman"/>
          <w:sz w:val="21"/>
          <w:szCs w:val="21"/>
        </w:rPr>
        <w:t xml:space="preserve">, </w:t>
      </w:r>
      <w:r>
        <w:rPr>
          <w:rFonts w:hint="eastAsia" w:ascii="Times New Roman" w:hAnsi="Times New Roman" w:eastAsia="Times New Roman"/>
          <w:sz w:val="21"/>
          <w:szCs w:val="21"/>
          <w:lang w:val="en-US" w:eastAsia="zh-CN"/>
        </w:rPr>
        <w:t>Zhengzhou</w:t>
      </w:r>
      <w:r>
        <w:rPr>
          <w:rFonts w:ascii="Times New Roman" w:hAnsi="Times New Roman" w:eastAsia="Times New Roman"/>
          <w:sz w:val="21"/>
          <w:szCs w:val="21"/>
        </w:rPr>
        <w:t xml:space="preserve"> </w:t>
      </w:r>
      <w:r>
        <w:rPr>
          <w:rFonts w:hint="eastAsia" w:ascii="Times New Roman" w:hAnsi="Times New Roman" w:eastAsia="Times New Roman"/>
          <w:sz w:val="21"/>
          <w:szCs w:val="21"/>
          <w:lang w:val="en-US" w:eastAsia="zh-CN"/>
        </w:rPr>
        <w:t>450003</w:t>
      </w:r>
      <w:r>
        <w:rPr>
          <w:rFonts w:ascii="Times New Roman" w:hAnsi="Times New Roman" w:eastAsia="Times New Roman"/>
          <w:sz w:val="21"/>
          <w:szCs w:val="21"/>
        </w:rPr>
        <w:t>, China</w:t>
      </w:r>
    </w:p>
    <w:p w14:paraId="31EA7E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auto"/>
        <w:jc w:val="left"/>
        <w:textAlignment w:val="auto"/>
        <w:rPr>
          <w:rFonts w:eastAsia="宋体" w:cs="Times New Roman"/>
          <w:sz w:val="24"/>
          <w:szCs w:val="24"/>
          <w:highlight w:val="none"/>
          <w:lang w:val="en-GB"/>
        </w:rPr>
      </w:pPr>
    </w:p>
    <w:p w14:paraId="52383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eastAsia="宋体" w:cs="Times New Roman"/>
          <w:sz w:val="24"/>
          <w:szCs w:val="24"/>
          <w:highlight w:val="none"/>
          <w:lang w:val="en-GB"/>
        </w:rPr>
      </w:pPr>
      <w:r>
        <w:rPr>
          <w:rFonts w:eastAsia="宋体" w:cs="Times New Roman"/>
          <w:sz w:val="24"/>
          <w:szCs w:val="24"/>
          <w:highlight w:val="none"/>
          <w:lang w:val="en-GB"/>
        </w:rPr>
        <w:t>* Corresponding author:</w:t>
      </w:r>
    </w:p>
    <w:p w14:paraId="0C989A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Times New Roman"/>
          <w:b/>
          <w:bCs/>
          <w:sz w:val="22"/>
          <w:highlight w:val="none"/>
          <w:lang w:val="en-GB"/>
        </w:rPr>
      </w:pP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t>E-</w:t>
      </w:r>
      <w:r>
        <w:rPr>
          <w:rFonts w:eastAsia="宋体" w:cs="Times New Roman"/>
          <w:sz w:val="24"/>
          <w:szCs w:val="24"/>
          <w:highlight w:val="none"/>
          <w:lang w:val="en-GB"/>
        </w:rPr>
        <w:t xml:space="preserve">mail address: </w:t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instrText xml:space="preserve"> HYPERLINK "mailto:16638233609@163.com(Xu" </w:instrText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fldChar w:fldCharType="separate"/>
      </w:r>
      <w:r>
        <w:rPr>
          <w:rStyle w:val="8"/>
          <w:rFonts w:hint="eastAsia" w:eastAsia="宋体" w:cs="Times New Roman"/>
          <w:sz w:val="24"/>
          <w:szCs w:val="24"/>
          <w:highlight w:val="none"/>
          <w:lang w:val="en-US" w:eastAsia="zh-CN"/>
        </w:rPr>
        <w:t>16638233609</w:t>
      </w:r>
      <w:r>
        <w:rPr>
          <w:rStyle w:val="8"/>
          <w:rFonts w:eastAsia="宋体" w:cs="Times New Roman"/>
          <w:sz w:val="24"/>
          <w:szCs w:val="24"/>
          <w:highlight w:val="none"/>
          <w:lang w:val="en-GB"/>
        </w:rPr>
        <w:t>@</w:t>
      </w:r>
      <w:r>
        <w:rPr>
          <w:rStyle w:val="8"/>
          <w:rFonts w:hint="eastAsia" w:eastAsia="宋体" w:cs="Times New Roman"/>
          <w:sz w:val="24"/>
          <w:szCs w:val="24"/>
          <w:highlight w:val="none"/>
          <w:lang w:val="en-US" w:eastAsia="zh-CN"/>
        </w:rPr>
        <w:t>163.com (Xu</w:t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t xml:space="preserve"> Wang)</w:t>
      </w:r>
      <w:r>
        <w:rPr>
          <w:rFonts w:cs="Times New Roman"/>
          <w:b/>
          <w:bCs/>
          <w:sz w:val="22"/>
          <w:highlight w:val="none"/>
          <w:lang w:val="en-GB"/>
        </w:rPr>
        <w:t xml:space="preserve"> </w:t>
      </w:r>
    </w:p>
    <w:p w14:paraId="79B30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eastAsia="宋体" w:cs="Times New Roman"/>
          <w:sz w:val="24"/>
          <w:szCs w:val="24"/>
          <w:highlight w:val="none"/>
          <w:lang w:val="en-GB"/>
        </w:rPr>
      </w:pPr>
      <w:r>
        <w:rPr>
          <w:rFonts w:eastAsia="宋体" w:cs="Times New Roman"/>
          <w:sz w:val="24"/>
          <w:szCs w:val="24"/>
          <w:highlight w:val="none"/>
          <w:lang w:val="en-GB"/>
        </w:rPr>
        <w:t xml:space="preserve">** </w:t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t>Co-c</w:t>
      </w:r>
      <w:r>
        <w:rPr>
          <w:rFonts w:eastAsia="宋体" w:cs="Times New Roman"/>
          <w:sz w:val="24"/>
          <w:szCs w:val="24"/>
          <w:highlight w:val="none"/>
          <w:lang w:val="en-GB"/>
        </w:rPr>
        <w:t>orresponding author:</w:t>
      </w:r>
    </w:p>
    <w:p w14:paraId="69D86C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cs="Times New Roman"/>
          <w:b/>
          <w:bCs/>
          <w:sz w:val="22"/>
          <w:highlight w:val="none"/>
          <w:lang w:val="en-US"/>
        </w:rPr>
        <w:sectPr>
          <w:pgSz w:w="11906" w:h="16838"/>
          <w:pgMar w:top="1440" w:right="1077" w:bottom="1440" w:left="107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eastAsia="宋体" w:cs="Times New Roman"/>
          <w:sz w:val="24"/>
          <w:szCs w:val="24"/>
          <w:highlight w:val="none"/>
          <w:lang w:val="en-GB"/>
        </w:rPr>
        <w:t xml:space="preserve">E-mail address: </w:t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instrText xml:space="preserve"> HYPERLINK "mailto:16638233609@163.com(Bing" </w:instrText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fldChar w:fldCharType="separate"/>
      </w:r>
      <w:r>
        <w:rPr>
          <w:rStyle w:val="8"/>
          <w:rFonts w:hint="eastAsia" w:eastAsia="宋体" w:cs="Times New Roman"/>
          <w:sz w:val="24"/>
          <w:szCs w:val="24"/>
          <w:highlight w:val="none"/>
          <w:lang w:val="en-US" w:eastAsia="zh-CN"/>
        </w:rPr>
        <w:t>theluckydogs@126.com (Bing</w:t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t xml:space="preserve"> Han)</w:t>
      </w:r>
    </w:p>
    <w:p w14:paraId="160769BF">
      <w:pPr>
        <w:pStyle w:val="14"/>
        <w:spacing w:before="0" w:after="0"/>
        <w:jc w:val="center"/>
        <w:rPr>
          <w:rFonts w:ascii="Times New Roman" w:hAnsi="Times New Roman" w:eastAsia="宋体"/>
          <w:b/>
          <w:szCs w:val="24"/>
          <w:highlight w:val="none"/>
        </w:rPr>
      </w:pPr>
      <w:r>
        <w:rPr>
          <w:rFonts w:ascii="Times New Roman" w:hAnsi="Times New Roman" w:eastAsia="宋体"/>
          <w:b/>
          <w:szCs w:val="24"/>
          <w:highlight w:val="none"/>
        </w:rPr>
        <w:t>Caption of Supplemented Methods, Tables, and Figures:</w:t>
      </w:r>
    </w:p>
    <w:p w14:paraId="761F476D">
      <w:pPr>
        <w:spacing w:line="480" w:lineRule="auto"/>
        <w:rPr>
          <w:rFonts w:cs="Times New Roman"/>
          <w:b/>
          <w:bCs/>
          <w:sz w:val="24"/>
          <w:szCs w:val="24"/>
          <w:highlight w:val="none"/>
        </w:rPr>
      </w:pPr>
      <w:r>
        <w:rPr>
          <w:rFonts w:cs="Times New Roman"/>
          <w:b/>
          <w:bCs/>
          <w:sz w:val="24"/>
          <w:szCs w:val="24"/>
          <w:highlight w:val="none"/>
        </w:rPr>
        <w:t>2.1. Study area</w:t>
      </w:r>
    </w:p>
    <w:p w14:paraId="55280B11">
      <w:pPr>
        <w:spacing w:line="480" w:lineRule="auto"/>
        <w:rPr>
          <w:rFonts w:hint="eastAsia" w:cs="Times New Roman"/>
          <w:b/>
          <w:bCs/>
          <w:sz w:val="24"/>
          <w:szCs w:val="24"/>
          <w:highlight w:val="none"/>
        </w:rPr>
      </w:pPr>
      <w:r>
        <w:rPr>
          <w:rFonts w:hint="eastAsia" w:cs="Times New Roman"/>
          <w:b/>
          <w:bCs/>
          <w:sz w:val="24"/>
          <w:szCs w:val="24"/>
          <w:highlight w:val="none"/>
        </w:rPr>
        <w:t>3.2 Effects of WSRS on nitrogen and phosphorus fluxes</w:t>
      </w:r>
    </w:p>
    <w:p w14:paraId="1C6A3369">
      <w:pPr>
        <w:spacing w:line="480" w:lineRule="auto"/>
        <w:rPr>
          <w:rFonts w:hint="eastAsia" w:cs="Times New Roman"/>
          <w:b/>
          <w:bCs/>
          <w:sz w:val="24"/>
          <w:szCs w:val="24"/>
          <w:highlight w:val="none"/>
        </w:rPr>
      </w:pPr>
      <w:r>
        <w:rPr>
          <w:rFonts w:hint="eastAsia" w:cs="Times New Roman"/>
          <w:b/>
          <w:bCs/>
          <w:sz w:val="24"/>
          <w:szCs w:val="24"/>
          <w:highlight w:val="none"/>
        </w:rPr>
        <w:t>3.3 Evaluation of Nitrogen and Phosphorus in the LYR</w:t>
      </w:r>
    </w:p>
    <w:p w14:paraId="4D2841F1">
      <w:pPr>
        <w:spacing w:line="480" w:lineRule="auto"/>
        <w:rPr>
          <w:rFonts w:hint="eastAsia" w:cs="Times New Roman"/>
          <w:sz w:val="24"/>
          <w:szCs w:val="24"/>
          <w:highlight w:val="none"/>
          <w:lang w:val="en-US" w:eastAsia="zh-CN"/>
        </w:rPr>
      </w:pPr>
      <w:r>
        <w:rPr>
          <w:rFonts w:hint="eastAsia" w:cs="Times New Roman"/>
          <w:b/>
          <w:bCs/>
          <w:sz w:val="24"/>
          <w:szCs w:val="24"/>
          <w:highlight w:val="none"/>
          <w:lang w:val="en-GB"/>
        </w:rPr>
        <w:t>Table</w:t>
      </w:r>
      <w:r>
        <w:rPr>
          <w:rFonts w:cs="Times New Roman"/>
          <w:b/>
          <w:bCs/>
          <w:sz w:val="24"/>
          <w:szCs w:val="24"/>
          <w:highlight w:val="none"/>
          <w:lang w:val="en-GB"/>
        </w:rPr>
        <w:t xml:space="preserve"> </w:t>
      </w:r>
      <w:r>
        <w:rPr>
          <w:rFonts w:hint="eastAsia" w:cs="Times New Roman"/>
          <w:b/>
          <w:bCs/>
          <w:sz w:val="24"/>
          <w:szCs w:val="24"/>
          <w:highlight w:val="none"/>
          <w:lang w:val="en-GB"/>
        </w:rPr>
        <w:t>S</w:t>
      </w:r>
      <w:r>
        <w:rPr>
          <w:rFonts w:cs="Times New Roman"/>
          <w:b/>
          <w:bCs/>
          <w:sz w:val="24"/>
          <w:szCs w:val="24"/>
          <w:highlight w:val="none"/>
          <w:lang w:val="en-GB"/>
        </w:rPr>
        <w:t>1</w:t>
      </w:r>
      <w:r>
        <w:rPr>
          <w:rFonts w:hint="eastAsia" w:cs="Times New Roman"/>
          <w:b/>
          <w:bCs/>
          <w:sz w:val="24"/>
          <w:szCs w:val="24"/>
          <w:highlight w:val="none"/>
          <w:lang w:val="en-US" w:eastAsia="zh-CN"/>
        </w:rPr>
        <w:t>.</w:t>
      </w:r>
      <w:r>
        <w:rPr>
          <w:rFonts w:cs="Times New Roman"/>
          <w:sz w:val="24"/>
          <w:szCs w:val="24"/>
          <w:highlight w:val="none"/>
        </w:rPr>
        <w:t xml:space="preserve"> </w:t>
      </w:r>
      <w:r>
        <w:rPr>
          <w:rFonts w:hint="eastAsia" w:cs="Times New Roman"/>
          <w:sz w:val="24"/>
          <w:szCs w:val="24"/>
          <w:highlight w:val="none"/>
        </w:rPr>
        <w:t>Location information of sampling sites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.</w:t>
      </w:r>
    </w:p>
    <w:p w14:paraId="4958445A">
      <w:pPr>
        <w:spacing w:line="480" w:lineRule="auto"/>
        <w:rPr>
          <w:rFonts w:hint="eastAsia" w:cs="Times New Roman"/>
          <w:sz w:val="24"/>
          <w:szCs w:val="24"/>
          <w:highlight w:val="none"/>
        </w:rPr>
      </w:pPr>
      <w:r>
        <w:rPr>
          <w:rFonts w:hint="eastAsia" w:cs="Times New Roman"/>
          <w:b/>
          <w:bCs/>
          <w:sz w:val="24"/>
          <w:szCs w:val="24"/>
          <w:highlight w:val="none"/>
          <w:lang w:val="en-GB"/>
        </w:rPr>
        <w:t>Table</w:t>
      </w:r>
      <w:r>
        <w:rPr>
          <w:rFonts w:cs="Times New Roman"/>
          <w:b/>
          <w:bCs/>
          <w:sz w:val="24"/>
          <w:szCs w:val="24"/>
          <w:highlight w:val="none"/>
          <w:lang w:val="en-GB"/>
        </w:rPr>
        <w:t xml:space="preserve"> </w:t>
      </w:r>
      <w:r>
        <w:rPr>
          <w:rFonts w:hint="eastAsia" w:cs="Times New Roman"/>
          <w:b/>
          <w:bCs/>
          <w:sz w:val="24"/>
          <w:szCs w:val="24"/>
          <w:highlight w:val="none"/>
          <w:lang w:val="en-GB"/>
        </w:rPr>
        <w:t>S</w:t>
      </w:r>
      <w:r>
        <w:rPr>
          <w:rFonts w:hint="eastAsia" w:cs="Times New Roman"/>
          <w:b/>
          <w:bCs/>
          <w:sz w:val="24"/>
          <w:szCs w:val="24"/>
          <w:highlight w:val="none"/>
          <w:lang w:val="en-US" w:eastAsia="zh-CN"/>
        </w:rPr>
        <w:t>2.</w:t>
      </w:r>
      <w:r>
        <w:rPr>
          <w:rFonts w:cs="Times New Roman"/>
          <w:sz w:val="24"/>
          <w:szCs w:val="24"/>
          <w:highlight w:val="none"/>
        </w:rPr>
        <w:t xml:space="preserve"> </w:t>
      </w:r>
      <w:r>
        <w:rPr>
          <w:rFonts w:hint="eastAsia" w:cs="Times New Roman"/>
          <w:sz w:val="24"/>
          <w:szCs w:val="24"/>
          <w:highlight w:val="none"/>
        </w:rPr>
        <w:t>Common time-period flux algorithm.</w:t>
      </w:r>
    </w:p>
    <w:p w14:paraId="2D363884">
      <w:pPr>
        <w:spacing w:line="480" w:lineRule="auto"/>
        <w:rPr>
          <w:rFonts w:hint="eastAsia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cs="Times New Roman"/>
          <w:b/>
          <w:bCs/>
          <w:sz w:val="24"/>
          <w:szCs w:val="24"/>
          <w:highlight w:val="none"/>
          <w:lang w:val="en-GB"/>
        </w:rPr>
        <w:t>Table</w:t>
      </w:r>
      <w:r>
        <w:rPr>
          <w:rFonts w:cs="Times New Roman"/>
          <w:b/>
          <w:bCs/>
          <w:sz w:val="24"/>
          <w:szCs w:val="24"/>
          <w:highlight w:val="none"/>
          <w:lang w:val="en-GB"/>
        </w:rPr>
        <w:t xml:space="preserve"> </w:t>
      </w:r>
      <w:r>
        <w:rPr>
          <w:rFonts w:hint="eastAsia" w:cs="Times New Roman"/>
          <w:b/>
          <w:bCs/>
          <w:sz w:val="24"/>
          <w:szCs w:val="24"/>
          <w:highlight w:val="none"/>
          <w:lang w:val="en-GB"/>
        </w:rPr>
        <w:t>S</w:t>
      </w:r>
      <w:r>
        <w:rPr>
          <w:rFonts w:hint="eastAsia" w:cs="Times New Roman"/>
          <w:b/>
          <w:bCs/>
          <w:sz w:val="24"/>
          <w:szCs w:val="24"/>
          <w:highlight w:val="none"/>
          <w:lang w:val="en-US" w:eastAsia="zh-CN"/>
        </w:rPr>
        <w:t xml:space="preserve">3. </w:t>
      </w:r>
      <w:r>
        <w:rPr>
          <w:rFonts w:hint="eastAsia" w:cs="Times New Roman"/>
          <w:b w:val="0"/>
          <w:bCs w:val="0"/>
          <w:sz w:val="24"/>
          <w:szCs w:val="24"/>
          <w:highlight w:val="none"/>
          <w:lang w:val="en-US" w:eastAsia="zh-CN"/>
        </w:rPr>
        <w:t>Environmental quality standards for surface water standard limits for basic items(mg·L</w:t>
      </w:r>
      <w:r>
        <w:rPr>
          <w:rFonts w:hint="eastAsia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</w:rPr>
        <w:t>-1</w:t>
      </w:r>
      <w:r>
        <w:rPr>
          <w:rFonts w:hint="eastAsia" w:cs="Times New Roman"/>
          <w:b w:val="0"/>
          <w:bCs w:val="0"/>
          <w:sz w:val="24"/>
          <w:szCs w:val="24"/>
          <w:highlight w:val="none"/>
          <w:lang w:val="en-US" w:eastAsia="zh-CN"/>
        </w:rPr>
        <w:t>)</w:t>
      </w:r>
    </w:p>
    <w:p w14:paraId="4DD52B6E">
      <w:pPr>
        <w:spacing w:line="480" w:lineRule="auto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</w:pPr>
      <w:r>
        <w:rPr>
          <w:rFonts w:hint="eastAsia"/>
          <w:b/>
          <w:sz w:val="24"/>
          <w:szCs w:val="24"/>
          <w:highlight w:val="none"/>
          <w:lang w:val="en-US" w:eastAsia="zh-CN"/>
        </w:rPr>
        <w:t xml:space="preserve">Table S4. </w:t>
      </w:r>
      <w:r>
        <w:rPr>
          <w:rFonts w:hint="eastAsia"/>
          <w:b w:val="0"/>
          <w:bCs/>
          <w:sz w:val="24"/>
          <w:szCs w:val="24"/>
          <w:highlight w:val="none"/>
        </w:rPr>
        <w:t>Temperature and pH-dependent values of the LWQC</w:t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/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  <w:t>(</w:t>
      </w:r>
      <w:r>
        <w:rPr>
          <w:rFonts w:hint="eastAsia" w:cs="Times New Roman"/>
          <w:b w:val="0"/>
          <w:bCs w:val="0"/>
          <w:sz w:val="24"/>
          <w:szCs w:val="24"/>
          <w:highlight w:val="none"/>
          <w:lang w:val="en-US" w:eastAsia="zh-CN"/>
        </w:rPr>
        <w:t>mg·L</w:t>
      </w:r>
      <w:r>
        <w:rPr>
          <w:rFonts w:hint="eastAsia" w:cs="Times New Roman"/>
          <w:b w:val="0"/>
          <w:bCs w:val="0"/>
          <w:sz w:val="24"/>
          <w:szCs w:val="24"/>
          <w:highlight w:val="none"/>
          <w:vertAlign w:val="superscript"/>
          <w:lang w:val="en-US" w:eastAsia="zh-CN"/>
        </w:rPr>
        <w:t>-1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  <w:t>)</w:t>
      </w:r>
      <w:r>
        <w:rPr>
          <w:rFonts w:hint="eastAsia" w:eastAsia="宋体" w:cs="Times New Roman"/>
          <w:i w:val="0"/>
          <w:iCs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  <w:t>.</w:t>
      </w:r>
    </w:p>
    <w:p w14:paraId="6E60A620">
      <w:pPr>
        <w:spacing w:line="480" w:lineRule="auto"/>
        <w:rPr>
          <w:rFonts w:cs="Times New Roman"/>
          <w:b/>
          <w:bCs/>
          <w:sz w:val="24"/>
          <w:szCs w:val="24"/>
          <w:highlight w:val="none"/>
          <w:lang w:val="en-GB"/>
        </w:rPr>
      </w:pPr>
    </w:p>
    <w:p w14:paraId="5364817E">
      <w:pPr>
        <w:rPr>
          <w:rFonts w:cs="Times New Roman"/>
          <w:b/>
          <w:bCs/>
          <w:sz w:val="22"/>
          <w:highlight w:val="none"/>
        </w:rPr>
        <w:sectPr>
          <w:pgSz w:w="11906" w:h="16838"/>
          <w:pgMar w:top="1440" w:right="1080" w:bottom="1440" w:left="10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47933B5C">
      <w:pPr>
        <w:spacing w:line="480" w:lineRule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  <w:r>
        <w:rPr>
          <w:rFonts w:cs="Times New Roman"/>
          <w:b/>
          <w:bCs/>
          <w:i/>
          <w:iCs/>
          <w:sz w:val="24"/>
          <w:szCs w:val="24"/>
          <w:highlight w:val="none"/>
        </w:rPr>
        <w:t>2.1. Study area</w:t>
      </w:r>
    </w:p>
    <w:p w14:paraId="23117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cs="Times New Roman" w:eastAsiaTheme="minorEastAsia"/>
          <w:sz w:val="24"/>
          <w:szCs w:val="24"/>
          <w:highlight w:val="none"/>
          <w:lang w:val="en-US" w:eastAsia="zh-CN"/>
        </w:rPr>
      </w:pPr>
      <w:r>
        <w:rPr>
          <w:rFonts w:cs="Times New Roman"/>
          <w:b/>
          <w:bCs/>
          <w:sz w:val="24"/>
          <w:szCs w:val="24"/>
          <w:highlight w:val="none"/>
        </w:rPr>
        <w:t>Table S1.</w:t>
      </w:r>
      <w:r>
        <w:rPr>
          <w:rFonts w:hint="eastAsia" w:cs="Times New Roman"/>
          <w:sz w:val="24"/>
          <w:szCs w:val="24"/>
          <w:highlight w:val="none"/>
        </w:rPr>
        <w:t xml:space="preserve"> Location information of sampling sites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.</w:t>
      </w:r>
    </w:p>
    <w:tbl>
      <w:tblPr>
        <w:tblStyle w:val="5"/>
        <w:tblpPr w:leftFromText="180" w:rightFromText="180" w:vertAnchor="text" w:horzAnchor="page" w:tblpXSpec="center" w:tblpY="307"/>
        <w:tblOverlap w:val="never"/>
        <w:tblW w:w="4994" w:type="pct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3721"/>
        <w:gridCol w:w="2733"/>
        <w:gridCol w:w="2029"/>
      </w:tblGrid>
      <w:tr w14:paraId="2BC269E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737" w:type="pct"/>
            <w:tcBorders>
              <w:top w:val="single" w:color="auto" w:sz="8" w:space="0"/>
              <w:bottom w:val="single" w:color="auto" w:sz="4" w:space="0"/>
            </w:tcBorders>
          </w:tcPr>
          <w:p w14:paraId="53A243E2">
            <w:pPr>
              <w:jc w:val="center"/>
              <w:rPr>
                <w:rFonts w:hint="default" w:cs="Times New Roman"/>
                <w:sz w:val="22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ite code</w:t>
            </w:r>
          </w:p>
        </w:tc>
        <w:tc>
          <w:tcPr>
            <w:tcW w:w="1869" w:type="pct"/>
            <w:tcBorders>
              <w:top w:val="single" w:color="auto" w:sz="8" w:space="0"/>
              <w:bottom w:val="single" w:color="auto" w:sz="4" w:space="0"/>
            </w:tcBorders>
          </w:tcPr>
          <w:p w14:paraId="5F7720E0">
            <w:pPr>
              <w:jc w:val="center"/>
              <w:rPr>
                <w:rFonts w:cs="Times New Roman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ite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73" w:type="pct"/>
            <w:tcBorders>
              <w:top w:val="single" w:color="auto" w:sz="8" w:space="0"/>
              <w:bottom w:val="single" w:color="auto" w:sz="4" w:space="0"/>
            </w:tcBorders>
          </w:tcPr>
          <w:p w14:paraId="069FF879">
            <w:pPr>
              <w:jc w:val="center"/>
              <w:rPr>
                <w:rFonts w:hint="default" w:cs="Times New Roman" w:eastAsiaTheme="minorEastAsia"/>
                <w:sz w:val="22"/>
                <w:highlight w:val="none"/>
                <w:lang w:val="en-US" w:eastAsia="zh-CN"/>
              </w:rPr>
            </w:pPr>
            <w:r>
              <w:rPr>
                <w:rFonts w:cs="Times New Roman"/>
                <w:sz w:val="22"/>
                <w:highlight w:val="none"/>
              </w:rPr>
              <w:t>Latitude</w:t>
            </w:r>
            <w:r>
              <w:rPr>
                <w:rFonts w:hint="eastAsia" w:cs="Times New Roman"/>
                <w:sz w:val="22"/>
                <w:highlight w:val="none"/>
                <w:lang w:val="en-US" w:eastAsia="zh-CN"/>
              </w:rPr>
              <w:t>(°E)</w:t>
            </w:r>
          </w:p>
        </w:tc>
        <w:tc>
          <w:tcPr>
            <w:tcW w:w="1019" w:type="pct"/>
            <w:tcBorders>
              <w:top w:val="single" w:color="auto" w:sz="8" w:space="0"/>
              <w:bottom w:val="single" w:color="auto" w:sz="4" w:space="0"/>
            </w:tcBorders>
          </w:tcPr>
          <w:p w14:paraId="2228E469">
            <w:pPr>
              <w:jc w:val="center"/>
              <w:rPr>
                <w:rFonts w:cs="Times New Roman"/>
                <w:sz w:val="22"/>
                <w:highlight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atitude</w:t>
            </w:r>
            <w:r>
              <w:rPr>
                <w:rFonts w:hint="eastAsia" w:cs="Times New Roman"/>
                <w:sz w:val="22"/>
                <w:highlight w:val="none"/>
                <w:lang w:val="en-US" w:eastAsia="zh-CN"/>
              </w:rPr>
              <w:t>(°N)</w:t>
            </w:r>
          </w:p>
        </w:tc>
      </w:tr>
      <w:tr w14:paraId="4EFD782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37" w:type="pct"/>
            <w:noWrap/>
            <w:vAlign w:val="center"/>
          </w:tcPr>
          <w:p w14:paraId="38D32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YR1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#</w:t>
            </w:r>
          </w:p>
        </w:tc>
        <w:tc>
          <w:tcPr>
            <w:tcW w:w="1869" w:type="pct"/>
            <w:vAlign w:val="center"/>
          </w:tcPr>
          <w:p w14:paraId="7B6BE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Xixia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yuan</w:t>
            </w:r>
          </w:p>
        </w:tc>
        <w:tc>
          <w:tcPr>
            <w:tcW w:w="1373" w:type="pct"/>
            <w:vAlign w:val="center"/>
          </w:tcPr>
          <w:p w14:paraId="5D417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112.547336 </w:t>
            </w:r>
          </w:p>
        </w:tc>
        <w:tc>
          <w:tcPr>
            <w:tcW w:w="1019" w:type="pct"/>
            <w:vAlign w:val="center"/>
          </w:tcPr>
          <w:p w14:paraId="6CDB2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34.873544 </w:t>
            </w:r>
          </w:p>
        </w:tc>
      </w:tr>
      <w:tr w14:paraId="3813D23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37" w:type="pct"/>
            <w:noWrap/>
            <w:vAlign w:val="center"/>
          </w:tcPr>
          <w:p w14:paraId="70477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YR2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#</w:t>
            </w:r>
          </w:p>
        </w:tc>
        <w:tc>
          <w:tcPr>
            <w:tcW w:w="1869" w:type="pct"/>
            <w:vAlign w:val="center"/>
          </w:tcPr>
          <w:p w14:paraId="05C30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eastAsia="等线" w:cs="Times New Roman"/>
                <w:kern w:val="0"/>
                <w:sz w:val="22"/>
                <w:highlight w:val="none"/>
                <w:lang w:val="en-US"/>
              </w:rPr>
            </w:pPr>
            <w:r>
              <w:rPr>
                <w:rFonts w:hint="eastAsia"/>
                <w:highlight w:val="none"/>
              </w:rPr>
              <w:t>Upstream</w:t>
            </w:r>
            <w:r>
              <w:rPr>
                <w:rFonts w:hint="eastAsia"/>
                <w:highlight w:val="none"/>
                <w:lang w:val="en-US" w:eastAsia="zh-CN"/>
              </w:rPr>
              <w:t xml:space="preserve"> of Yiluo River </w:t>
            </w:r>
            <w:r>
              <w:t xml:space="preserve">confluence </w:t>
            </w:r>
          </w:p>
        </w:tc>
        <w:tc>
          <w:tcPr>
            <w:tcW w:w="1373" w:type="pct"/>
            <w:vAlign w:val="center"/>
          </w:tcPr>
          <w:p w14:paraId="152C4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113.056965 </w:t>
            </w:r>
          </w:p>
        </w:tc>
        <w:tc>
          <w:tcPr>
            <w:tcW w:w="1019" w:type="pct"/>
            <w:vAlign w:val="center"/>
          </w:tcPr>
          <w:p w14:paraId="60ABC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34.836000 </w:t>
            </w:r>
          </w:p>
        </w:tc>
      </w:tr>
      <w:tr w14:paraId="401CB05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37" w:type="pct"/>
            <w:noWrap/>
            <w:vAlign w:val="center"/>
          </w:tcPr>
          <w:p w14:paraId="6A77F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YR3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#</w:t>
            </w:r>
          </w:p>
        </w:tc>
        <w:tc>
          <w:tcPr>
            <w:tcW w:w="1869" w:type="pct"/>
            <w:vAlign w:val="center"/>
          </w:tcPr>
          <w:p w14:paraId="2F750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eastAsia="等线" w:cs="Times New Roman"/>
                <w:kern w:val="0"/>
                <w:sz w:val="22"/>
                <w:highlight w:val="none"/>
                <w:lang w:val="en-US"/>
              </w:rPr>
            </w:pPr>
            <w:r>
              <w:rPr>
                <w:rFonts w:hint="eastAsia"/>
                <w:highlight w:val="none"/>
                <w:lang w:val="en-US" w:eastAsia="zh-CN"/>
              </w:rPr>
              <w:t>D</w:t>
            </w:r>
            <w:r>
              <w:rPr>
                <w:rFonts w:hint="eastAsia"/>
                <w:highlight w:val="none"/>
              </w:rPr>
              <w:t>ownstream</w:t>
            </w:r>
            <w:r>
              <w:rPr>
                <w:rFonts w:hint="eastAsia"/>
                <w:highlight w:val="none"/>
                <w:lang w:val="en-US" w:eastAsia="zh-CN"/>
              </w:rPr>
              <w:t xml:space="preserve"> of Yiluo River </w:t>
            </w:r>
            <w:r>
              <w:t xml:space="preserve">confluence </w:t>
            </w:r>
          </w:p>
        </w:tc>
        <w:tc>
          <w:tcPr>
            <w:tcW w:w="1373" w:type="pct"/>
            <w:vAlign w:val="center"/>
          </w:tcPr>
          <w:p w14:paraId="436C8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113.171679 </w:t>
            </w:r>
          </w:p>
        </w:tc>
        <w:tc>
          <w:tcPr>
            <w:tcW w:w="1019" w:type="pct"/>
            <w:vAlign w:val="center"/>
          </w:tcPr>
          <w:p w14:paraId="3A06A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34.844721 </w:t>
            </w:r>
          </w:p>
        </w:tc>
      </w:tr>
      <w:tr w14:paraId="60E5E0F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37" w:type="pct"/>
            <w:noWrap/>
            <w:vAlign w:val="center"/>
          </w:tcPr>
          <w:p w14:paraId="3C4B5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YR4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#</w:t>
            </w:r>
          </w:p>
        </w:tc>
        <w:tc>
          <w:tcPr>
            <w:tcW w:w="1869" w:type="pct"/>
            <w:vAlign w:val="center"/>
          </w:tcPr>
          <w:p w14:paraId="14697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eastAsia"/>
                <w:lang w:val="en-US" w:eastAsia="zh-CN"/>
              </w:rPr>
              <w:t>D</w:t>
            </w:r>
            <w:r>
              <w:t>ownstream of the Qin River confluence</w:t>
            </w:r>
          </w:p>
        </w:tc>
        <w:tc>
          <w:tcPr>
            <w:tcW w:w="1373" w:type="pct"/>
            <w:vAlign w:val="center"/>
          </w:tcPr>
          <w:p w14:paraId="1B3AF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113.483854 </w:t>
            </w:r>
          </w:p>
        </w:tc>
        <w:tc>
          <w:tcPr>
            <w:tcW w:w="1019" w:type="pct"/>
            <w:vAlign w:val="center"/>
          </w:tcPr>
          <w:p w14:paraId="42AD8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34.963627 </w:t>
            </w:r>
          </w:p>
        </w:tc>
      </w:tr>
      <w:tr w14:paraId="5F09344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37" w:type="pct"/>
            <w:noWrap/>
            <w:vAlign w:val="center"/>
          </w:tcPr>
          <w:p w14:paraId="69660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YR5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#</w:t>
            </w:r>
          </w:p>
        </w:tc>
        <w:tc>
          <w:tcPr>
            <w:tcW w:w="1869" w:type="pct"/>
            <w:vAlign w:val="center"/>
          </w:tcPr>
          <w:p w14:paraId="30E63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eastAsia" w:eastAsia="宋体" w:cs="Times New Roman"/>
                <w:sz w:val="21"/>
                <w:szCs w:val="21"/>
                <w:highlight w:val="none"/>
                <w:lang w:val="en-US" w:eastAsia="zh-CN"/>
              </w:rPr>
              <w:t>Huanyuankou</w:t>
            </w:r>
          </w:p>
        </w:tc>
        <w:tc>
          <w:tcPr>
            <w:tcW w:w="1373" w:type="pct"/>
            <w:vAlign w:val="center"/>
          </w:tcPr>
          <w:p w14:paraId="3EB22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113.676398 </w:t>
            </w:r>
          </w:p>
        </w:tc>
        <w:tc>
          <w:tcPr>
            <w:tcW w:w="1019" w:type="pct"/>
            <w:vAlign w:val="center"/>
          </w:tcPr>
          <w:p w14:paraId="472D7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34.905176 </w:t>
            </w:r>
          </w:p>
        </w:tc>
      </w:tr>
      <w:tr w14:paraId="0684FCE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37" w:type="pct"/>
            <w:noWrap/>
            <w:vAlign w:val="center"/>
          </w:tcPr>
          <w:p w14:paraId="23B17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YR6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#</w:t>
            </w:r>
          </w:p>
        </w:tc>
        <w:tc>
          <w:tcPr>
            <w:tcW w:w="1869" w:type="pct"/>
            <w:vAlign w:val="center"/>
          </w:tcPr>
          <w:p w14:paraId="550BD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eastAsia" w:eastAsia="宋体" w:cs="Times New Roman"/>
                <w:sz w:val="21"/>
                <w:szCs w:val="21"/>
                <w:highlight w:val="none"/>
                <w:lang w:val="en-US" w:eastAsia="zh-CN"/>
              </w:rPr>
              <w:t>Jiahetan</w:t>
            </w:r>
          </w:p>
        </w:tc>
        <w:tc>
          <w:tcPr>
            <w:tcW w:w="1373" w:type="pct"/>
            <w:vAlign w:val="center"/>
          </w:tcPr>
          <w:p w14:paraId="71D2C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114.577833 </w:t>
            </w:r>
          </w:p>
        </w:tc>
        <w:tc>
          <w:tcPr>
            <w:tcW w:w="1019" w:type="pct"/>
            <w:vAlign w:val="center"/>
          </w:tcPr>
          <w:p w14:paraId="506E8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34.925636 </w:t>
            </w:r>
          </w:p>
        </w:tc>
      </w:tr>
      <w:tr w14:paraId="18C9447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37" w:type="pct"/>
            <w:noWrap/>
            <w:vAlign w:val="center"/>
          </w:tcPr>
          <w:p w14:paraId="67F37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YR7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#</w:t>
            </w:r>
          </w:p>
        </w:tc>
        <w:tc>
          <w:tcPr>
            <w:tcW w:w="1869" w:type="pct"/>
            <w:vAlign w:val="center"/>
          </w:tcPr>
          <w:p w14:paraId="531A9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Gaocun</w:t>
            </w:r>
          </w:p>
        </w:tc>
        <w:tc>
          <w:tcPr>
            <w:tcW w:w="1373" w:type="pct"/>
            <w:vAlign w:val="center"/>
          </w:tcPr>
          <w:p w14:paraId="7C3FC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115.078855 </w:t>
            </w:r>
          </w:p>
        </w:tc>
        <w:tc>
          <w:tcPr>
            <w:tcW w:w="1019" w:type="pct"/>
            <w:vAlign w:val="center"/>
          </w:tcPr>
          <w:p w14:paraId="1E472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35.383715 </w:t>
            </w:r>
          </w:p>
        </w:tc>
      </w:tr>
      <w:tr w14:paraId="41CCD82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37" w:type="pct"/>
            <w:noWrap/>
            <w:vAlign w:val="center"/>
          </w:tcPr>
          <w:p w14:paraId="40FF7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YR8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#</w:t>
            </w:r>
          </w:p>
        </w:tc>
        <w:tc>
          <w:tcPr>
            <w:tcW w:w="1869" w:type="pct"/>
            <w:vAlign w:val="center"/>
          </w:tcPr>
          <w:p w14:paraId="1DD07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Sunkou</w:t>
            </w:r>
          </w:p>
        </w:tc>
        <w:tc>
          <w:tcPr>
            <w:tcW w:w="1373" w:type="pct"/>
            <w:vAlign w:val="center"/>
          </w:tcPr>
          <w:p w14:paraId="185E3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115.896828 </w:t>
            </w:r>
          </w:p>
        </w:tc>
        <w:tc>
          <w:tcPr>
            <w:tcW w:w="1019" w:type="pct"/>
            <w:vAlign w:val="center"/>
          </w:tcPr>
          <w:p w14:paraId="3EE9C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35.957926 </w:t>
            </w:r>
          </w:p>
        </w:tc>
      </w:tr>
      <w:tr w14:paraId="2C05ADC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37" w:type="pct"/>
            <w:noWrap/>
            <w:vAlign w:val="center"/>
          </w:tcPr>
          <w:p w14:paraId="0B5D6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YR9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#</w:t>
            </w:r>
          </w:p>
        </w:tc>
        <w:tc>
          <w:tcPr>
            <w:tcW w:w="1869" w:type="pct"/>
            <w:vAlign w:val="center"/>
          </w:tcPr>
          <w:p w14:paraId="2C771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Aishan</w:t>
            </w:r>
          </w:p>
        </w:tc>
        <w:tc>
          <w:tcPr>
            <w:tcW w:w="1373" w:type="pct"/>
            <w:vAlign w:val="center"/>
          </w:tcPr>
          <w:p w14:paraId="431E9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116.302421 </w:t>
            </w:r>
          </w:p>
        </w:tc>
        <w:tc>
          <w:tcPr>
            <w:tcW w:w="1019" w:type="pct"/>
            <w:vAlign w:val="center"/>
          </w:tcPr>
          <w:p w14:paraId="2C126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36.269150 </w:t>
            </w:r>
          </w:p>
        </w:tc>
      </w:tr>
      <w:tr w14:paraId="16E8583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37" w:type="pct"/>
            <w:noWrap/>
            <w:vAlign w:val="center"/>
          </w:tcPr>
          <w:p w14:paraId="1DA60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YR10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#</w:t>
            </w:r>
          </w:p>
        </w:tc>
        <w:tc>
          <w:tcPr>
            <w:tcW w:w="1869" w:type="pct"/>
            <w:vAlign w:val="center"/>
          </w:tcPr>
          <w:p w14:paraId="3136E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Luokou</w:t>
            </w:r>
          </w:p>
        </w:tc>
        <w:tc>
          <w:tcPr>
            <w:tcW w:w="1373" w:type="pct"/>
            <w:vAlign w:val="center"/>
          </w:tcPr>
          <w:p w14:paraId="6FC9F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116.990791 </w:t>
            </w:r>
          </w:p>
        </w:tc>
        <w:tc>
          <w:tcPr>
            <w:tcW w:w="1019" w:type="pct"/>
            <w:vAlign w:val="center"/>
          </w:tcPr>
          <w:p w14:paraId="32644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36.725040 </w:t>
            </w:r>
          </w:p>
        </w:tc>
      </w:tr>
      <w:tr w14:paraId="0F9B243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37" w:type="pct"/>
            <w:noWrap/>
            <w:vAlign w:val="center"/>
          </w:tcPr>
          <w:p w14:paraId="38E8D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YR11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#</w:t>
            </w:r>
          </w:p>
        </w:tc>
        <w:tc>
          <w:tcPr>
            <w:tcW w:w="1869" w:type="pct"/>
            <w:vAlign w:val="center"/>
          </w:tcPr>
          <w:p w14:paraId="3C3C8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Lijin</w:t>
            </w:r>
          </w:p>
        </w:tc>
        <w:tc>
          <w:tcPr>
            <w:tcW w:w="1373" w:type="pct"/>
            <w:vAlign w:val="center"/>
          </w:tcPr>
          <w:p w14:paraId="1984C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118.305372 </w:t>
            </w:r>
          </w:p>
        </w:tc>
        <w:tc>
          <w:tcPr>
            <w:tcW w:w="1019" w:type="pct"/>
            <w:vAlign w:val="center"/>
          </w:tcPr>
          <w:p w14:paraId="1C6C7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37.522747 </w:t>
            </w:r>
          </w:p>
        </w:tc>
      </w:tr>
      <w:tr w14:paraId="0CC5DA2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737" w:type="pct"/>
            <w:noWrap/>
            <w:vAlign w:val="center"/>
          </w:tcPr>
          <w:p w14:paraId="76357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YR12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#</w:t>
            </w:r>
          </w:p>
        </w:tc>
        <w:tc>
          <w:tcPr>
            <w:tcW w:w="1869" w:type="pct"/>
            <w:vAlign w:val="center"/>
          </w:tcPr>
          <w:p w14:paraId="30E34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eastAsia"/>
                <w:highlight w:val="none"/>
              </w:rPr>
              <w:t>Yellow River estuary</w:t>
            </w:r>
          </w:p>
        </w:tc>
        <w:tc>
          <w:tcPr>
            <w:tcW w:w="1373" w:type="pct"/>
            <w:vAlign w:val="center"/>
          </w:tcPr>
          <w:p w14:paraId="15939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119.164415 </w:t>
            </w:r>
          </w:p>
        </w:tc>
        <w:tc>
          <w:tcPr>
            <w:tcW w:w="1019" w:type="pct"/>
            <w:vAlign w:val="center"/>
          </w:tcPr>
          <w:p w14:paraId="7020F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eastAsia="等线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37.759720 </w:t>
            </w:r>
          </w:p>
        </w:tc>
      </w:tr>
    </w:tbl>
    <w:p w14:paraId="10DE50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35BE89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5DBBAB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558848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0DEC55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20525A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1DF698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0F211A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6B5042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3F7701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30AA2F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11D227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7126A7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67B689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218CEB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02769B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1FD962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5ED659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1C7246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44315D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cs="Times New Roman"/>
          <w:sz w:val="24"/>
          <w:szCs w:val="24"/>
          <w:highlight w:val="none"/>
        </w:rPr>
      </w:pPr>
    </w:p>
    <w:p w14:paraId="63EE6D21">
      <w:pPr>
        <w:tabs>
          <w:tab w:val="left" w:pos="3024"/>
        </w:tabs>
        <w:spacing w:before="156" w:beforeLines="50" w:line="480" w:lineRule="auto"/>
        <w:jc w:val="left"/>
        <w:rPr>
          <w:rFonts w:hint="eastAsia"/>
          <w:b/>
          <w:sz w:val="24"/>
          <w:szCs w:val="24"/>
          <w:highlight w:val="none"/>
          <w:lang w:eastAsia="zh-CN"/>
        </w:rPr>
      </w:pPr>
    </w:p>
    <w:p w14:paraId="391D5569">
      <w:pPr>
        <w:tabs>
          <w:tab w:val="left" w:pos="3024"/>
        </w:tabs>
        <w:spacing w:before="156" w:beforeLines="50" w:line="480" w:lineRule="auto"/>
        <w:jc w:val="left"/>
        <w:rPr>
          <w:rFonts w:hint="eastAsia"/>
          <w:b/>
          <w:sz w:val="24"/>
          <w:szCs w:val="24"/>
          <w:highlight w:val="none"/>
          <w:lang w:eastAsia="zh-CN"/>
        </w:rPr>
      </w:pPr>
    </w:p>
    <w:p w14:paraId="7718DEDC">
      <w:pPr>
        <w:tabs>
          <w:tab w:val="left" w:pos="3024"/>
        </w:tabs>
        <w:spacing w:before="156" w:beforeLines="50" w:line="480" w:lineRule="auto"/>
        <w:jc w:val="left"/>
        <w:rPr>
          <w:rFonts w:hint="eastAsia"/>
          <w:b/>
          <w:sz w:val="24"/>
          <w:szCs w:val="24"/>
          <w:highlight w:val="none"/>
          <w:lang w:eastAsia="zh-CN"/>
        </w:rPr>
      </w:pPr>
    </w:p>
    <w:p w14:paraId="5A2DAD7A">
      <w:pPr>
        <w:spacing w:line="480" w:lineRule="auto"/>
        <w:rPr>
          <w:rFonts w:hint="default" w:cs="Times New Roman"/>
          <w:b/>
          <w:bCs/>
          <w:i/>
          <w:iCs/>
          <w:sz w:val="24"/>
          <w:szCs w:val="24"/>
          <w:highlight w:val="none"/>
          <w:lang w:val="en-US" w:eastAsia="zh-CN"/>
        </w:rPr>
      </w:pPr>
      <w:r>
        <w:rPr>
          <w:rFonts w:hint="eastAsia" w:cs="Times New Roman"/>
          <w:b/>
          <w:bCs/>
          <w:i/>
          <w:iCs/>
          <w:sz w:val="24"/>
          <w:szCs w:val="24"/>
          <w:highlight w:val="none"/>
        </w:rPr>
        <w:t>3.2 Effects of WSRS on nitrogen and phosphorus fluxes</w:t>
      </w:r>
    </w:p>
    <w:p w14:paraId="07C684F7">
      <w:pPr>
        <w:spacing w:before="156" w:beforeLines="50" w:line="480" w:lineRule="auto"/>
        <w:jc w:val="center"/>
        <w:rPr>
          <w:rFonts w:hint="eastAsia" w:cs="Times New Roman" w:eastAsiaTheme="minorEastAsia"/>
          <w:sz w:val="15"/>
          <w:szCs w:val="15"/>
          <w:highlight w:val="none"/>
          <w:lang w:val="en-US" w:eastAsia="zh-CN"/>
        </w:rPr>
      </w:pPr>
      <w:r>
        <w:rPr>
          <w:b/>
          <w:sz w:val="24"/>
          <w:szCs w:val="24"/>
          <w:highlight w:val="none"/>
        </w:rPr>
        <w:t>Table S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>2.</w:t>
      </w:r>
      <w:r>
        <w:rPr>
          <w:sz w:val="24"/>
          <w:szCs w:val="24"/>
          <w:highlight w:val="none"/>
        </w:rPr>
        <w:t xml:space="preserve"> </w:t>
      </w:r>
      <w:r>
        <w:rPr>
          <w:rFonts w:hint="eastAsia"/>
          <w:sz w:val="24"/>
          <w:szCs w:val="24"/>
          <w:highlight w:val="none"/>
        </w:rPr>
        <w:t>Common time-period flux algorithm</w:t>
      </w:r>
      <w:r>
        <w:rPr>
          <w:rFonts w:hint="eastAsia"/>
          <w:sz w:val="24"/>
          <w:szCs w:val="24"/>
          <w:highlight w:val="none"/>
          <w:lang w:val="en-US" w:eastAsia="zh-CN"/>
        </w:rPr>
        <w:t>.</w:t>
      </w:r>
    </w:p>
    <w:tbl>
      <w:tblPr>
        <w:tblStyle w:val="4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786"/>
        <w:gridCol w:w="3295"/>
        <w:gridCol w:w="3821"/>
      </w:tblGrid>
      <w:tr w14:paraId="794C2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1" w:type="pct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A552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Method</w:t>
            </w:r>
          </w:p>
        </w:tc>
        <w:tc>
          <w:tcPr>
            <w:tcW w:w="896" w:type="pct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547D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formula </w:t>
            </w:r>
          </w:p>
        </w:tc>
        <w:tc>
          <w:tcPr>
            <w:tcW w:w="1653" w:type="pct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3A3C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Meaning </w:t>
            </w:r>
          </w:p>
        </w:tc>
        <w:tc>
          <w:tcPr>
            <w:tcW w:w="1917" w:type="pct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BE99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Features and application scope</w:t>
            </w:r>
          </w:p>
        </w:tc>
      </w:tr>
      <w:tr w14:paraId="54172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3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91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</w:t>
            </w:r>
          </w:p>
        </w:tc>
        <w:tc>
          <w:tcPr>
            <w:tcW w:w="89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9D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object>
                <v:shape id="_x0000_i1025" o:spt="75" type="#_x0000_t75" style="height:34pt;width:51pt;" o:ole="t" fillcolor="#FFFFFF" filled="t" o:preferrelative="t" stroked="f" coordsize="21600,21600">
                  <v:path/>
                  <v:fill on="t" color2="#FFFFFF" focussize="0,0"/>
                  <v:stroke on="f" miterlimit="8" joinstyle="miter"/>
                  <v:imagedata r:id="rId7" grayscale="f" bilevel="f" o:title=""/>
                  <o:lock v:ext="edit" aspectratio="t"/>
                  <w10:wrap type="none"/>
                  <w10:anchorlock/>
                </v:shape>
                <o:OLEObject Type="Embed" ProgID="Equation.KSEE3" ShapeID="_x0000_i1025" DrawAspect="Content" ObjectID="_1468075725" r:id="rId6">
                  <o:LockedField>false</o:LockedField>
                </o:OLEObject>
              </w:object>
            </w:r>
          </w:p>
        </w:tc>
        <w:tc>
          <w:tcPr>
            <w:tcW w:w="165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A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The average of the instantaneous flux of 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vertAlign w:val="subscript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Q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vertAlign w:val="subscript"/>
                <w:lang w:val="en-US" w:eastAsia="zh-CN" w:bidi="ar"/>
              </w:rPr>
              <w:t>i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vertAlign w:val="subscript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The average of the instantaneous flux of 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vertAlign w:val="subscript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Q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vertAlign w:val="subscript"/>
                <w:lang w:val="en-US" w:eastAsia="zh-CN" w:bidi="ar"/>
              </w:rPr>
              <w:t>i</w:t>
            </w:r>
          </w:p>
        </w:tc>
        <w:tc>
          <w:tcPr>
            <w:tcW w:w="1917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A7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Weakening the effect of runoff is more suitable for point source pollution</w:t>
            </w:r>
          </w:p>
        </w:tc>
      </w:tr>
      <w:tr w14:paraId="09778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53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AA7D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</w:t>
            </w:r>
          </w:p>
        </w:tc>
        <w:tc>
          <w:tcPr>
            <w:tcW w:w="89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B5BA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object>
                <v:shape id="_x0000_i1026" o:spt="75" type="#_x0000_t75" style="height:34pt;width:55pt;" o:ole="t" fillcolor="#FFFFFF" filled="t" o:preferrelative="t" stroked="f" coordsize="21600,21600">
                  <v:path/>
                  <v:fill on="t" color2="#FFFFFF" focussize="0,0"/>
                  <v:stroke on="f"/>
                  <v:imagedata r:id="rId9" grayscale="f" bilevel="f" o:title=""/>
                  <o:lock v:ext="edit" aspectratio="t"/>
                  <w10:wrap type="none"/>
                  <w10:anchorlock/>
                </v:shape>
                <o:OLEObject Type="Embed" ProgID="Equation.KSEE3" ShapeID="_x0000_i1026" DrawAspect="Content" ObjectID="_1468075726" r:id="rId8">
                  <o:LockedField>false</o:LockedField>
                </o:OLEObject>
              </w:object>
            </w:r>
          </w:p>
        </w:tc>
        <w:tc>
          <w:tcPr>
            <w:tcW w:w="165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75AFC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/>
                <w:highlight w:val="none"/>
              </w:rPr>
              <w:t>The product of the instantaneous concentration C</w:t>
            </w:r>
            <w:r>
              <w:rPr>
                <w:rFonts w:hint="eastAsia"/>
                <w:highlight w:val="none"/>
                <w:vertAlign w:val="subscript"/>
              </w:rPr>
              <w:t>i</w:t>
            </w:r>
            <w:r>
              <w:rPr>
                <w:rFonts w:hint="eastAsia"/>
                <w:highlight w:val="none"/>
              </w:rPr>
              <w:t xml:space="preserve"> and the average flow rate</w:t>
            </w:r>
            <w:r>
              <w:rPr>
                <w:rFonts w:hint="eastAsia"/>
                <w:highlight w:val="none"/>
                <w:lang w:val="en-US" w:eastAsia="zh-CN"/>
              </w:rPr>
              <w:t xml:space="preserve">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highlight w:val="none"/>
                    </w:rPr>
                  </m:ctrlPr>
                </m:accPr>
                <m:e>
                  <m:sSub>
                    <m:sSubPr>
                      <m:ctrlPr>
                        <w:rPr>
                          <w:rFonts w:hint="default" w:ascii="Cambria Math" w:hAnsi="Cambria Math"/>
                          <w:i/>
                          <w:highlight w:val="none"/>
                          <w:lang w:val="en-US" w:eastAsia="zh-CN"/>
                        </w:rPr>
                      </m:ctrlPr>
                    </m:sSubPr>
                    <m:e>
                      <m:r>
                        <m:rPr/>
                        <w:rPr>
                          <w:rFonts w:hint="default" w:ascii="Cambria Math" w:hAnsi="Cambria Math"/>
                          <w:highlight w:val="none"/>
                          <w:lang w:val="en-US" w:eastAsia="zh-CN"/>
                        </w:rPr>
                        <m:t>Q</m:t>
                      </m:r>
                      <m:ctrlPr>
                        <w:rPr>
                          <w:rFonts w:hint="default" w:ascii="Cambria Math" w:hAnsi="Cambria Math"/>
                          <w:i/>
                          <w:highlight w:val="none"/>
                          <w:lang w:val="en-US" w:eastAsia="zh-CN"/>
                        </w:rPr>
                      </m:ctrlPr>
                    </m:e>
                    <m:sub>
                      <m:r>
                        <m:rPr/>
                        <w:rPr>
                          <w:rFonts w:hint="default" w:ascii="Cambria Math" w:hAnsi="Cambria Math"/>
                          <w:highlight w:val="none"/>
                          <w:lang w:val="en-US" w:eastAsia="zh-CN"/>
                        </w:rPr>
                        <m:t>p</m:t>
                      </m:r>
                      <m:ctrlPr>
                        <w:rPr>
                          <w:rFonts w:hint="default" w:ascii="Cambria Math" w:hAnsi="Cambria Math"/>
                          <w:i/>
                          <w:highlight w:val="none"/>
                          <w:lang w:val="en-US" w:eastAsia="zh-CN"/>
                        </w:rPr>
                      </m:ctrlPr>
                    </m:sub>
                  </m:sSub>
                  <m:ctrlPr>
                    <w:rPr>
                      <w:rFonts w:ascii="Cambria Math" w:hAnsi="Cambria Math"/>
                      <w:i/>
                      <w:highlight w:val="none"/>
                    </w:rPr>
                  </m:ctrlPr>
                </m:e>
              </m:acc>
            </m:oMath>
            <w:r>
              <w:rPr>
                <w:rFonts w:hint="eastAsia" w:hAnsi="Cambria Math"/>
                <w:i w:val="0"/>
                <w:highlight w:val="none"/>
                <w:lang w:val="en-US" w:eastAsia="zh-CN"/>
              </w:rPr>
              <w:t xml:space="preserve"> d</w:t>
            </w:r>
            <w:r>
              <w:rPr>
                <w:rFonts w:hint="eastAsia"/>
                <w:highlight w:val="none"/>
              </w:rPr>
              <w:t>uring this period</w:t>
            </w:r>
          </w:p>
        </w:tc>
        <w:tc>
          <w:tcPr>
            <w:tcW w:w="191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6D63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Emphasize the role of runoff, more suitable for the non-point source pollution</w:t>
            </w:r>
          </w:p>
        </w:tc>
      </w:tr>
    </w:tbl>
    <w:p w14:paraId="062D6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16BEF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613F6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0E199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759EE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419FCC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0CADD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6A0556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743F4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7B61E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0779F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74B8F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5D0325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661DE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33231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3F67A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cs="Times New Roman"/>
          <w:b/>
          <w:bCs/>
          <w:i/>
          <w:iCs/>
          <w:sz w:val="24"/>
          <w:szCs w:val="24"/>
          <w:highlight w:val="none"/>
        </w:rPr>
      </w:pPr>
    </w:p>
    <w:p w14:paraId="3E9B2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/>
          <w:b/>
          <w:i/>
          <w:iCs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i/>
          <w:iCs/>
          <w:sz w:val="24"/>
          <w:szCs w:val="24"/>
          <w:highlight w:val="none"/>
          <w:lang w:val="en-US" w:eastAsia="zh-CN"/>
        </w:rPr>
        <w:t>3.3 Evaluation of Nitrogen and Phosphorus in the LYR</w:t>
      </w:r>
    </w:p>
    <w:p w14:paraId="7ABCB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auto"/>
        <w:jc w:val="center"/>
        <w:textAlignment w:val="auto"/>
        <w:rPr>
          <w:rFonts w:hint="eastAsia"/>
          <w:b/>
          <w:sz w:val="24"/>
          <w:szCs w:val="24"/>
          <w:highlight w:val="none"/>
          <w:lang w:val="en-US" w:eastAsia="zh-CN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543560</wp:posOffset>
                </wp:positionH>
                <wp:positionV relativeFrom="paragraph">
                  <wp:posOffset>672465</wp:posOffset>
                </wp:positionV>
                <wp:extent cx="927100" cy="396875"/>
                <wp:effectExtent l="26543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520000">
                          <a:off x="0" y="0"/>
                          <a:ext cx="927100" cy="396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D02FD8">
                            <w:pPr>
                              <w:rPr>
                                <w:rFonts w:hint="eastAsia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sz w:val="22"/>
                                <w:szCs w:val="22"/>
                              </w:rPr>
                              <w:t>classification</w:t>
                            </w:r>
                          </w:p>
                          <w:p w14:paraId="67F16B30">
                            <w:pPr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8pt;margin-top:52.95pt;height:31.25pt;width:73pt;rotation:-4456448f;z-index:251663360;mso-width-relative:page;mso-height-relative:page;" filled="f" stroked="f" coordsize="21600,21600" o:gfxdata="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fDrN+1gAAAAoBAAAPAAAAAAAAAAEAIAAAACIA&#10;AABkcnMvZG93bnJldi54bWxQSwECFAAUAAAACACHTuJA22KnR0QCAAB2BAAADgAAAAAAAAABACAA&#10;AAAl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6D02FD8">
                      <w:pPr>
                        <w:rPr>
                          <w:rFonts w:hint="eastAsia"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color w:val="auto"/>
                          <w:sz w:val="22"/>
                          <w:szCs w:val="22"/>
                        </w:rPr>
                        <w:t>classification</w:t>
                      </w:r>
                    </w:p>
                    <w:p w14:paraId="67F16B30">
                      <w:pPr>
                        <w:rPr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 xml:space="preserve">Table S3. </w:t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Environmental quality standards for surface water standard limits for basic items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  <w:t>(mg·L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highlight w:val="none"/>
          <w:u w:val="none"/>
          <w:vertAlign w:val="superscript"/>
          <w:lang w:val="en-US" w:eastAsia="zh-CN" w:bidi="ar"/>
        </w:rPr>
        <w:t>-1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  <w:t>)</w:t>
      </w:r>
    </w:p>
    <w:tbl>
      <w:tblPr>
        <w:tblStyle w:val="4"/>
        <w:tblW w:w="4998" w:type="pct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2"/>
        <w:gridCol w:w="1589"/>
        <w:gridCol w:w="1672"/>
        <w:gridCol w:w="1549"/>
        <w:gridCol w:w="1411"/>
        <w:gridCol w:w="1495"/>
      </w:tblGrid>
      <w:tr w14:paraId="59201615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25" w:type="pct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  <mc:AlternateContent>
              <mc:Choice Requires="wpsCustomData">
                <wpsCustomData:diagonals>
                  <wpsCustomData:diagonal from="10000" to="35000">
                    <wpsCustomData:border w:val="single" w:color="000000" w:sz="8" w:space="0"/>
                  </wpsCustomData:diagonal>
                  <wpsCustomData:diagonal from="17500" to="35000">
                    <wpsCustomData:border w:val="single" w:color="000000" w:sz="8" w:space="0"/>
                  </wpsCustomData:diagonal>
                </wpsCustomData:diagonals>
              </mc:Choice>
            </mc:AlternateContent>
          </w:tcPr>
          <w:p w14:paraId="0BECFFC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jc w:val="left"/>
              <w:textAlignment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409575</wp:posOffset>
                      </wp:positionV>
                      <wp:extent cx="613410" cy="269875"/>
                      <wp:effectExtent l="0" t="0" r="0" b="0"/>
                      <wp:wrapNone/>
                      <wp:docPr id="9" name="文本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640000">
                                <a:off x="755015" y="2124710"/>
                                <a:ext cx="613410" cy="2698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40B4DCD">
                                  <w:pPr>
                                    <w:rPr>
                                      <w:rFonts w:hint="eastAsia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auto"/>
                                      <w:sz w:val="22"/>
                                      <w:szCs w:val="22"/>
                                    </w:rPr>
                                    <w:t>Item</w:t>
                                  </w:r>
                                </w:p>
                                <w:p w14:paraId="483CF98C">
                                  <w:pPr>
                                    <w:rPr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2.75pt;margin-top:32.25pt;height:21.25pt;width:48.3pt;rotation:2883584f;z-index:251661312;mso-width-relative:page;mso-height-relative:page;" filled="f" stroked="f" coordsize="21600,21600" o:gfxdata="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mIWA0dgAAAAIAQAADwAAAAAA&#10;AAABACAAAAAiAAAAZHJzL2Rvd25yZXYueG1sUEsBAhQAFAAAAAgAh07iQPBWH8pMAgAAfgQAAA4A&#10;AAAAAAAAAQAgAAAAJwEAAGRycy9lMm9Eb2MueG1sUEsFBgAAAAAGAAYAWQEAAOU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240B4DCD">
                            <w:pPr>
                              <w:rPr>
                                <w:rFonts w:hint="eastAsia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sz w:val="22"/>
                                <w:szCs w:val="22"/>
                              </w:rPr>
                              <w:t>Item</w:t>
                            </w:r>
                          </w:p>
                          <w:p w14:paraId="483CF98C">
                            <w:pPr>
                              <w:rPr>
                                <w:color w:val="auto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42DC0BF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jc w:val="left"/>
              <w:textAlignment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138430</wp:posOffset>
                      </wp:positionH>
                      <wp:positionV relativeFrom="paragraph">
                        <wp:posOffset>19685</wp:posOffset>
                      </wp:positionV>
                      <wp:extent cx="1152525" cy="530225"/>
                      <wp:effectExtent l="0" t="0" r="0" b="0"/>
                      <wp:wrapNone/>
                      <wp:docPr id="10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52525" cy="5302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B6F7423">
                                  <w:pPr>
                                    <w:rPr>
                                      <w:rFonts w:hint="eastAsia"/>
                                      <w:color w:val="auto"/>
                                      <w:sz w:val="21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auto"/>
                                      <w:sz w:val="21"/>
                                      <w:szCs w:val="22"/>
                                    </w:rPr>
                                    <w:t xml:space="preserve">Standard </w:t>
                                  </w:r>
                                </w:p>
                                <w:p w14:paraId="08F73431">
                                  <w:pPr>
                                    <w:rPr>
                                      <w:rFonts w:hint="eastAsia"/>
                                      <w:color w:val="auto"/>
                                      <w:sz w:val="21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auto"/>
                                      <w:sz w:val="21"/>
                                      <w:szCs w:val="22"/>
                                    </w:rPr>
                                    <w:t>Value</w:t>
                                  </w:r>
                                </w:p>
                                <w:p w14:paraId="4FB296F9">
                                  <w:pPr>
                                    <w:rPr>
                                      <w:color w:val="auto"/>
                                      <w:sz w:val="15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0.9pt;margin-top:1.55pt;height:41.75pt;width:90.75pt;z-index:251662336;mso-width-relative:page;mso-height-relative:page;" filled="f" stroked="f" coordsize="21600,21600" o:gfxdata="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YJXOM1wAAAAcBAAAPAAAAAAAAAAEAIAAAACIAAABkcnMvZG93&#10;bnJldi54bWxQSwECFAAUAAAACACHTuJAycvhnzoCAABoBAAADgAAAAAAAAABACAAAAAmAQAAZHJz&#10;L2Uyb0RvYy54bWxQSwUGAAAAAAYABgBZAQAA0g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2B6F7423">
                            <w:pPr>
                              <w:rPr>
                                <w:rFonts w:hint="eastAsia"/>
                                <w:color w:val="auto"/>
                                <w:sz w:val="21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sz w:val="21"/>
                                <w:szCs w:val="22"/>
                              </w:rPr>
                              <w:t xml:space="preserve">Standard </w:t>
                            </w:r>
                          </w:p>
                          <w:p w14:paraId="08F73431">
                            <w:pPr>
                              <w:rPr>
                                <w:rFonts w:hint="eastAsia"/>
                                <w:color w:val="auto"/>
                                <w:sz w:val="21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sz w:val="21"/>
                                <w:szCs w:val="22"/>
                              </w:rPr>
                              <w:t>Value</w:t>
                            </w:r>
                          </w:p>
                          <w:p w14:paraId="4FB296F9">
                            <w:pPr>
                              <w:rPr>
                                <w:color w:val="auto"/>
                                <w:sz w:val="15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8C57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pct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758B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 I</w:t>
            </w:r>
          </w:p>
        </w:tc>
        <w:tc>
          <w:tcPr>
            <w:tcW w:w="839" w:type="pct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ED79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ClassⅡ</w:t>
            </w:r>
          </w:p>
        </w:tc>
        <w:tc>
          <w:tcPr>
            <w:tcW w:w="777" w:type="pct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C694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 Ⅲ</w:t>
            </w:r>
          </w:p>
        </w:tc>
        <w:tc>
          <w:tcPr>
            <w:tcW w:w="708" w:type="pct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2E70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 Ⅳ</w:t>
            </w:r>
          </w:p>
        </w:tc>
        <w:tc>
          <w:tcPr>
            <w:tcW w:w="750" w:type="pct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574E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 Ⅴ</w:t>
            </w:r>
          </w:p>
        </w:tc>
      </w:tr>
      <w:tr w14:paraId="015B77A3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25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 w14:paraId="3A026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Ammonia nitrogen ≤</w:t>
            </w:r>
          </w:p>
        </w:tc>
        <w:tc>
          <w:tcPr>
            <w:tcW w:w="797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 w14:paraId="70CE2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</w:t>
            </w:r>
          </w:p>
        </w:tc>
        <w:tc>
          <w:tcPr>
            <w:tcW w:w="839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 w14:paraId="1269E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777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 w14:paraId="2305F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 </w:t>
            </w:r>
          </w:p>
        </w:tc>
        <w:tc>
          <w:tcPr>
            <w:tcW w:w="708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 w14:paraId="7891B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50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 w14:paraId="2831B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 </w:t>
            </w:r>
          </w:p>
        </w:tc>
      </w:tr>
      <w:tr w14:paraId="4F5EFDAF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12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19C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Total Phosphorus ≤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2A2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(lake, reservoir0.01)</w:t>
            </w:r>
          </w:p>
        </w:tc>
        <w:tc>
          <w:tcPr>
            <w:tcW w:w="8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F2B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(lake, reservoir0.025)</w:t>
            </w:r>
          </w:p>
        </w:tc>
        <w:tc>
          <w:tcPr>
            <w:tcW w:w="77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4D3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(lake, reservoir0.05)</w:t>
            </w:r>
          </w:p>
        </w:tc>
        <w:tc>
          <w:tcPr>
            <w:tcW w:w="70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0C6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(lake, reservoir0.1)</w:t>
            </w:r>
          </w:p>
        </w:tc>
        <w:tc>
          <w:tcPr>
            <w:tcW w:w="7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13A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(lake, reservoir0.2)</w:t>
            </w:r>
          </w:p>
        </w:tc>
      </w:tr>
    </w:tbl>
    <w:p w14:paraId="77F76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b/>
          <w:sz w:val="24"/>
          <w:szCs w:val="24"/>
          <w:highlight w:val="none"/>
          <w:lang w:val="en-US" w:eastAsia="zh-CN"/>
        </w:rPr>
      </w:pPr>
    </w:p>
    <w:p w14:paraId="3A8357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auto"/>
        <w:jc w:val="center"/>
        <w:textAlignment w:val="auto"/>
        <w:rPr>
          <w:rFonts w:hint="default"/>
          <w:b/>
          <w:sz w:val="24"/>
          <w:szCs w:val="24"/>
          <w:highlight w:val="none"/>
          <w:lang w:val="en-US"/>
        </w:rPr>
      </w:pPr>
      <w:r>
        <w:rPr>
          <w:sz w:val="12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132715</wp:posOffset>
                </wp:positionH>
                <wp:positionV relativeFrom="paragraph">
                  <wp:posOffset>419735</wp:posOffset>
                </wp:positionV>
                <wp:extent cx="487680" cy="29591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680" cy="295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56CC90"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cs="Times New Roman"/>
                                <w:sz w:val="22"/>
                                <w:szCs w:val="22"/>
                                <w:lang w:val="en-US" w:eastAsia="zh-CN"/>
                              </w:rPr>
                              <w:t>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45pt;margin-top:33.05pt;height:23.3pt;width:38.4pt;z-index:251660288;mso-width-relative:page;mso-height-relative:page;" filled="f" stroked="f" coordsize="21600,21600" o:gfxdata="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M32LVjZAAAACAEAAA8AAAAAAAAAAQAgAAAAIgAAAGRy&#10;cy9kb3ducmV2LnhtbFBLAQIUABQAAAAIAIdO4kCIAbZWPQIAAGUEAAAOAAAAAAAAAAEAIAAAACg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156CC90">
                      <w:pPr>
                        <w:rPr>
                          <w:rFonts w:hint="default" w:ascii="Times New Roman" w:hAnsi="Times New Roman" w:cs="Times New Roman" w:eastAsiaTheme="minorEastAsia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cs="Times New Roman"/>
                          <w:sz w:val="22"/>
                          <w:szCs w:val="22"/>
                          <w:lang w:val="en-US" w:eastAsia="zh-CN"/>
                        </w:rPr>
                        <w:t>pH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 xml:space="preserve">Table S4. </w:t>
      </w:r>
      <w:r>
        <w:rPr>
          <w:rFonts w:hint="eastAsia"/>
          <w:b w:val="0"/>
          <w:bCs/>
          <w:sz w:val="24"/>
          <w:szCs w:val="24"/>
          <w:highlight w:val="none"/>
        </w:rPr>
        <w:t>Temperature and pH-dependent values of the LWQC</w:t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/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  <w:t>(mg·L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highlight w:val="none"/>
          <w:u w:val="none"/>
          <w:vertAlign w:val="superscript"/>
          <w:lang w:val="en-US" w:eastAsia="zh-CN" w:bidi="ar"/>
        </w:rPr>
        <w:t>-1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  <w:t>)</w:t>
      </w:r>
      <w:r>
        <w:rPr>
          <w:rFonts w:hint="eastAsia" w:eastAsia="宋体" w:cs="Times New Roman"/>
          <w:i w:val="0"/>
          <w:iCs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  <w:t>.</w:t>
      </w:r>
    </w:p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659"/>
        <w:gridCol w:w="659"/>
        <w:gridCol w:w="660"/>
        <w:gridCol w:w="660"/>
        <w:gridCol w:w="812"/>
        <w:gridCol w:w="812"/>
        <w:gridCol w:w="812"/>
        <w:gridCol w:w="812"/>
        <w:gridCol w:w="812"/>
        <w:gridCol w:w="812"/>
        <w:gridCol w:w="812"/>
        <w:gridCol w:w="973"/>
      </w:tblGrid>
      <w:tr w14:paraId="088F5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33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  <w:tl2br w:val="single" w:color="000000" w:sz="4" w:space="0"/>
            </w:tcBorders>
            <w:shd w:val="clear" w:color="auto" w:fill="auto"/>
            <w:noWrap/>
            <w:vAlign w:val="center"/>
          </w:tcPr>
          <w:p w14:paraId="2282E1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sz w:val="12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-202565</wp:posOffset>
                      </wp:positionH>
                      <wp:positionV relativeFrom="paragraph">
                        <wp:posOffset>-1270</wp:posOffset>
                      </wp:positionV>
                      <wp:extent cx="487680" cy="295910"/>
                      <wp:effectExtent l="0" t="0" r="7620" b="889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630555" y="1885315"/>
                                <a:ext cx="487680" cy="2959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DA094C">
                                  <w:pPr>
                                    <w:rPr>
                                      <w:rFonts w:hint="default" w:ascii="Times New Roman" w:hAnsi="Times New Roman" w:cs="Times New Roman" w:eastAsiaTheme="minorEastAsia"/>
                                      <w:sz w:val="22"/>
                                      <w:szCs w:val="22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cs="Times New Roman"/>
                                      <w:sz w:val="22"/>
                                      <w:szCs w:val="22"/>
                                      <w:lang w:val="en-US" w:eastAsia="zh-CN"/>
                                    </w:rPr>
                                    <w:t>T/℃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5.95pt;margin-top:-0.1pt;height:23.3pt;width:38.4pt;z-index:251659264;mso-width-relative:page;mso-height-relative:page;" filled="f" stroked="f" coordsize="21600,21600" o:gfxdata="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7BMaHtcAAAAHAQAADwAAAAAAAAABACAA&#10;AAAiAAAAZHJzL2Rvd25yZXYueG1sUEsBAhQAFAAAAAgAh07iQO7mcPdHAgAAcAQAAA4AAAAAAAAA&#10;AQAgAAAAJgEAAGRycy9lMm9Eb2MueG1sUEsFBgAAAAAGAAYAWQEAAN8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6EDA094C"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2"/>
                                <w:szCs w:val="22"/>
                                <w:lang w:val="en-US" w:eastAsia="zh-CN"/>
                              </w:rPr>
                              <w:t>T/℃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3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810A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33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4633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6.5</w:t>
            </w:r>
          </w:p>
        </w:tc>
        <w:tc>
          <w:tcPr>
            <w:tcW w:w="33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BA68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7.0 </w:t>
            </w:r>
          </w:p>
        </w:tc>
        <w:tc>
          <w:tcPr>
            <w:tcW w:w="33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D28F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7.2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7A99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7.4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FBF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7.6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3371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7.8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B24B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8.0 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1BF0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8.2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406B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8.4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E13E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8.6</w:t>
            </w:r>
          </w:p>
        </w:tc>
        <w:tc>
          <w:tcPr>
            <w:tcW w:w="488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85E3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9.0 </w:t>
            </w:r>
          </w:p>
        </w:tc>
      </w:tr>
      <w:tr w14:paraId="01670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33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B3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31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9B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2.1</w:t>
            </w:r>
          </w:p>
        </w:tc>
        <w:tc>
          <w:tcPr>
            <w:tcW w:w="331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6B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6.5</w:t>
            </w:r>
          </w:p>
        </w:tc>
        <w:tc>
          <w:tcPr>
            <w:tcW w:w="331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A9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1.8</w:t>
            </w:r>
          </w:p>
        </w:tc>
        <w:tc>
          <w:tcPr>
            <w:tcW w:w="331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91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1.6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13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1.4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2D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1.2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6C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65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2C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25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0.34</w:t>
            </w:r>
          </w:p>
        </w:tc>
        <w:tc>
          <w:tcPr>
            <w:tcW w:w="407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1B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0.24</w:t>
            </w:r>
          </w:p>
        </w:tc>
        <w:tc>
          <w:tcPr>
            <w:tcW w:w="488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0A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0.12</w:t>
            </w:r>
          </w:p>
        </w:tc>
      </w:tr>
      <w:tr w14:paraId="314BA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CB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4C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3F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6.5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F9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1.7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F7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5B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D8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10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BC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87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92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B9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DF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0.11</w:t>
            </w:r>
          </w:p>
        </w:tc>
      </w:tr>
      <w:tr w14:paraId="7F8AF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40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B7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1.9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6A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6.5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01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1.6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D2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CA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73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91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41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98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81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16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BA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0.09</w:t>
            </w:r>
          </w:p>
        </w:tc>
      </w:tr>
      <w:tr w14:paraId="6AFEE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C3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88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1E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6.5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9E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BB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E1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E8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77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E4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D9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B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35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0.16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2D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0.08</w:t>
            </w:r>
          </w:p>
        </w:tc>
      </w:tr>
      <w:tr w14:paraId="447DE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C6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F6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FA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6.5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AE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27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82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BF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E9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F5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0.42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4C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22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EC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0.15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27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0.075</w:t>
            </w:r>
          </w:p>
        </w:tc>
      </w:tr>
      <w:tr w14:paraId="23BFF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3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B002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69F7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1.2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3ADB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6.5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D9AD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FC6C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0.9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3453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0.75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7CAB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0.65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3ECB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5216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0.37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7637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0.26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71C8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0.19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E86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0.13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6488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0.065</w:t>
            </w:r>
          </w:p>
        </w:tc>
      </w:tr>
    </w:tbl>
    <w:p w14:paraId="07B2F073">
      <w:pPr>
        <w:spacing w:before="156" w:beforeLines="50" w:line="480" w:lineRule="auto"/>
        <w:jc w:val="center"/>
        <w:rPr>
          <w:b/>
          <w:sz w:val="24"/>
          <w:szCs w:val="24"/>
          <w:highlight w:val="none"/>
        </w:rPr>
      </w:pPr>
    </w:p>
    <w:p w14:paraId="6BB11AF1">
      <w:pPr>
        <w:spacing w:before="156" w:beforeLines="50" w:line="480" w:lineRule="auto"/>
        <w:jc w:val="center"/>
        <w:rPr>
          <w:b/>
          <w:sz w:val="24"/>
          <w:szCs w:val="24"/>
          <w:highlight w:val="none"/>
        </w:rPr>
      </w:pPr>
    </w:p>
    <w:p w14:paraId="47272176">
      <w:pPr>
        <w:spacing w:before="156" w:beforeLines="50" w:line="480" w:lineRule="auto"/>
        <w:jc w:val="center"/>
        <w:rPr>
          <w:b/>
          <w:sz w:val="24"/>
          <w:szCs w:val="24"/>
          <w:highlight w:val="none"/>
        </w:rPr>
      </w:pPr>
    </w:p>
    <w:p w14:paraId="78D000E8">
      <w:pPr>
        <w:spacing w:before="156" w:beforeLines="50" w:line="480" w:lineRule="auto"/>
        <w:jc w:val="center"/>
        <w:rPr>
          <w:b/>
          <w:sz w:val="24"/>
          <w:szCs w:val="24"/>
          <w:highlight w:val="none"/>
        </w:rPr>
      </w:pPr>
    </w:p>
    <w:p w14:paraId="3B6120C5">
      <w:pPr>
        <w:spacing w:before="156" w:beforeLines="50" w:line="480" w:lineRule="auto"/>
        <w:jc w:val="center"/>
        <w:rPr>
          <w:b/>
          <w:sz w:val="24"/>
          <w:szCs w:val="24"/>
          <w:highlight w:val="none"/>
        </w:rPr>
      </w:pPr>
    </w:p>
    <w:p w14:paraId="71DFEE80">
      <w:pPr>
        <w:spacing w:before="156" w:beforeLines="50" w:line="480" w:lineRule="auto"/>
        <w:jc w:val="center"/>
        <w:rPr>
          <w:b/>
          <w:sz w:val="24"/>
          <w:szCs w:val="24"/>
          <w:highlight w:val="none"/>
        </w:rPr>
      </w:pPr>
    </w:p>
    <w:p w14:paraId="3145FCA6">
      <w:pPr>
        <w:spacing w:before="156" w:beforeLines="50" w:line="480" w:lineRule="auto"/>
        <w:jc w:val="center"/>
        <w:rPr>
          <w:b/>
          <w:sz w:val="24"/>
          <w:szCs w:val="24"/>
          <w:highlight w:val="none"/>
        </w:rPr>
      </w:pPr>
    </w:p>
    <w:p w14:paraId="468FE760">
      <w:pPr>
        <w:spacing w:before="156" w:beforeLines="50" w:line="480" w:lineRule="auto"/>
        <w:jc w:val="center"/>
        <w:rPr>
          <w:b/>
          <w:sz w:val="24"/>
          <w:szCs w:val="24"/>
          <w:highlight w:val="none"/>
        </w:rPr>
      </w:pP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6">
    <w:p/>
  </w:footnote>
  <w:footnote w:type="continuationSeparator" w:id="7">
    <w:p/>
  </w:footnote>
  <w:footnote w:id="0">
    <w:p w14:paraId="63A6DF1A">
      <w:pPr>
        <w:spacing w:before="120"/>
        <w:rPr>
          <w:sz w:val="21"/>
        </w:rPr>
      </w:pPr>
    </w:p>
  </w:footnote>
  <w:footnote w:id="1">
    <w:p w14:paraId="42096334">
      <w:pPr>
        <w:spacing w:before="120"/>
        <w:rPr>
          <w:sz w:val="21"/>
        </w:rPr>
      </w:pPr>
    </w:p>
  </w:footnote>
  <w:footnote w:id="2">
    <w:p w14:paraId="0749C463">
      <w:pPr>
        <w:pStyle w:val="21"/>
        <w:spacing w:before="120"/>
        <w:ind w:firstLine="0"/>
        <w:rPr>
          <w:sz w:val="21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6D99FD"/>
    <w:multiLevelType w:val="singleLevel"/>
    <w:tmpl w:val="896D99FD"/>
    <w:lvl w:ilvl="0" w:tentative="0">
      <w:start w:val="1"/>
      <w:numFmt w:val="low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NotTrackMoves/>
  <w:doNotTrackFormatting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6"/>
    <w:footnote w:id="7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JhY2QwMDY4NzNiZDZkZTQzMmI3ZTk1OTYxOTlhZWQifQ=="/>
  </w:docVars>
  <w:rsids>
    <w:rsidRoot w:val="00172A27"/>
    <w:rsid w:val="00186FA5"/>
    <w:rsid w:val="002F05DC"/>
    <w:rsid w:val="0033461C"/>
    <w:rsid w:val="0036779E"/>
    <w:rsid w:val="00922478"/>
    <w:rsid w:val="00AB4266"/>
    <w:rsid w:val="00C12EC9"/>
    <w:rsid w:val="00D514C4"/>
    <w:rsid w:val="00EB5E0D"/>
    <w:rsid w:val="00EC0666"/>
    <w:rsid w:val="00F60E02"/>
    <w:rsid w:val="00FA7FFC"/>
    <w:rsid w:val="10CD00B3"/>
    <w:rsid w:val="14C20D6D"/>
    <w:rsid w:val="20242707"/>
    <w:rsid w:val="202E5046"/>
    <w:rsid w:val="2AB27175"/>
    <w:rsid w:val="2C9034E6"/>
    <w:rsid w:val="34C67823"/>
    <w:rsid w:val="35C91817"/>
    <w:rsid w:val="38814D30"/>
    <w:rsid w:val="3DDF3C75"/>
    <w:rsid w:val="436A3627"/>
    <w:rsid w:val="4521655E"/>
    <w:rsid w:val="456D47A1"/>
    <w:rsid w:val="4D7A784B"/>
    <w:rsid w:val="4FA9048F"/>
    <w:rsid w:val="51D17E76"/>
    <w:rsid w:val="5217167F"/>
    <w:rsid w:val="5DD24E5D"/>
    <w:rsid w:val="6659611C"/>
    <w:rsid w:val="69674097"/>
    <w:rsid w:val="6AB06526"/>
    <w:rsid w:val="703707B1"/>
    <w:rsid w:val="71002E01"/>
    <w:rsid w:val="776A50FD"/>
    <w:rsid w:val="78173A28"/>
    <w:rsid w:val="7E4C04E7"/>
    <w:rsid w:val="7E52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line number"/>
    <w:basedOn w:val="6"/>
    <w:autoRedefine/>
    <w:semiHidden/>
    <w:unhideWhenUsed/>
    <w:qFormat/>
    <w:uiPriority w:val="99"/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Header Char"/>
    <w:basedOn w:val="6"/>
    <w:link w:val="3"/>
    <w:autoRedefine/>
    <w:qFormat/>
    <w:uiPriority w:val="99"/>
    <w:rPr>
      <w:sz w:val="18"/>
      <w:szCs w:val="18"/>
    </w:rPr>
  </w:style>
  <w:style w:type="character" w:customStyle="1" w:styleId="10">
    <w:name w:val="Footer Char"/>
    <w:basedOn w:val="6"/>
    <w:link w:val="2"/>
    <w:autoRedefine/>
    <w:qFormat/>
    <w:uiPriority w:val="99"/>
    <w:rPr>
      <w:sz w:val="18"/>
      <w:szCs w:val="18"/>
    </w:rPr>
  </w:style>
  <w:style w:type="character" w:customStyle="1" w:styleId="11">
    <w:name w:val="Unresolved Mention"/>
    <w:basedOn w:val="6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3">
    <w:name w:val="网格型1"/>
    <w:basedOn w:val="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BD_Abstract"/>
    <w:basedOn w:val="1"/>
    <w:next w:val="1"/>
    <w:autoRedefine/>
    <w:qFormat/>
    <w:uiPriority w:val="0"/>
    <w:pPr>
      <w:widowControl/>
      <w:spacing w:before="360" w:after="36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15">
    <w:name w:val="Revision"/>
    <w:autoRedefine/>
    <w:hidden/>
    <w:semiHidden/>
    <w:qFormat/>
    <w:uiPriority w:val="99"/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EndNote Bibliography"/>
    <w:basedOn w:val="1"/>
    <w:link w:val="17"/>
    <w:autoRedefine/>
    <w:qFormat/>
    <w:uiPriority w:val="0"/>
    <w:rPr>
      <w:rFonts w:ascii="等线" w:hAnsi="等线" w:eastAsia="等线"/>
      <w:sz w:val="20"/>
      <w:lang w:val="en-GB"/>
    </w:rPr>
  </w:style>
  <w:style w:type="character" w:customStyle="1" w:styleId="17">
    <w:name w:val="EndNote Bibliography 字符"/>
    <w:basedOn w:val="6"/>
    <w:link w:val="16"/>
    <w:autoRedefine/>
    <w:qFormat/>
    <w:uiPriority w:val="0"/>
    <w:rPr>
      <w:rFonts w:ascii="等线" w:hAnsi="等线" w:eastAsia="等线"/>
      <w:sz w:val="20"/>
      <w:lang w:val="en-GB"/>
    </w:rPr>
  </w:style>
  <w:style w:type="character" w:customStyle="1" w:styleId="18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bscript"/>
    </w:rPr>
  </w:style>
  <w:style w:type="character" w:customStyle="1" w:styleId="19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bscript"/>
    </w:rPr>
  </w:style>
  <w:style w:type="paragraph" w:customStyle="1" w:styleId="21">
    <w:name w:val="海河课题论文集 正文"/>
    <w:basedOn w:val="1"/>
    <w:qFormat/>
    <w:uiPriority w:val="99"/>
    <w:pPr>
      <w:widowControl w:val="0"/>
      <w:spacing w:line="240" w:lineRule="auto"/>
      <w:ind w:firstLine="420"/>
    </w:pPr>
    <w:rPr>
      <w:rFonts w:ascii="Times New Roman" w:hAnsi="宋体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2.bin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314</Words>
  <Characters>1896</Characters>
  <Lines>99</Lines>
  <Paragraphs>28</Paragraphs>
  <TotalTime>0</TotalTime>
  <ScaleCrop>false</ScaleCrop>
  <LinksUpToDate>false</LinksUpToDate>
  <CharactersWithSpaces>2151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2023-05-16T16:02:00Z</dcterms:created>
  <dc:creator>Songtao Liu</dc:creator>
  <cp:lastModifiedBy>二十九日</cp:lastModifiedBy>
  <cp:lastPrinted>2023-06-02T16:13:00Z</cp:lastPrinted>
  <dcterms:modified xsi:type="dcterms:W3CDTF">2024-11-08T06:02:11Z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47F3DDB1D5DD4DCA9B2BB7E3C051603F_13</vt:lpwstr>
  </property>
</Properties>
</file>