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03A030" w14:textId="7AE034A0" w:rsidR="00657C5F" w:rsidRPr="00C44CB2" w:rsidRDefault="00657C5F" w:rsidP="795FA168">
      <w:pPr>
        <w:pStyle w:val="NormalWeb"/>
        <w:rPr>
          <w:rFonts w:asciiTheme="minorHAnsi" w:hAnsiTheme="minorHAnsi" w:cstheme="minorBidi"/>
          <w:sz w:val="22"/>
          <w:szCs w:val="22"/>
        </w:rPr>
      </w:pPr>
      <w:r w:rsidRPr="00C44CB2">
        <w:rPr>
          <w:rFonts w:asciiTheme="minorHAnsi" w:hAnsiTheme="minorHAnsi" w:cstheme="minorBidi"/>
          <w:sz w:val="22"/>
          <w:szCs w:val="22"/>
        </w:rPr>
        <w:t xml:space="preserve">Supplementary material: Pilot trial to determine dose for intraperitoneal injection of </w:t>
      </w:r>
      <w:r w:rsidRPr="00C44CB2">
        <w:rPr>
          <w:rFonts w:asciiTheme="minorHAnsi" w:hAnsiTheme="minorHAnsi" w:cstheme="minorBidi"/>
          <w:i/>
          <w:iCs/>
          <w:sz w:val="22"/>
          <w:szCs w:val="22"/>
        </w:rPr>
        <w:t xml:space="preserve">S. </w:t>
      </w:r>
      <w:proofErr w:type="spellStart"/>
      <w:r w:rsidRPr="00C44CB2">
        <w:rPr>
          <w:rFonts w:asciiTheme="minorHAnsi" w:hAnsiTheme="minorHAnsi" w:cstheme="minorBidi"/>
          <w:i/>
          <w:iCs/>
          <w:sz w:val="22"/>
          <w:szCs w:val="22"/>
        </w:rPr>
        <w:t>iniae</w:t>
      </w:r>
      <w:proofErr w:type="spellEnd"/>
      <w:r w:rsidRPr="00C44CB2">
        <w:rPr>
          <w:rFonts w:asciiTheme="minorHAnsi" w:hAnsiTheme="minorHAnsi" w:cstheme="minorBidi"/>
          <w:sz w:val="22"/>
          <w:szCs w:val="22"/>
        </w:rPr>
        <w:t xml:space="preserve"> into juvenile </w:t>
      </w:r>
      <w:r w:rsidR="005A1A38" w:rsidRPr="00C44CB2">
        <w:rPr>
          <w:rFonts w:asciiTheme="minorHAnsi" w:hAnsiTheme="minorHAnsi" w:cstheme="minorBidi"/>
          <w:sz w:val="22"/>
          <w:szCs w:val="22"/>
        </w:rPr>
        <w:t xml:space="preserve">Asian sea bass </w:t>
      </w:r>
      <w:r w:rsidRPr="00C44CB2">
        <w:rPr>
          <w:rFonts w:asciiTheme="minorHAnsi" w:hAnsiTheme="minorHAnsi" w:cstheme="minorBidi"/>
          <w:sz w:val="22"/>
          <w:szCs w:val="22"/>
        </w:rPr>
        <w:t>(</w:t>
      </w:r>
      <w:r w:rsidRPr="00C44CB2">
        <w:rPr>
          <w:rFonts w:asciiTheme="minorHAnsi" w:hAnsiTheme="minorHAnsi" w:cstheme="minorBidi"/>
          <w:i/>
          <w:iCs/>
          <w:sz w:val="22"/>
          <w:szCs w:val="22"/>
        </w:rPr>
        <w:t>Lates calcarifer</w:t>
      </w:r>
      <w:r w:rsidRPr="00C44CB2">
        <w:rPr>
          <w:rFonts w:asciiTheme="minorHAnsi" w:hAnsiTheme="minorHAnsi" w:cstheme="minorBidi"/>
          <w:sz w:val="22"/>
          <w:szCs w:val="22"/>
        </w:rPr>
        <w:t>) held at 37</w:t>
      </w:r>
      <w:r w:rsidR="005A1A38" w:rsidRPr="00C44CB2">
        <w:rPr>
          <w:rFonts w:asciiTheme="minorHAnsi" w:hAnsiTheme="minorHAnsi" w:cstheme="minorHAnsi"/>
          <w:sz w:val="22"/>
          <w:szCs w:val="22"/>
        </w:rPr>
        <w:t>°</w:t>
      </w:r>
      <w:r w:rsidRPr="00C44CB2">
        <w:rPr>
          <w:rFonts w:asciiTheme="minorHAnsi" w:hAnsiTheme="minorHAnsi" w:cstheme="minorBidi"/>
          <w:sz w:val="22"/>
          <w:szCs w:val="22"/>
        </w:rPr>
        <w:t>C.</w:t>
      </w:r>
    </w:p>
    <w:p w14:paraId="238D39C4" w14:textId="5C073263" w:rsidR="004309DC" w:rsidRPr="00C44CB2" w:rsidRDefault="004309DC" w:rsidP="004309DC">
      <w:pPr>
        <w:widowControl w:val="0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ind w:firstLine="360"/>
        <w:rPr>
          <w:rFonts w:cs="Calibri"/>
        </w:rPr>
      </w:pPr>
      <w:r w:rsidRPr="00C44CB2">
        <w:rPr>
          <w:rFonts w:cs="Calibri"/>
          <w:i/>
          <w:iCs/>
        </w:rPr>
        <w:t xml:space="preserve">Streptococcus </w:t>
      </w:r>
      <w:proofErr w:type="spellStart"/>
      <w:r w:rsidRPr="00C44CB2">
        <w:rPr>
          <w:rFonts w:cs="Calibri"/>
          <w:i/>
          <w:iCs/>
        </w:rPr>
        <w:t>iniae</w:t>
      </w:r>
      <w:proofErr w:type="spellEnd"/>
      <w:r w:rsidRPr="00C44CB2">
        <w:rPr>
          <w:rFonts w:cs="Calibri"/>
        </w:rPr>
        <w:t xml:space="preserve"> is an economically significant, gram-positive bacterium affecting several species of teleost but is detected mostly in warm water farmed fish causing septicaemia and meningitis </w:t>
      </w:r>
      <w:r w:rsidR="000111A3" w:rsidRPr="000111A3">
        <w:rPr>
          <w:rFonts w:ascii="Calibri" w:hAnsi="Calibri" w:cs="Calibri"/>
        </w:rPr>
        <w:t>(Agnew and Barnes 2007; Harvie et al. 2012)</w:t>
      </w:r>
      <w:r w:rsidRPr="00C44CB2">
        <w:rPr>
          <w:rFonts w:cs="Calibri"/>
        </w:rPr>
        <w:t xml:space="preserve">. Both adult and juvenile </w:t>
      </w:r>
      <w:r w:rsidR="005A1A38" w:rsidRPr="00C44CB2">
        <w:t>Asian sea bass</w:t>
      </w:r>
      <w:r w:rsidRPr="00C44CB2">
        <w:rPr>
          <w:rFonts w:cs="Calibri"/>
        </w:rPr>
        <w:t xml:space="preserve"> reared in </w:t>
      </w:r>
      <w:proofErr w:type="gramStart"/>
      <w:r w:rsidRPr="00C44CB2">
        <w:rPr>
          <w:rFonts w:cs="Calibri"/>
        </w:rPr>
        <w:t>marine</w:t>
      </w:r>
      <w:proofErr w:type="gramEnd"/>
      <w:r w:rsidRPr="00C44CB2">
        <w:rPr>
          <w:rFonts w:cs="Calibri"/>
        </w:rPr>
        <w:t xml:space="preserve"> and freshwater are affected </w:t>
      </w:r>
      <w:r w:rsidR="001A3D46" w:rsidRPr="001A3D46">
        <w:rPr>
          <w:rFonts w:ascii="Calibri" w:hAnsi="Calibri" w:cs="Calibri"/>
        </w:rPr>
        <w:t xml:space="preserve">(Creeper and Buller 2006; Bromage and Owens 2009; </w:t>
      </w:r>
      <w:proofErr w:type="spellStart"/>
      <w:r w:rsidR="001A3D46" w:rsidRPr="001A3D46">
        <w:rPr>
          <w:rFonts w:ascii="Calibri" w:hAnsi="Calibri" w:cs="Calibri"/>
        </w:rPr>
        <w:t>Siddik</w:t>
      </w:r>
      <w:proofErr w:type="spellEnd"/>
      <w:r w:rsidR="001A3D46" w:rsidRPr="001A3D46">
        <w:rPr>
          <w:rFonts w:ascii="Calibri" w:hAnsi="Calibri" w:cs="Calibri"/>
        </w:rPr>
        <w:t xml:space="preserve"> et al. 2018)</w:t>
      </w:r>
      <w:r w:rsidRPr="00C44CB2">
        <w:rPr>
          <w:rFonts w:cs="Calibri"/>
        </w:rPr>
        <w:t xml:space="preserve"> and clinical signs include but are not limited to loss or orientation, lethargy, swimming erratically, vertebral deformity, melanosis, exophthalmia and emaciation </w:t>
      </w:r>
      <w:r w:rsidR="001A3D46" w:rsidRPr="001A3D46">
        <w:rPr>
          <w:rFonts w:ascii="Calibri" w:hAnsi="Calibri" w:cs="Calibri"/>
        </w:rPr>
        <w:t>(Agnew and Barnes 2007)</w:t>
      </w:r>
      <w:r w:rsidRPr="00C44CB2">
        <w:rPr>
          <w:rFonts w:cs="Calibri"/>
        </w:rPr>
        <w:t xml:space="preserve">. On </w:t>
      </w:r>
      <w:r w:rsidR="00C44CB2" w:rsidRPr="00C44CB2">
        <w:t>Asian sea bass</w:t>
      </w:r>
      <w:r w:rsidRPr="00C44CB2">
        <w:rPr>
          <w:rFonts w:cs="Calibri"/>
        </w:rPr>
        <w:t xml:space="preserve"> farms, </w:t>
      </w:r>
      <w:r w:rsidRPr="00C44CB2">
        <w:rPr>
          <w:rFonts w:cs="Calibri"/>
          <w:i/>
          <w:iCs/>
        </w:rPr>
        <w:t xml:space="preserve">S. </w:t>
      </w:r>
      <w:proofErr w:type="spellStart"/>
      <w:r w:rsidRPr="00C44CB2">
        <w:rPr>
          <w:rFonts w:cs="Calibri"/>
          <w:i/>
          <w:iCs/>
        </w:rPr>
        <w:t>iniae</w:t>
      </w:r>
      <w:proofErr w:type="spellEnd"/>
      <w:r w:rsidRPr="00C44CB2">
        <w:rPr>
          <w:rFonts w:cs="Calibri"/>
        </w:rPr>
        <w:t xml:space="preserve">-associated mortality is highest between 25 – 28 ᵒC but infections have been experimentally induced in fish held as high as 33ᵒC </w:t>
      </w:r>
      <w:r w:rsidR="001A3D46" w:rsidRPr="001A3D46">
        <w:rPr>
          <w:rFonts w:ascii="Calibri" w:hAnsi="Calibri" w:cs="Calibri"/>
        </w:rPr>
        <w:t>(Bromage and Owens 2009)</w:t>
      </w:r>
      <w:r w:rsidRPr="00C44CB2">
        <w:rPr>
          <w:rFonts w:cs="Calibri"/>
        </w:rPr>
        <w:t xml:space="preserve">. In controlled </w:t>
      </w:r>
      <w:r w:rsidRPr="00C44CB2">
        <w:rPr>
          <w:rFonts w:cs="Calibri"/>
          <w:i/>
          <w:iCs/>
        </w:rPr>
        <w:t>in vivo</w:t>
      </w:r>
      <w:r w:rsidRPr="00C44CB2">
        <w:rPr>
          <w:rFonts w:cs="Calibri"/>
        </w:rPr>
        <w:t xml:space="preserve"> trials, fish have been shown to be susceptible to infection through a variety of routes such as oral, bath exposure, cohabitation and intra-peritoneal (IP) injection </w:t>
      </w:r>
      <w:r w:rsidR="00407567" w:rsidRPr="00407567">
        <w:rPr>
          <w:rFonts w:ascii="Calibri" w:hAnsi="Calibri" w:cs="Calibri"/>
        </w:rPr>
        <w:t>(Shoemaker et al. 2000; Bromage and Owens 2002)</w:t>
      </w:r>
      <w:r w:rsidRPr="00C44CB2">
        <w:rPr>
          <w:rFonts w:cs="Calibri"/>
        </w:rPr>
        <w:t xml:space="preserve">. In IP injection trials, it is simple to control a standard dose between fish and mortality generally occurs within 48 hours making this a relevant, reliable and fast disease challenge model to overlay on feeding trials </w:t>
      </w:r>
      <w:r w:rsidR="00452861" w:rsidRPr="00452861">
        <w:rPr>
          <w:rFonts w:ascii="Calibri" w:hAnsi="Calibri" w:cs="Calibri"/>
        </w:rPr>
        <w:t>(Bromage and Owens 2002)</w:t>
      </w:r>
      <w:r w:rsidRPr="00C44CB2">
        <w:rPr>
          <w:rFonts w:cs="Calibri"/>
        </w:rPr>
        <w:t>.</w:t>
      </w:r>
    </w:p>
    <w:p w14:paraId="7A3AE177" w14:textId="01A4486F" w:rsidR="001C4B35" w:rsidRDefault="00991B84" w:rsidP="00AF115C">
      <w:pPr>
        <w:pStyle w:val="NormalWeb"/>
        <w:spacing w:line="360" w:lineRule="auto"/>
        <w:ind w:firstLine="360"/>
        <w:rPr>
          <w:rFonts w:asciiTheme="minorHAnsi" w:hAnsiTheme="minorHAnsi" w:cstheme="minorBidi"/>
          <w:sz w:val="22"/>
          <w:szCs w:val="22"/>
        </w:rPr>
      </w:pPr>
      <w:r w:rsidRPr="00C44CB2">
        <w:rPr>
          <w:rFonts w:asciiTheme="minorHAnsi" w:hAnsiTheme="minorHAnsi" w:cstheme="minorBidi"/>
          <w:sz w:val="22"/>
          <w:szCs w:val="22"/>
        </w:rPr>
        <w:t xml:space="preserve">A pilot trial was conducted to determine the optimal dose of </w:t>
      </w:r>
      <w:r w:rsidRPr="00C44CB2">
        <w:rPr>
          <w:rFonts w:asciiTheme="minorHAnsi" w:hAnsiTheme="minorHAnsi" w:cstheme="minorBidi"/>
          <w:i/>
          <w:iCs/>
          <w:sz w:val="22"/>
          <w:szCs w:val="22"/>
        </w:rPr>
        <w:t xml:space="preserve">S. </w:t>
      </w:r>
      <w:proofErr w:type="spellStart"/>
      <w:r w:rsidRPr="00C44CB2">
        <w:rPr>
          <w:rFonts w:asciiTheme="minorHAnsi" w:hAnsiTheme="minorHAnsi" w:cstheme="minorBidi"/>
          <w:i/>
          <w:iCs/>
          <w:sz w:val="22"/>
          <w:szCs w:val="22"/>
        </w:rPr>
        <w:t>iniae</w:t>
      </w:r>
      <w:proofErr w:type="spellEnd"/>
      <w:r w:rsidRPr="00C44CB2">
        <w:rPr>
          <w:rFonts w:asciiTheme="minorHAnsi" w:hAnsiTheme="minorHAnsi" w:cstheme="minorBidi"/>
          <w:sz w:val="22"/>
          <w:szCs w:val="22"/>
        </w:rPr>
        <w:t xml:space="preserve"> for juvenile </w:t>
      </w:r>
      <w:r w:rsidR="005A1A38" w:rsidRPr="00C44CB2">
        <w:rPr>
          <w:rFonts w:asciiTheme="minorHAnsi" w:hAnsiTheme="minorHAnsi" w:cstheme="minorBidi"/>
          <w:sz w:val="22"/>
          <w:szCs w:val="22"/>
        </w:rPr>
        <w:t>Asian sea bass</w:t>
      </w:r>
      <w:r w:rsidRPr="00C44CB2">
        <w:rPr>
          <w:rFonts w:asciiTheme="minorHAnsi" w:hAnsiTheme="minorHAnsi" w:cstheme="minorBidi"/>
          <w:sz w:val="22"/>
          <w:szCs w:val="22"/>
        </w:rPr>
        <w:t xml:space="preserve"> held at 37</w:t>
      </w:r>
      <w:r w:rsidR="00CA6DBF" w:rsidRPr="00C44CB2">
        <w:rPr>
          <w:rFonts w:asciiTheme="minorHAnsi" w:hAnsiTheme="minorHAnsi" w:cstheme="minorBidi"/>
          <w:sz w:val="22"/>
          <w:szCs w:val="22"/>
        </w:rPr>
        <w:t>°</w:t>
      </w:r>
      <w:r w:rsidRPr="00C44CB2">
        <w:rPr>
          <w:rFonts w:asciiTheme="minorHAnsi" w:hAnsiTheme="minorHAnsi" w:cstheme="minorBidi"/>
          <w:sz w:val="22"/>
          <w:szCs w:val="22"/>
        </w:rPr>
        <w:t>C</w:t>
      </w:r>
      <w:r w:rsidR="00CA6DBF" w:rsidRPr="00C44CB2">
        <w:rPr>
          <w:rFonts w:asciiTheme="minorHAnsi" w:hAnsiTheme="minorHAnsi" w:cstheme="minorBidi"/>
          <w:sz w:val="22"/>
          <w:szCs w:val="22"/>
        </w:rPr>
        <w:t xml:space="preserve">. </w:t>
      </w:r>
      <w:r w:rsidR="00137350" w:rsidRPr="00C44CB2">
        <w:rPr>
          <w:rFonts w:asciiTheme="minorHAnsi" w:hAnsiTheme="minorHAnsi" w:cstheme="minorBidi"/>
          <w:sz w:val="22"/>
          <w:szCs w:val="22"/>
        </w:rPr>
        <w:t xml:space="preserve">A subset of </w:t>
      </w:r>
      <w:r w:rsidR="005A1A38" w:rsidRPr="00C44CB2">
        <w:rPr>
          <w:rFonts w:asciiTheme="minorHAnsi" w:hAnsiTheme="minorHAnsi" w:cstheme="minorBidi"/>
          <w:sz w:val="22"/>
          <w:szCs w:val="22"/>
        </w:rPr>
        <w:t>Asian sea bass</w:t>
      </w:r>
      <w:r w:rsidR="00175670" w:rsidRPr="00C44CB2">
        <w:rPr>
          <w:rFonts w:asciiTheme="minorHAnsi" w:hAnsiTheme="minorHAnsi" w:cstheme="minorBidi"/>
          <w:sz w:val="22"/>
          <w:szCs w:val="22"/>
        </w:rPr>
        <w:t xml:space="preserve"> (n = </w:t>
      </w:r>
      <w:r w:rsidR="00A37FE8" w:rsidRPr="00C44CB2">
        <w:rPr>
          <w:rFonts w:asciiTheme="minorHAnsi" w:hAnsiTheme="minorHAnsi" w:cstheme="minorBidi"/>
          <w:sz w:val="22"/>
          <w:szCs w:val="22"/>
        </w:rPr>
        <w:t>20/</w:t>
      </w:r>
      <w:r w:rsidR="004258B3" w:rsidRPr="00C44CB2">
        <w:rPr>
          <w:rFonts w:asciiTheme="minorHAnsi" w:hAnsiTheme="minorHAnsi" w:cstheme="minorBidi"/>
          <w:sz w:val="22"/>
          <w:szCs w:val="22"/>
        </w:rPr>
        <w:t>treatment</w:t>
      </w:r>
      <w:r w:rsidR="00175670" w:rsidRPr="00C44CB2">
        <w:rPr>
          <w:rFonts w:asciiTheme="minorHAnsi" w:hAnsiTheme="minorHAnsi" w:cstheme="minorBidi"/>
          <w:sz w:val="22"/>
          <w:szCs w:val="22"/>
        </w:rPr>
        <w:t xml:space="preserve">, </w:t>
      </w:r>
      <w:r w:rsidR="00A0483B" w:rsidRPr="00C44CB2">
        <w:rPr>
          <w:rFonts w:asciiTheme="minorHAnsi" w:hAnsiTheme="minorHAnsi" w:cstheme="minorBidi"/>
          <w:sz w:val="22"/>
          <w:szCs w:val="22"/>
        </w:rPr>
        <w:t xml:space="preserve">mass = </w:t>
      </w:r>
      <w:r w:rsidR="2C146E8B" w:rsidRPr="00C44CB2">
        <w:rPr>
          <w:rFonts w:asciiTheme="minorHAnsi" w:hAnsiTheme="minorHAnsi" w:cstheme="minorBidi"/>
          <w:sz w:val="22"/>
          <w:szCs w:val="22"/>
        </w:rPr>
        <w:t xml:space="preserve">82 ± 12.7 g </w:t>
      </w:r>
      <w:r w:rsidR="00A0483B" w:rsidRPr="00C44CB2">
        <w:rPr>
          <w:rFonts w:asciiTheme="minorHAnsi" w:hAnsiTheme="minorHAnsi" w:cstheme="minorBidi"/>
          <w:sz w:val="22"/>
          <w:szCs w:val="22"/>
        </w:rPr>
        <w:t xml:space="preserve">) </w:t>
      </w:r>
      <w:r w:rsidR="00137350" w:rsidRPr="00C44CB2">
        <w:rPr>
          <w:rFonts w:asciiTheme="minorHAnsi" w:hAnsiTheme="minorHAnsi" w:cstheme="minorBidi"/>
          <w:sz w:val="22"/>
          <w:szCs w:val="22"/>
        </w:rPr>
        <w:t xml:space="preserve">from the same cohort as those in the experiment </w:t>
      </w:r>
      <w:r w:rsidR="003E1DA6" w:rsidRPr="00C44CB2">
        <w:rPr>
          <w:rFonts w:asciiTheme="minorHAnsi" w:hAnsiTheme="minorHAnsi" w:cstheme="minorBidi"/>
          <w:sz w:val="22"/>
          <w:szCs w:val="22"/>
        </w:rPr>
        <w:t xml:space="preserve">underwent a thermal ramp at </w:t>
      </w:r>
      <w:r w:rsidR="709BB7FE" w:rsidRPr="00C44CB2">
        <w:rPr>
          <w:rFonts w:asciiTheme="minorHAnsi" w:hAnsiTheme="minorHAnsi" w:cstheme="minorBidi"/>
          <w:sz w:val="22"/>
          <w:szCs w:val="22"/>
        </w:rPr>
        <w:t>1</w:t>
      </w:r>
      <w:r w:rsidR="003E1DA6" w:rsidRPr="00C44CB2">
        <w:rPr>
          <w:rFonts w:asciiTheme="minorHAnsi" w:hAnsiTheme="minorHAnsi" w:cstheme="minorBidi"/>
          <w:sz w:val="22"/>
          <w:szCs w:val="22"/>
        </w:rPr>
        <w:t>°C a day until 37°C and held there for a minimum of</w:t>
      </w:r>
      <w:r w:rsidR="004B614D" w:rsidRPr="00C44CB2">
        <w:rPr>
          <w:rFonts w:asciiTheme="minorHAnsi" w:hAnsiTheme="minorHAnsi" w:cstheme="minorBidi"/>
          <w:sz w:val="22"/>
          <w:szCs w:val="22"/>
        </w:rPr>
        <w:t xml:space="preserve"> 1 week until the bacterial challenge. </w:t>
      </w:r>
      <w:r w:rsidR="005B3C64" w:rsidRPr="00C44CB2">
        <w:rPr>
          <w:rFonts w:asciiTheme="minorHAnsi" w:hAnsiTheme="minorHAnsi" w:cstheme="minorBidi"/>
          <w:sz w:val="22"/>
          <w:szCs w:val="22"/>
        </w:rPr>
        <w:t>Fish were dip</w:t>
      </w:r>
      <w:r w:rsidR="00137350" w:rsidRPr="00C44CB2">
        <w:rPr>
          <w:rFonts w:asciiTheme="minorHAnsi" w:hAnsiTheme="minorHAnsi" w:cstheme="minorBidi"/>
          <w:sz w:val="22"/>
          <w:szCs w:val="22"/>
        </w:rPr>
        <w:t>-</w:t>
      </w:r>
      <w:r w:rsidR="005B3C64" w:rsidRPr="00C44CB2">
        <w:rPr>
          <w:rFonts w:asciiTheme="minorHAnsi" w:hAnsiTheme="minorHAnsi" w:cstheme="minorBidi"/>
          <w:sz w:val="22"/>
          <w:szCs w:val="22"/>
        </w:rPr>
        <w:t>netted out of their holding tank</w:t>
      </w:r>
      <w:r w:rsidR="001C7ABC" w:rsidRPr="00C44CB2">
        <w:rPr>
          <w:rFonts w:asciiTheme="minorHAnsi" w:hAnsiTheme="minorHAnsi" w:cstheme="minorBidi"/>
          <w:sz w:val="22"/>
          <w:szCs w:val="22"/>
        </w:rPr>
        <w:t xml:space="preserve">, </w:t>
      </w:r>
      <w:r w:rsidR="00DD0801" w:rsidRPr="00C44CB2">
        <w:rPr>
          <w:rFonts w:asciiTheme="minorHAnsi" w:hAnsiTheme="minorHAnsi" w:cstheme="minorBidi"/>
          <w:sz w:val="22"/>
          <w:szCs w:val="22"/>
        </w:rPr>
        <w:t xml:space="preserve">intraperitoneally </w:t>
      </w:r>
      <w:r w:rsidR="001C7ABC" w:rsidRPr="00C44CB2">
        <w:rPr>
          <w:rFonts w:asciiTheme="minorHAnsi" w:hAnsiTheme="minorHAnsi" w:cstheme="minorBidi"/>
          <w:sz w:val="22"/>
          <w:szCs w:val="22"/>
        </w:rPr>
        <w:t xml:space="preserve">injected with either PBS to serve as negative controls or one of 3 doses of </w:t>
      </w:r>
      <w:r w:rsidR="001C7ABC" w:rsidRPr="00C44CB2">
        <w:rPr>
          <w:rFonts w:asciiTheme="minorHAnsi" w:hAnsiTheme="minorHAnsi" w:cstheme="minorBidi"/>
          <w:i/>
          <w:iCs/>
          <w:sz w:val="22"/>
          <w:szCs w:val="22"/>
        </w:rPr>
        <w:t xml:space="preserve">S. </w:t>
      </w:r>
      <w:proofErr w:type="spellStart"/>
      <w:r w:rsidR="001C7ABC" w:rsidRPr="00C44CB2">
        <w:rPr>
          <w:rFonts w:asciiTheme="minorHAnsi" w:hAnsiTheme="minorHAnsi" w:cstheme="minorBidi"/>
          <w:i/>
          <w:iCs/>
          <w:sz w:val="22"/>
          <w:szCs w:val="22"/>
        </w:rPr>
        <w:t>iniae</w:t>
      </w:r>
      <w:proofErr w:type="spellEnd"/>
      <w:r w:rsidR="001C7ABC" w:rsidRPr="00C44CB2">
        <w:rPr>
          <w:rFonts w:asciiTheme="minorHAnsi" w:hAnsiTheme="minorHAnsi" w:cstheme="minorBidi"/>
          <w:sz w:val="22"/>
          <w:szCs w:val="22"/>
        </w:rPr>
        <w:t xml:space="preserve"> (</w:t>
      </w:r>
      <w:r w:rsidR="00710D45" w:rsidRPr="00C44CB2">
        <w:rPr>
          <w:rFonts w:asciiTheme="minorHAnsi" w:hAnsiTheme="minorHAnsi" w:cstheme="minorBidi"/>
          <w:sz w:val="22"/>
          <w:szCs w:val="22"/>
        </w:rPr>
        <w:t>10</w:t>
      </w:r>
      <w:r w:rsidR="00710D45" w:rsidRPr="00C44CB2">
        <w:rPr>
          <w:rFonts w:asciiTheme="minorHAnsi" w:hAnsiTheme="minorHAnsi" w:cstheme="minorBidi"/>
          <w:sz w:val="22"/>
          <w:szCs w:val="22"/>
          <w:vertAlign w:val="superscript"/>
        </w:rPr>
        <w:t>3</w:t>
      </w:r>
      <w:r w:rsidR="00710D45" w:rsidRPr="00C44CB2">
        <w:rPr>
          <w:rFonts w:asciiTheme="minorHAnsi" w:hAnsiTheme="minorHAnsi" w:cstheme="minorBidi"/>
          <w:sz w:val="22"/>
          <w:szCs w:val="22"/>
        </w:rPr>
        <w:t>, 10</w:t>
      </w:r>
      <w:r w:rsidR="00710D45" w:rsidRPr="00C44CB2">
        <w:rPr>
          <w:rFonts w:asciiTheme="minorHAnsi" w:hAnsiTheme="minorHAnsi" w:cstheme="minorBidi"/>
          <w:sz w:val="22"/>
          <w:szCs w:val="22"/>
          <w:vertAlign w:val="superscript"/>
        </w:rPr>
        <w:t>4</w:t>
      </w:r>
      <w:r w:rsidR="00710D45" w:rsidRPr="00C44CB2">
        <w:rPr>
          <w:rFonts w:asciiTheme="minorHAnsi" w:hAnsiTheme="minorHAnsi" w:cstheme="minorBidi"/>
          <w:sz w:val="22"/>
          <w:szCs w:val="22"/>
        </w:rPr>
        <w:t>, or 10</w:t>
      </w:r>
      <w:r w:rsidR="00710D45" w:rsidRPr="00C44CB2">
        <w:rPr>
          <w:rFonts w:asciiTheme="minorHAnsi" w:hAnsiTheme="minorHAnsi" w:cstheme="minorBidi"/>
          <w:sz w:val="22"/>
          <w:szCs w:val="22"/>
          <w:vertAlign w:val="superscript"/>
        </w:rPr>
        <w:t>5</w:t>
      </w:r>
      <w:r w:rsidR="00710D45" w:rsidRPr="00C44CB2">
        <w:rPr>
          <w:rFonts w:asciiTheme="minorHAnsi" w:hAnsiTheme="minorHAnsi" w:cstheme="minorBidi"/>
          <w:sz w:val="22"/>
          <w:szCs w:val="22"/>
        </w:rPr>
        <w:t xml:space="preserve"> CFU/fish). Additionally, </w:t>
      </w:r>
      <w:r w:rsidR="002547CE" w:rsidRPr="00C44CB2">
        <w:rPr>
          <w:rFonts w:asciiTheme="minorHAnsi" w:hAnsiTheme="minorHAnsi" w:cstheme="minorBidi"/>
          <w:sz w:val="22"/>
          <w:szCs w:val="22"/>
        </w:rPr>
        <w:t xml:space="preserve">fish were tagged with visible implantable elastomer tags </w:t>
      </w:r>
      <w:r w:rsidR="00DD0801" w:rsidRPr="00C44CB2">
        <w:rPr>
          <w:rFonts w:asciiTheme="minorHAnsi" w:hAnsiTheme="minorHAnsi" w:cstheme="minorBidi"/>
          <w:sz w:val="22"/>
          <w:szCs w:val="22"/>
        </w:rPr>
        <w:t>to identify their treatment group. Then fish were placed in a 400 L tank at 37°C</w:t>
      </w:r>
      <w:r w:rsidR="00D948C6" w:rsidRPr="00C44CB2">
        <w:rPr>
          <w:rFonts w:asciiTheme="minorHAnsi" w:hAnsiTheme="minorHAnsi" w:cstheme="minorBidi"/>
          <w:sz w:val="22"/>
          <w:szCs w:val="22"/>
        </w:rPr>
        <w:t xml:space="preserve"> with a recirculation biological filter attached. Mortality checks occurred twice a day for </w:t>
      </w:r>
      <w:r w:rsidR="00766EE6" w:rsidRPr="00C44CB2">
        <w:rPr>
          <w:rFonts w:asciiTheme="minorHAnsi" w:hAnsiTheme="minorHAnsi" w:cstheme="minorBidi"/>
          <w:sz w:val="22"/>
          <w:szCs w:val="22"/>
        </w:rPr>
        <w:t xml:space="preserve">6 days. From the pilot trial, a </w:t>
      </w:r>
      <w:r w:rsidR="2F409D30" w:rsidRPr="00C44CB2">
        <w:rPr>
          <w:rFonts w:asciiTheme="minorHAnsi" w:hAnsiTheme="minorHAnsi" w:cstheme="minorBidi"/>
          <w:sz w:val="22"/>
          <w:szCs w:val="22"/>
        </w:rPr>
        <w:t xml:space="preserve">target </w:t>
      </w:r>
      <w:r w:rsidR="00766EE6" w:rsidRPr="00C44CB2">
        <w:rPr>
          <w:rFonts w:asciiTheme="minorHAnsi" w:hAnsiTheme="minorHAnsi" w:cstheme="minorBidi"/>
          <w:sz w:val="22"/>
          <w:szCs w:val="22"/>
        </w:rPr>
        <w:t>challenge dose of</w:t>
      </w:r>
      <w:r w:rsidR="00CC7CC0" w:rsidRPr="00C44CB2">
        <w:rPr>
          <w:rFonts w:asciiTheme="minorHAnsi" w:hAnsiTheme="minorHAnsi" w:cstheme="minorBidi"/>
          <w:sz w:val="22"/>
          <w:szCs w:val="22"/>
        </w:rPr>
        <w:t xml:space="preserve"> 10</w:t>
      </w:r>
      <w:r w:rsidR="00CC7CC0" w:rsidRPr="00C44CB2">
        <w:rPr>
          <w:rFonts w:asciiTheme="minorHAnsi" w:hAnsiTheme="minorHAnsi" w:cstheme="minorBidi"/>
          <w:sz w:val="22"/>
          <w:szCs w:val="22"/>
          <w:vertAlign w:val="superscript"/>
        </w:rPr>
        <w:t>2</w:t>
      </w:r>
      <w:r w:rsidR="00CC7CC0" w:rsidRPr="00C44CB2">
        <w:rPr>
          <w:rFonts w:asciiTheme="minorHAnsi" w:hAnsiTheme="minorHAnsi" w:cstheme="minorBidi"/>
          <w:sz w:val="22"/>
          <w:szCs w:val="22"/>
        </w:rPr>
        <w:t xml:space="preserve"> CFU/fish was</w:t>
      </w:r>
      <w:r w:rsidR="35A73394" w:rsidRPr="00C44CB2">
        <w:rPr>
          <w:rFonts w:asciiTheme="minorHAnsi" w:hAnsiTheme="minorHAnsi" w:cstheme="minorBidi"/>
          <w:sz w:val="22"/>
          <w:szCs w:val="22"/>
        </w:rPr>
        <w:t xml:space="preserve"> chosen </w:t>
      </w:r>
      <w:r w:rsidR="2623D12F" w:rsidRPr="00C44CB2">
        <w:rPr>
          <w:rFonts w:asciiTheme="minorHAnsi" w:hAnsiTheme="minorHAnsi" w:cstheme="minorBidi"/>
          <w:sz w:val="22"/>
          <w:szCs w:val="22"/>
        </w:rPr>
        <w:t>because we wanted</w:t>
      </w:r>
      <w:r w:rsidR="35A73394" w:rsidRPr="00C44CB2">
        <w:rPr>
          <w:rFonts w:asciiTheme="minorHAnsi" w:hAnsiTheme="minorHAnsi" w:cstheme="minorBidi"/>
          <w:sz w:val="22"/>
          <w:szCs w:val="22"/>
        </w:rPr>
        <w:t xml:space="preserve"> mortality less then </w:t>
      </w:r>
      <w:r w:rsidR="7843A76C" w:rsidRPr="00C44CB2">
        <w:rPr>
          <w:rFonts w:asciiTheme="minorHAnsi" w:hAnsiTheme="minorHAnsi" w:cstheme="minorBidi"/>
          <w:sz w:val="22"/>
          <w:szCs w:val="22"/>
        </w:rPr>
        <w:t>~</w:t>
      </w:r>
      <w:r w:rsidR="35A73394" w:rsidRPr="00C44CB2">
        <w:rPr>
          <w:rFonts w:asciiTheme="minorHAnsi" w:hAnsiTheme="minorHAnsi" w:cstheme="minorBidi"/>
          <w:sz w:val="22"/>
          <w:szCs w:val="22"/>
        </w:rPr>
        <w:t xml:space="preserve">25% so that there were enough fish remaining to sample </w:t>
      </w:r>
      <w:r w:rsidR="38438E5F" w:rsidRPr="00C44CB2">
        <w:rPr>
          <w:rFonts w:asciiTheme="minorHAnsi" w:hAnsiTheme="minorHAnsi" w:cstheme="minorBidi"/>
          <w:sz w:val="22"/>
          <w:szCs w:val="22"/>
        </w:rPr>
        <w:t>after 48 h.</w:t>
      </w:r>
    </w:p>
    <w:p w14:paraId="3C4B6264" w14:textId="463F7798" w:rsidR="000D3EA1" w:rsidRPr="00A2310B" w:rsidRDefault="00A2310B" w:rsidP="00A2310B">
      <w:pPr>
        <w:pStyle w:val="NormalWeb"/>
        <w:spacing w:line="360" w:lineRule="auto"/>
        <w:ind w:firstLine="360"/>
      </w:pPr>
      <w:r w:rsidRPr="00A2310B">
        <w:lastRenderedPageBreak/>
        <w:drawing>
          <wp:inline distT="0" distB="0" distL="0" distR="0" wp14:anchorId="252C18E4" wp14:editId="2C6831A6">
            <wp:extent cx="5731510" cy="3094990"/>
            <wp:effectExtent l="0" t="0" r="2540" b="0"/>
            <wp:docPr id="273640976" name="Picture 2" descr="A graph showing a number of day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3640976" name="Picture 2" descr="A graph showing a number of day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094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4AA773" w14:textId="71C41A48" w:rsidR="000D3EA1" w:rsidRPr="00AF115C" w:rsidRDefault="000D3EA1" w:rsidP="000D3EA1">
      <w:r w:rsidRPr="00A2310B">
        <w:rPr>
          <w:b/>
          <w:bCs/>
        </w:rPr>
        <w:t>Fig</w:t>
      </w:r>
      <w:r w:rsidR="00A2310B" w:rsidRPr="00A2310B">
        <w:rPr>
          <w:b/>
          <w:bCs/>
        </w:rPr>
        <w:t>.</w:t>
      </w:r>
      <w:r w:rsidRPr="00A2310B">
        <w:rPr>
          <w:b/>
          <w:bCs/>
        </w:rPr>
        <w:t xml:space="preserve"> S1</w:t>
      </w:r>
      <w:r w:rsidRPr="00C44CB2">
        <w:t xml:space="preserve"> Survival curve for juvenile Asian sea bass challenged through IP injection with </w:t>
      </w:r>
      <w:r w:rsidRPr="00C44CB2">
        <w:rPr>
          <w:i/>
          <w:iCs/>
        </w:rPr>
        <w:t xml:space="preserve">Streptococcus </w:t>
      </w:r>
      <w:proofErr w:type="spellStart"/>
      <w:r w:rsidRPr="00C44CB2">
        <w:rPr>
          <w:i/>
          <w:iCs/>
        </w:rPr>
        <w:t>iniae</w:t>
      </w:r>
      <w:proofErr w:type="spellEnd"/>
      <w:r w:rsidRPr="00C44CB2">
        <w:t xml:space="preserve"> with either PBS as a negative control or one of 3 doses of </w:t>
      </w:r>
      <w:r w:rsidRPr="00C44CB2">
        <w:rPr>
          <w:i/>
          <w:iCs/>
        </w:rPr>
        <w:t xml:space="preserve">S. </w:t>
      </w:r>
      <w:proofErr w:type="spellStart"/>
      <w:r w:rsidRPr="00C44CB2">
        <w:rPr>
          <w:i/>
          <w:iCs/>
        </w:rPr>
        <w:t>iniae</w:t>
      </w:r>
      <w:proofErr w:type="spellEnd"/>
      <w:r w:rsidRPr="00C44CB2">
        <w:t xml:space="preserve"> (10</w:t>
      </w:r>
      <w:r w:rsidRPr="00C44CB2">
        <w:rPr>
          <w:vertAlign w:val="superscript"/>
        </w:rPr>
        <w:t>3</w:t>
      </w:r>
      <w:r w:rsidRPr="00C44CB2">
        <w:t>, 10</w:t>
      </w:r>
      <w:r w:rsidRPr="00C44CB2">
        <w:rPr>
          <w:vertAlign w:val="superscript"/>
        </w:rPr>
        <w:t>4</w:t>
      </w:r>
      <w:r w:rsidRPr="00C44CB2">
        <w:t>, 10</w:t>
      </w:r>
      <w:r w:rsidRPr="00C44CB2">
        <w:rPr>
          <w:vertAlign w:val="superscript"/>
        </w:rPr>
        <w:t xml:space="preserve">5 </w:t>
      </w:r>
      <w:r w:rsidRPr="00C44CB2">
        <w:t>CFU/fish)</w:t>
      </w:r>
    </w:p>
    <w:p w14:paraId="58C21895" w14:textId="35769B31" w:rsidR="001C4B35" w:rsidRPr="00452861" w:rsidRDefault="00452861">
      <w:pPr>
        <w:rPr>
          <w:b/>
          <w:bCs/>
        </w:rPr>
      </w:pPr>
      <w:r w:rsidRPr="00452861">
        <w:rPr>
          <w:b/>
          <w:bCs/>
        </w:rPr>
        <w:t>References</w:t>
      </w:r>
    </w:p>
    <w:p w14:paraId="0DAD9486" w14:textId="77777777" w:rsidR="0047370E" w:rsidRDefault="0047370E" w:rsidP="0047370E">
      <w:r>
        <w:t xml:space="preserve">Agnew W, Barnes AC (2007) </w:t>
      </w:r>
      <w:r w:rsidRPr="00FF5E37">
        <w:rPr>
          <w:i/>
          <w:iCs/>
        </w:rPr>
        <w:t xml:space="preserve">Streptococcus </w:t>
      </w:r>
      <w:proofErr w:type="spellStart"/>
      <w:r w:rsidRPr="00FF5E37">
        <w:rPr>
          <w:i/>
          <w:iCs/>
        </w:rPr>
        <w:t>iniae</w:t>
      </w:r>
      <w:proofErr w:type="spellEnd"/>
      <w:r>
        <w:t xml:space="preserve">: An aquatic pathogen of global veterinary significance and a challenging candidate for reliable vaccination. Vet </w:t>
      </w:r>
      <w:proofErr w:type="spellStart"/>
      <w:r>
        <w:t>Microbiol</w:t>
      </w:r>
      <w:proofErr w:type="spellEnd"/>
      <w:r>
        <w:t xml:space="preserve"> 122:1–15. </w:t>
      </w:r>
      <w:hyperlink r:id="rId5" w:history="1">
        <w:r w:rsidRPr="006D124D">
          <w:rPr>
            <w:rStyle w:val="Hyperlink"/>
          </w:rPr>
          <w:t>https://doi.org/10.1016/j.vetmic.2007.03.002</w:t>
        </w:r>
      </w:hyperlink>
    </w:p>
    <w:p w14:paraId="385E27CF" w14:textId="3FB3080C" w:rsidR="00A22117" w:rsidRDefault="00A22117" w:rsidP="00A22117">
      <w:r>
        <w:t xml:space="preserve">Bromage E, Owens L (2009) Environmental factors affecting the susceptibility of barramundi to </w:t>
      </w:r>
      <w:r w:rsidRPr="004A049D">
        <w:rPr>
          <w:i/>
          <w:iCs/>
        </w:rPr>
        <w:t xml:space="preserve">Streptococcus </w:t>
      </w:r>
      <w:proofErr w:type="spellStart"/>
      <w:r w:rsidRPr="004A049D">
        <w:rPr>
          <w:i/>
          <w:iCs/>
        </w:rPr>
        <w:t>iniae</w:t>
      </w:r>
      <w:proofErr w:type="spellEnd"/>
      <w:r>
        <w:t xml:space="preserve">. Aquaculture 290:224–228. </w:t>
      </w:r>
      <w:hyperlink r:id="rId6" w:history="1">
        <w:r w:rsidRPr="006D124D">
          <w:rPr>
            <w:rStyle w:val="Hyperlink"/>
          </w:rPr>
          <w:t>https://doi.org/10.1016/j.aquaculture.2009.02.038</w:t>
        </w:r>
      </w:hyperlink>
    </w:p>
    <w:p w14:paraId="0F2A132F" w14:textId="77777777" w:rsidR="00A22117" w:rsidRDefault="00A22117" w:rsidP="00A22117">
      <w:r>
        <w:t xml:space="preserve">Bromage E, Owens L (2002) Infection of barramundi </w:t>
      </w:r>
      <w:r w:rsidRPr="004A049D">
        <w:rPr>
          <w:i/>
          <w:iCs/>
        </w:rPr>
        <w:t>Lates calcarifer</w:t>
      </w:r>
      <w:r>
        <w:t xml:space="preserve"> with </w:t>
      </w:r>
      <w:r w:rsidRPr="004A049D">
        <w:rPr>
          <w:i/>
          <w:iCs/>
        </w:rPr>
        <w:t xml:space="preserve">Streptococcus </w:t>
      </w:r>
      <w:proofErr w:type="spellStart"/>
      <w:r w:rsidRPr="004A049D">
        <w:rPr>
          <w:i/>
          <w:iCs/>
        </w:rPr>
        <w:t>iniae</w:t>
      </w:r>
      <w:proofErr w:type="spellEnd"/>
      <w:r>
        <w:t xml:space="preserve">: effects of different routes of exposure. Dis </w:t>
      </w:r>
      <w:proofErr w:type="spellStart"/>
      <w:r>
        <w:t>Aquat</w:t>
      </w:r>
      <w:proofErr w:type="spellEnd"/>
      <w:r>
        <w:t xml:space="preserve"> Org 52:199–205. </w:t>
      </w:r>
      <w:hyperlink r:id="rId7" w:history="1">
        <w:r w:rsidRPr="006D124D">
          <w:rPr>
            <w:rStyle w:val="Hyperlink"/>
          </w:rPr>
          <w:t>https://doi.org/10.3354/dao052199</w:t>
        </w:r>
      </w:hyperlink>
    </w:p>
    <w:p w14:paraId="557E0F64" w14:textId="461E631B" w:rsidR="00A22117" w:rsidRDefault="00452861" w:rsidP="00A22117">
      <w:pPr>
        <w:pStyle w:val="Bibliography"/>
        <w:rPr>
          <w:rFonts w:ascii="Calibri" w:hAnsi="Calibri" w:cs="Calibri"/>
        </w:rPr>
      </w:pPr>
      <w:r w:rsidRPr="00452861">
        <w:rPr>
          <w:rFonts w:ascii="Calibri" w:hAnsi="Calibri" w:cs="Calibri"/>
        </w:rPr>
        <w:t xml:space="preserve">Creeper J, Buller N (2006) An outbreak of </w:t>
      </w:r>
      <w:r w:rsidRPr="00A22117">
        <w:rPr>
          <w:rFonts w:ascii="Calibri" w:hAnsi="Calibri" w:cs="Calibri"/>
          <w:i/>
          <w:iCs/>
        </w:rPr>
        <w:t xml:space="preserve">Streptococcus </w:t>
      </w:r>
      <w:proofErr w:type="spellStart"/>
      <w:r w:rsidRPr="00A22117">
        <w:rPr>
          <w:rFonts w:ascii="Calibri" w:hAnsi="Calibri" w:cs="Calibri"/>
          <w:i/>
          <w:iCs/>
        </w:rPr>
        <w:t>iniae</w:t>
      </w:r>
      <w:proofErr w:type="spellEnd"/>
      <w:r w:rsidRPr="00452861">
        <w:rPr>
          <w:rFonts w:ascii="Calibri" w:hAnsi="Calibri" w:cs="Calibri"/>
        </w:rPr>
        <w:t xml:space="preserve"> in barramundi (</w:t>
      </w:r>
      <w:r w:rsidRPr="00A22117">
        <w:rPr>
          <w:rFonts w:ascii="Calibri" w:hAnsi="Calibri" w:cs="Calibri"/>
          <w:i/>
          <w:iCs/>
        </w:rPr>
        <w:t>Lates calcarifer</w:t>
      </w:r>
      <w:r w:rsidRPr="00452861">
        <w:rPr>
          <w:rFonts w:ascii="Calibri" w:hAnsi="Calibri" w:cs="Calibri"/>
        </w:rPr>
        <w:t xml:space="preserve">) in freshwater cage culture. Aust Vet J 84:408–411. </w:t>
      </w:r>
      <w:hyperlink r:id="rId8" w:history="1">
        <w:r w:rsidR="00A22117" w:rsidRPr="00507BF0">
          <w:rPr>
            <w:rStyle w:val="Hyperlink"/>
            <w:rFonts w:ascii="Calibri" w:hAnsi="Calibri" w:cs="Calibri"/>
          </w:rPr>
          <w:t>https://doi.org/10.1111/j.1751-0813.2006.00058.x</w:t>
        </w:r>
      </w:hyperlink>
    </w:p>
    <w:p w14:paraId="034B01AA" w14:textId="77777777" w:rsidR="00B81B0A" w:rsidRDefault="00B81B0A" w:rsidP="00B81B0A">
      <w:r>
        <w:t xml:space="preserve">Harvie EA, Green JM, Neely MN, </w:t>
      </w:r>
      <w:proofErr w:type="spellStart"/>
      <w:r>
        <w:t>Huttenlocher</w:t>
      </w:r>
      <w:proofErr w:type="spellEnd"/>
      <w:r>
        <w:t xml:space="preserve"> A (2012) Innate Immune Response to </w:t>
      </w:r>
      <w:r w:rsidRPr="001F4D5A">
        <w:rPr>
          <w:i/>
          <w:iCs/>
        </w:rPr>
        <w:t xml:space="preserve">Streptococcus </w:t>
      </w:r>
      <w:proofErr w:type="spellStart"/>
      <w:r w:rsidRPr="001F4D5A">
        <w:rPr>
          <w:i/>
          <w:iCs/>
        </w:rPr>
        <w:t>iniae</w:t>
      </w:r>
      <w:proofErr w:type="spellEnd"/>
      <w:r>
        <w:t xml:space="preserve"> Infection in Zebrafish Larvae. Infect </w:t>
      </w:r>
      <w:proofErr w:type="spellStart"/>
      <w:r>
        <w:t>Immun</w:t>
      </w:r>
      <w:proofErr w:type="spellEnd"/>
      <w:r>
        <w:t xml:space="preserve"> 81:110–121. </w:t>
      </w:r>
      <w:hyperlink r:id="rId9" w:history="1">
        <w:r w:rsidRPr="006D124D">
          <w:rPr>
            <w:rStyle w:val="Hyperlink"/>
          </w:rPr>
          <w:t>https://doi.org/10.1128/iai.00642-12</w:t>
        </w:r>
      </w:hyperlink>
    </w:p>
    <w:p w14:paraId="6C31E37F" w14:textId="59D25877" w:rsidR="00452861" w:rsidRDefault="00452861" w:rsidP="00452861">
      <w:pPr>
        <w:pStyle w:val="Bibliography"/>
        <w:rPr>
          <w:rFonts w:ascii="Calibri" w:hAnsi="Calibri" w:cs="Calibri"/>
        </w:rPr>
      </w:pPr>
      <w:r w:rsidRPr="00452861">
        <w:rPr>
          <w:rFonts w:ascii="Calibri" w:hAnsi="Calibri" w:cs="Calibri"/>
        </w:rPr>
        <w:t xml:space="preserve">Shoemaker CA, Evans JJ, </w:t>
      </w:r>
      <w:proofErr w:type="spellStart"/>
      <w:r w:rsidRPr="00452861">
        <w:rPr>
          <w:rFonts w:ascii="Calibri" w:hAnsi="Calibri" w:cs="Calibri"/>
        </w:rPr>
        <w:t>Klesius</w:t>
      </w:r>
      <w:proofErr w:type="spellEnd"/>
      <w:r w:rsidRPr="00452861">
        <w:rPr>
          <w:rFonts w:ascii="Calibri" w:hAnsi="Calibri" w:cs="Calibri"/>
        </w:rPr>
        <w:t xml:space="preserve"> PH (2000) Density and dose: factors affecting mortality of </w:t>
      </w:r>
      <w:r w:rsidRPr="00452861">
        <w:rPr>
          <w:rFonts w:ascii="Calibri" w:hAnsi="Calibri" w:cs="Calibri"/>
          <w:i/>
          <w:iCs/>
        </w:rPr>
        <w:t>Streptococcus</w:t>
      </w:r>
      <w:r w:rsidRPr="00452861">
        <w:rPr>
          <w:rFonts w:ascii="Calibri" w:hAnsi="Calibri" w:cs="Calibri"/>
        </w:rPr>
        <w:t xml:space="preserve"> </w:t>
      </w:r>
      <w:proofErr w:type="spellStart"/>
      <w:r w:rsidRPr="00452861">
        <w:rPr>
          <w:rFonts w:ascii="Calibri" w:hAnsi="Calibri" w:cs="Calibri"/>
          <w:i/>
          <w:iCs/>
        </w:rPr>
        <w:t>iniae</w:t>
      </w:r>
      <w:proofErr w:type="spellEnd"/>
      <w:r w:rsidRPr="00452861">
        <w:rPr>
          <w:rFonts w:ascii="Calibri" w:hAnsi="Calibri" w:cs="Calibri"/>
        </w:rPr>
        <w:t xml:space="preserve"> infected tilapia (</w:t>
      </w:r>
      <w:r w:rsidRPr="00452861">
        <w:rPr>
          <w:rFonts w:ascii="Calibri" w:hAnsi="Calibri" w:cs="Calibri"/>
          <w:i/>
          <w:iCs/>
        </w:rPr>
        <w:t>Oreochromis</w:t>
      </w:r>
      <w:r w:rsidRPr="00452861">
        <w:rPr>
          <w:rFonts w:ascii="Calibri" w:hAnsi="Calibri" w:cs="Calibri"/>
        </w:rPr>
        <w:t xml:space="preserve"> </w:t>
      </w:r>
      <w:r w:rsidRPr="00452861">
        <w:rPr>
          <w:rFonts w:ascii="Calibri" w:hAnsi="Calibri" w:cs="Calibri"/>
          <w:i/>
          <w:iCs/>
        </w:rPr>
        <w:t>niloticus</w:t>
      </w:r>
      <w:r w:rsidRPr="00452861">
        <w:rPr>
          <w:rFonts w:ascii="Calibri" w:hAnsi="Calibri" w:cs="Calibri"/>
        </w:rPr>
        <w:t xml:space="preserve">). Aquaculture 188:229–235. </w:t>
      </w:r>
      <w:hyperlink r:id="rId10" w:history="1">
        <w:r w:rsidR="00B81B0A" w:rsidRPr="00507BF0">
          <w:rPr>
            <w:rStyle w:val="Hyperlink"/>
            <w:rFonts w:ascii="Calibri" w:hAnsi="Calibri" w:cs="Calibri"/>
          </w:rPr>
          <w:t>https://doi.org/10.1016/S0044-8486(00)00346-X</w:t>
        </w:r>
      </w:hyperlink>
    </w:p>
    <w:p w14:paraId="50F16EB4" w14:textId="5564B854" w:rsidR="00452861" w:rsidRDefault="00452861" w:rsidP="00452861">
      <w:pPr>
        <w:pStyle w:val="Bibliography"/>
        <w:rPr>
          <w:rStyle w:val="Hyperlink"/>
          <w:rFonts w:ascii="Calibri" w:hAnsi="Calibri" w:cs="Calibri"/>
        </w:rPr>
      </w:pPr>
      <w:proofErr w:type="spellStart"/>
      <w:r w:rsidRPr="00452861">
        <w:rPr>
          <w:rFonts w:ascii="Calibri" w:hAnsi="Calibri" w:cs="Calibri"/>
        </w:rPr>
        <w:t>Siddik</w:t>
      </w:r>
      <w:proofErr w:type="spellEnd"/>
      <w:r w:rsidRPr="00452861">
        <w:rPr>
          <w:rFonts w:ascii="Calibri" w:hAnsi="Calibri" w:cs="Calibri"/>
        </w:rPr>
        <w:t xml:space="preserve"> MAB, Howieson J, Partridge GJ, et al (2018) Dietary tuna hydrolysate modulates growth performance, immune response, intestinal morphology and resistance to </w:t>
      </w:r>
      <w:r w:rsidRPr="00B81B0A">
        <w:rPr>
          <w:rFonts w:ascii="Calibri" w:hAnsi="Calibri" w:cs="Calibri"/>
          <w:i/>
          <w:iCs/>
        </w:rPr>
        <w:t xml:space="preserve">Streptococcus </w:t>
      </w:r>
      <w:proofErr w:type="spellStart"/>
      <w:r w:rsidRPr="00B81B0A">
        <w:rPr>
          <w:rFonts w:ascii="Calibri" w:hAnsi="Calibri" w:cs="Calibri"/>
          <w:i/>
          <w:iCs/>
        </w:rPr>
        <w:t>iniae</w:t>
      </w:r>
      <w:proofErr w:type="spellEnd"/>
      <w:r w:rsidRPr="00452861">
        <w:rPr>
          <w:rFonts w:ascii="Calibri" w:hAnsi="Calibri" w:cs="Calibri"/>
        </w:rPr>
        <w:t xml:space="preserve"> in juvenile barramundi, </w:t>
      </w:r>
      <w:r w:rsidRPr="00B81B0A">
        <w:rPr>
          <w:rFonts w:ascii="Calibri" w:hAnsi="Calibri" w:cs="Calibri"/>
          <w:i/>
          <w:iCs/>
        </w:rPr>
        <w:t>Lates calcarifer</w:t>
      </w:r>
      <w:r w:rsidRPr="00452861">
        <w:rPr>
          <w:rFonts w:ascii="Calibri" w:hAnsi="Calibri" w:cs="Calibri"/>
        </w:rPr>
        <w:t xml:space="preserve">. Sci Rep 8:15942. </w:t>
      </w:r>
      <w:hyperlink r:id="rId11" w:history="1">
        <w:r w:rsidR="00B81B0A" w:rsidRPr="00507BF0">
          <w:rPr>
            <w:rStyle w:val="Hyperlink"/>
            <w:rFonts w:ascii="Calibri" w:hAnsi="Calibri" w:cs="Calibri"/>
          </w:rPr>
          <w:t>https://doi.org/10.1038/s41598-018-34182-4</w:t>
        </w:r>
      </w:hyperlink>
    </w:p>
    <w:p w14:paraId="069A12F4" w14:textId="77777777" w:rsidR="00105FA1" w:rsidRPr="00105FA1" w:rsidRDefault="00105FA1" w:rsidP="00105FA1">
      <w:pPr>
        <w:suppressLineNumbers/>
      </w:pPr>
    </w:p>
    <w:p w14:paraId="33C29FFF" w14:textId="77777777" w:rsidR="00B81B0A" w:rsidRPr="00B81B0A" w:rsidRDefault="00B81B0A" w:rsidP="00105FA1">
      <w:pPr>
        <w:suppressLineNumbers/>
      </w:pPr>
    </w:p>
    <w:p w14:paraId="17FA1C45" w14:textId="222C751B" w:rsidR="001C4B35" w:rsidRPr="00C44CB2" w:rsidRDefault="001C4B35" w:rsidP="00105FA1">
      <w:pPr>
        <w:suppressLineNumbers/>
      </w:pPr>
    </w:p>
    <w:sectPr w:rsidR="001C4B35" w:rsidRPr="00C44CB2" w:rsidSect="00105FA1">
      <w:pgSz w:w="11906" w:h="16838"/>
      <w:pgMar w:top="1440" w:right="1440" w:bottom="1440" w:left="1440" w:header="708" w:footer="708" w:gutter="0"/>
      <w:lnNumType w:countBy="1" w:restart="continuous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C5F"/>
    <w:rsid w:val="00001934"/>
    <w:rsid w:val="000111A3"/>
    <w:rsid w:val="000D3EA1"/>
    <w:rsid w:val="00105FA1"/>
    <w:rsid w:val="00137350"/>
    <w:rsid w:val="00175670"/>
    <w:rsid w:val="00177F5B"/>
    <w:rsid w:val="001A3D46"/>
    <w:rsid w:val="001C4B35"/>
    <w:rsid w:val="001C7ABC"/>
    <w:rsid w:val="002547CE"/>
    <w:rsid w:val="002712F3"/>
    <w:rsid w:val="002D5796"/>
    <w:rsid w:val="002E0640"/>
    <w:rsid w:val="003E1DA6"/>
    <w:rsid w:val="003E3C54"/>
    <w:rsid w:val="00407567"/>
    <w:rsid w:val="004258B3"/>
    <w:rsid w:val="004309DC"/>
    <w:rsid w:val="004464EA"/>
    <w:rsid w:val="00452861"/>
    <w:rsid w:val="00466C1D"/>
    <w:rsid w:val="0047370E"/>
    <w:rsid w:val="004876F8"/>
    <w:rsid w:val="004B614D"/>
    <w:rsid w:val="005A00DA"/>
    <w:rsid w:val="005A1A38"/>
    <w:rsid w:val="005B3C64"/>
    <w:rsid w:val="00657C5F"/>
    <w:rsid w:val="006B4626"/>
    <w:rsid w:val="006D3B67"/>
    <w:rsid w:val="006F5895"/>
    <w:rsid w:val="00710D45"/>
    <w:rsid w:val="00766EE6"/>
    <w:rsid w:val="008B2C3F"/>
    <w:rsid w:val="00991B84"/>
    <w:rsid w:val="009A600B"/>
    <w:rsid w:val="00A0483B"/>
    <w:rsid w:val="00A22117"/>
    <w:rsid w:val="00A2310B"/>
    <w:rsid w:val="00A37FE8"/>
    <w:rsid w:val="00AF115C"/>
    <w:rsid w:val="00B81B0A"/>
    <w:rsid w:val="00BC4BEF"/>
    <w:rsid w:val="00BE6485"/>
    <w:rsid w:val="00C44CB2"/>
    <w:rsid w:val="00CA6DBF"/>
    <w:rsid w:val="00CC7CC0"/>
    <w:rsid w:val="00D06F8B"/>
    <w:rsid w:val="00D948C6"/>
    <w:rsid w:val="00D964E6"/>
    <w:rsid w:val="00DA1DBB"/>
    <w:rsid w:val="00DC6C08"/>
    <w:rsid w:val="00DD0801"/>
    <w:rsid w:val="00EE33C9"/>
    <w:rsid w:val="00EF1402"/>
    <w:rsid w:val="00F81A10"/>
    <w:rsid w:val="0E82B3EA"/>
    <w:rsid w:val="11E24F4C"/>
    <w:rsid w:val="196BE63D"/>
    <w:rsid w:val="1EA129E1"/>
    <w:rsid w:val="22B30092"/>
    <w:rsid w:val="251006BE"/>
    <w:rsid w:val="2623D12F"/>
    <w:rsid w:val="2C146E8B"/>
    <w:rsid w:val="2F409D30"/>
    <w:rsid w:val="35A73394"/>
    <w:rsid w:val="379C957F"/>
    <w:rsid w:val="38438E5F"/>
    <w:rsid w:val="393865E0"/>
    <w:rsid w:val="393898B1"/>
    <w:rsid w:val="3AD43641"/>
    <w:rsid w:val="6077D919"/>
    <w:rsid w:val="6D94FA1C"/>
    <w:rsid w:val="6F17A220"/>
    <w:rsid w:val="6F1806C7"/>
    <w:rsid w:val="709BB7FE"/>
    <w:rsid w:val="7843A76C"/>
    <w:rsid w:val="795FA168"/>
    <w:rsid w:val="7A491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0A9E47"/>
  <w15:chartTrackingRefBased/>
  <w15:docId w15:val="{915315C1-CD07-4E86-99B6-3466B8009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57C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AU"/>
      <w14:ligatures w14:val="none"/>
    </w:rPr>
  </w:style>
  <w:style w:type="paragraph" w:styleId="CommentText">
    <w:name w:val="annotation text"/>
    <w:basedOn w:val="Normal"/>
    <w:link w:val="CommentTextChar"/>
    <w:uiPriority w:val="99"/>
    <w:unhideWhenUsed/>
    <w:rsid w:val="00657C5F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val="en-US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57C5F"/>
    <w:rPr>
      <w:rFonts w:ascii="Calibri" w:eastAsia="Times New Roman" w:hAnsi="Calibri" w:cs="Times New Roman"/>
      <w:kern w:val="0"/>
      <w:sz w:val="20"/>
      <w:szCs w:val="20"/>
      <w:lang w:val="en-US"/>
      <w14:ligatures w14:val="none"/>
    </w:rPr>
  </w:style>
  <w:style w:type="character" w:styleId="CommentReference">
    <w:name w:val="annotation reference"/>
    <w:uiPriority w:val="99"/>
    <w:semiHidden/>
    <w:unhideWhenUsed/>
    <w:rsid w:val="00657C5F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0D45"/>
    <w:pPr>
      <w:spacing w:after="160"/>
    </w:pPr>
    <w:rPr>
      <w:rFonts w:asciiTheme="minorHAnsi" w:eastAsiaTheme="minorHAnsi" w:hAnsiTheme="minorHAnsi" w:cstheme="minorBidi"/>
      <w:b/>
      <w:bCs/>
      <w:kern w:val="2"/>
      <w:lang w:val="en-AU"/>
      <w14:ligatures w14:val="standardContextu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0D45"/>
    <w:rPr>
      <w:rFonts w:ascii="Calibri" w:eastAsia="Times New Roman" w:hAnsi="Calibri" w:cs="Times New Roman"/>
      <w:b/>
      <w:bCs/>
      <w:kern w:val="0"/>
      <w:sz w:val="20"/>
      <w:szCs w:val="20"/>
      <w:lang w:val="en-US"/>
      <w14:ligatures w14:val="none"/>
    </w:rPr>
  </w:style>
  <w:style w:type="character" w:styleId="Mention">
    <w:name w:val="Mention"/>
    <w:basedOn w:val="DefaultParagraphFont"/>
    <w:uiPriority w:val="99"/>
    <w:unhideWhenUsed/>
    <w:rsid w:val="004876F8"/>
    <w:rPr>
      <w:color w:val="2B579A"/>
      <w:shd w:val="clear" w:color="auto" w:fill="E1DFDD"/>
    </w:rPr>
  </w:style>
  <w:style w:type="paragraph" w:styleId="Bibliography">
    <w:name w:val="Bibliography"/>
    <w:basedOn w:val="Normal"/>
    <w:next w:val="Normal"/>
    <w:uiPriority w:val="37"/>
    <w:unhideWhenUsed/>
    <w:rsid w:val="001C4B35"/>
  </w:style>
  <w:style w:type="character" w:styleId="Hyperlink">
    <w:name w:val="Hyperlink"/>
    <w:uiPriority w:val="99"/>
    <w:unhideWhenUsed/>
    <w:rsid w:val="0047370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2117"/>
    <w:rPr>
      <w:color w:val="605E5C"/>
      <w:shd w:val="clear" w:color="auto" w:fill="E1DFDD"/>
    </w:rPr>
  </w:style>
  <w:style w:type="character" w:styleId="LineNumber">
    <w:name w:val="line number"/>
    <w:basedOn w:val="DefaultParagraphFont"/>
    <w:uiPriority w:val="99"/>
    <w:semiHidden/>
    <w:unhideWhenUsed/>
    <w:rsid w:val="00105F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9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111/j.1751-0813.2006.00058.x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doi.org/10.3354/dao052199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1016/j.aquaculture.2009.02.038" TargetMode="External"/><Relationship Id="rId11" Type="http://schemas.openxmlformats.org/officeDocument/2006/relationships/hyperlink" Target="https://doi.org/10.1038/s41598-018-34182-4" TargetMode="External"/><Relationship Id="rId5" Type="http://schemas.openxmlformats.org/officeDocument/2006/relationships/hyperlink" Target="https://doi.org/10.1016/j.vetmic.2007.03.002" TargetMode="External"/><Relationship Id="rId10" Type="http://schemas.openxmlformats.org/officeDocument/2006/relationships/hyperlink" Target="https://doi.org/10.1016/S0044-8486(00)00346-X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doi.org/10.1128/iai.00642-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671</Words>
  <Characters>3827</Characters>
  <Application>Microsoft Office Word</Application>
  <DocSecurity>0</DocSecurity>
  <Lines>31</Lines>
  <Paragraphs>8</Paragraphs>
  <ScaleCrop>false</ScaleCrop>
  <Company/>
  <LinksUpToDate>false</LinksUpToDate>
  <CharactersWithSpaces>4490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Alyssa Bowden</dc:creator>
  <cp:keywords/>
  <dc:description/>
  <cp:lastModifiedBy>Alyssa Bowden</cp:lastModifiedBy>
  <cp:revision>54</cp:revision>
  <dcterms:created xsi:type="dcterms:W3CDTF">2024-01-30T05:45:00Z</dcterms:created>
  <dcterms:modified xsi:type="dcterms:W3CDTF">2024-11-12T10:04:00Z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f488380-630a-4f55-a077-a19445e3f360_Enabled">
    <vt:lpwstr>true</vt:lpwstr>
  </property>
  <property fmtid="{D5CDD505-2E9C-101B-9397-08002B2CF9AE}" pid="3" name="MSIP_Label_0f488380-630a-4f55-a077-a19445e3f360_SetDate">
    <vt:lpwstr>2024-01-30T05:51:05Z</vt:lpwstr>
  </property>
  <property fmtid="{D5CDD505-2E9C-101B-9397-08002B2CF9AE}" pid="4" name="MSIP_Label_0f488380-630a-4f55-a077-a19445e3f360_Method">
    <vt:lpwstr>Standard</vt:lpwstr>
  </property>
  <property fmtid="{D5CDD505-2E9C-101B-9397-08002B2CF9AE}" pid="5" name="MSIP_Label_0f488380-630a-4f55-a077-a19445e3f360_Name">
    <vt:lpwstr>OFFICIAL - INTERNAL</vt:lpwstr>
  </property>
  <property fmtid="{D5CDD505-2E9C-101B-9397-08002B2CF9AE}" pid="6" name="MSIP_Label_0f488380-630a-4f55-a077-a19445e3f360_SiteId">
    <vt:lpwstr>b6e377cf-9db3-46cb-91a2-fad9605bb15c</vt:lpwstr>
  </property>
  <property fmtid="{D5CDD505-2E9C-101B-9397-08002B2CF9AE}" pid="7" name="MSIP_Label_0f488380-630a-4f55-a077-a19445e3f360_ActionId">
    <vt:lpwstr>0c9a8b60-c33c-44d5-bf7b-c37423d37c15</vt:lpwstr>
  </property>
  <property fmtid="{D5CDD505-2E9C-101B-9397-08002B2CF9AE}" pid="8" name="MSIP_Label_0f488380-630a-4f55-a077-a19445e3f360_ContentBits">
    <vt:lpwstr>0</vt:lpwstr>
  </property>
  <property fmtid="{D5CDD505-2E9C-101B-9397-08002B2CF9AE}" pid="9" name="ZOTERO_PREF_1">
    <vt:lpwstr>&lt;data data-version="3" zotero-version="6.0.26"&gt;&lt;session id="jSsylZpE"/&gt;&lt;style id="http://www.zotero.org/styles/fish-physiology-and-biochemistry" hasBibliography="1" bibliographyStyleHasBeenSet="1"/&gt;&lt;prefs&gt;&lt;pref name="fieldType" value="Field"/&gt;&lt;/prefs&gt;&lt;/da</vt:lpwstr>
  </property>
  <property fmtid="{D5CDD505-2E9C-101B-9397-08002B2CF9AE}" pid="10" name="ZOTERO_PREF_2">
    <vt:lpwstr>ta&gt;</vt:lpwstr>
  </property>
</Properties>
</file>