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6A29" w14:textId="77777777" w:rsidR="00F236BC" w:rsidRDefault="00D9409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Supplementary material</w:t>
      </w:r>
    </w:p>
    <w:p w14:paraId="572303D3" w14:textId="77777777" w:rsidR="004374DB" w:rsidRDefault="004374DB" w:rsidP="004374DB">
      <w:pPr>
        <w:spacing w:line="360" w:lineRule="auto"/>
        <w:ind w:left="36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Role of organic/sulfide ratios on DNRA cultivation</w:t>
      </w:r>
      <w:r>
        <w:rPr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and the microbial community structure of a co-driven sequencing biofilm batch reactor</w:t>
      </w:r>
    </w:p>
    <w:p w14:paraId="75568C7E" w14:textId="4D44025D" w:rsidR="004374DB" w:rsidRPr="00013556" w:rsidRDefault="004374DB" w:rsidP="004374DB">
      <w:pPr>
        <w:spacing w:line="360" w:lineRule="auto"/>
        <w:ind w:left="360"/>
        <w:jc w:val="center"/>
        <w:rPr>
          <w:sz w:val="24"/>
        </w:rPr>
      </w:pPr>
      <w:r>
        <w:rPr>
          <w:rFonts w:eastAsia="楷体_GB2312"/>
          <w:sz w:val="24"/>
          <w:vertAlign w:val="superscript"/>
        </w:rPr>
        <w:t xml:space="preserve">   </w:t>
      </w:r>
      <w:r>
        <w:rPr>
          <w:color w:val="000000"/>
          <w:kern w:val="0"/>
          <w:sz w:val="24"/>
        </w:rPr>
        <w:t>Xiao</w:t>
      </w:r>
      <w:r>
        <w:rPr>
          <w:rFonts w:hint="eastAsia"/>
          <w:color w:val="000000"/>
          <w:kern w:val="0"/>
          <w:sz w:val="24"/>
        </w:rPr>
        <w:t>l</w:t>
      </w:r>
      <w:r>
        <w:rPr>
          <w:color w:val="000000"/>
          <w:kern w:val="0"/>
          <w:sz w:val="24"/>
        </w:rPr>
        <w:t>in</w:t>
      </w:r>
      <w:r>
        <w:rPr>
          <w:rFonts w:hint="eastAsia"/>
          <w:color w:val="000000"/>
          <w:kern w:val="0"/>
          <w:sz w:val="24"/>
        </w:rPr>
        <w:t>g</w:t>
      </w:r>
      <w:r>
        <w:rPr>
          <w:color w:val="000000"/>
          <w:kern w:val="0"/>
          <w:sz w:val="24"/>
        </w:rPr>
        <w:t xml:space="preserve"> Li</w:t>
      </w:r>
      <w:r>
        <w:rPr>
          <w:rFonts w:hint="eastAsia"/>
          <w:sz w:val="24"/>
          <w:vertAlign w:val="superscript"/>
        </w:rPr>
        <w:t>1</w:t>
      </w:r>
      <w:r>
        <w:rPr>
          <w:rFonts w:eastAsia="楷体_GB2312" w:hint="eastAsia"/>
          <w:sz w:val="24"/>
        </w:rPr>
        <w:t>,</w:t>
      </w:r>
      <w:r w:rsidRPr="004374DB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Jianqiang</w:t>
      </w:r>
      <w:r>
        <w:rPr>
          <w:sz w:val="24"/>
        </w:rPr>
        <w:t xml:space="preserve"> Zhao</w:t>
      </w:r>
      <w:r>
        <w:rPr>
          <w:rFonts w:hint="eastAsia"/>
          <w:sz w:val="24"/>
          <w:vertAlign w:val="superscript"/>
        </w:rPr>
        <w:t>2*</w:t>
      </w:r>
      <w:r w:rsidRPr="004374DB">
        <w:rPr>
          <w:sz w:val="24"/>
        </w:rPr>
        <w:t>,</w:t>
      </w:r>
      <w:r>
        <w:rPr>
          <w:rFonts w:eastAsia="楷体_GB2312"/>
          <w:sz w:val="24"/>
        </w:rPr>
        <w:t xml:space="preserve"> </w:t>
      </w:r>
      <w:r>
        <w:rPr>
          <w:rFonts w:eastAsia="楷体_GB2312" w:hint="eastAsia"/>
          <w:sz w:val="24"/>
        </w:rPr>
        <w:t>Yuhao</w:t>
      </w:r>
      <w:r>
        <w:rPr>
          <w:rFonts w:eastAsia="楷体_GB2312"/>
          <w:sz w:val="24"/>
        </w:rPr>
        <w:t xml:space="preserve"> Zhang</w:t>
      </w:r>
      <w:r>
        <w:rPr>
          <w:rFonts w:hint="eastAsia"/>
          <w:sz w:val="24"/>
          <w:vertAlign w:val="superscript"/>
        </w:rPr>
        <w:t>2</w:t>
      </w:r>
      <w:r>
        <w:rPr>
          <w:rFonts w:hint="eastAsia"/>
          <w:sz w:val="24"/>
        </w:rPr>
        <w:t>,</w:t>
      </w:r>
      <w:r>
        <w:rPr>
          <w:rFonts w:eastAsia="楷体_GB2312"/>
          <w:sz w:val="24"/>
          <w:vertAlign w:val="superscript"/>
        </w:rPr>
        <w:t xml:space="preserve"> </w:t>
      </w:r>
      <w:r>
        <w:rPr>
          <w:rFonts w:eastAsia="楷体_GB2312" w:hint="eastAsia"/>
          <w:sz w:val="24"/>
        </w:rPr>
        <w:t>Jiaojie</w:t>
      </w:r>
      <w:r>
        <w:rPr>
          <w:rFonts w:eastAsia="楷体_GB2312"/>
          <w:sz w:val="24"/>
        </w:rPr>
        <w:t xml:space="preserve"> He</w:t>
      </w:r>
      <w:r>
        <w:rPr>
          <w:rFonts w:eastAsia="楷体_GB2312" w:hint="eastAsia"/>
          <w:sz w:val="24"/>
          <w:vertAlign w:val="superscript"/>
        </w:rPr>
        <w:t>1</w:t>
      </w:r>
      <w:r>
        <w:rPr>
          <w:rFonts w:hint="eastAsia"/>
          <w:sz w:val="24"/>
        </w:rPr>
        <w:t>, Kaili Ma</w:t>
      </w:r>
      <w:r>
        <w:rPr>
          <w:rFonts w:hint="eastAsia"/>
          <w:sz w:val="24"/>
          <w:vertAlign w:val="superscript"/>
        </w:rPr>
        <w:t>3</w:t>
      </w:r>
      <w:r>
        <w:rPr>
          <w:rFonts w:hint="eastAsia"/>
          <w:sz w:val="24"/>
        </w:rPr>
        <w:t>,</w:t>
      </w:r>
      <w:r>
        <w:rPr>
          <w:rFonts w:eastAsia="楷体_GB2312" w:hint="eastAsia"/>
          <w:sz w:val="24"/>
        </w:rPr>
        <w:t xml:space="preserve"> </w:t>
      </w:r>
      <w:r>
        <w:rPr>
          <w:sz w:val="24"/>
        </w:rPr>
        <w:t>Chun Shuang Liu</w:t>
      </w:r>
      <w:r w:rsidRPr="00013556">
        <w:rPr>
          <w:sz w:val="24"/>
          <w:vertAlign w:val="superscript"/>
        </w:rPr>
        <w:t>4</w:t>
      </w:r>
    </w:p>
    <w:p w14:paraId="1458AB9F" w14:textId="77777777" w:rsidR="004374DB" w:rsidRPr="004374DB" w:rsidRDefault="004374DB" w:rsidP="004374DB">
      <w:pPr>
        <w:tabs>
          <w:tab w:val="left" w:pos="0"/>
        </w:tabs>
        <w:ind w:rightChars="100" w:right="210"/>
        <w:jc w:val="center"/>
        <w:rPr>
          <w:szCs w:val="21"/>
        </w:rPr>
      </w:pPr>
      <w:r w:rsidRPr="004374DB">
        <w:rPr>
          <w:rFonts w:hint="eastAsia"/>
          <w:szCs w:val="21"/>
        </w:rPr>
        <w:t>1</w:t>
      </w:r>
      <w:r w:rsidRPr="004374DB">
        <w:rPr>
          <w:szCs w:val="21"/>
        </w:rPr>
        <w:t>. School of Civil Engineering,</w:t>
      </w:r>
      <w:r w:rsidRPr="004374DB">
        <w:rPr>
          <w:rFonts w:hint="eastAsia"/>
          <w:szCs w:val="21"/>
        </w:rPr>
        <w:t xml:space="preserve"> </w:t>
      </w:r>
      <w:r w:rsidRPr="004374DB">
        <w:rPr>
          <w:szCs w:val="21"/>
        </w:rPr>
        <w:t>K</w:t>
      </w:r>
      <w:r w:rsidRPr="004374DB">
        <w:rPr>
          <w:szCs w:val="21"/>
          <w:lang w:val="en-GB"/>
        </w:rPr>
        <w:t>ey Laboratory of Water supply </w:t>
      </w:r>
      <w:r w:rsidRPr="004374DB">
        <w:rPr>
          <w:szCs w:val="21"/>
          <w:lang w:val="en-GB"/>
        </w:rPr>
        <w:t>＆</w:t>
      </w:r>
      <w:r w:rsidRPr="004374DB">
        <w:rPr>
          <w:szCs w:val="21"/>
          <w:lang w:val="en-GB"/>
        </w:rPr>
        <w:t> Sewage Engineering Ministry of Housing </w:t>
      </w:r>
      <w:r w:rsidRPr="004374DB">
        <w:rPr>
          <w:rFonts w:hint="eastAsia"/>
          <w:szCs w:val="21"/>
        </w:rPr>
        <w:tab/>
      </w:r>
      <w:r w:rsidRPr="004374DB">
        <w:rPr>
          <w:szCs w:val="21"/>
          <w:lang w:val="en-GB"/>
        </w:rPr>
        <w:t>and Urban-Rural Development, Chang</w:t>
      </w:r>
      <w:r w:rsidRPr="004374DB">
        <w:rPr>
          <w:szCs w:val="21"/>
        </w:rPr>
        <w:t>’</w:t>
      </w:r>
      <w:r w:rsidRPr="004374DB">
        <w:rPr>
          <w:szCs w:val="21"/>
          <w:lang w:val="en-GB"/>
        </w:rPr>
        <w:t>an University, Xi</w:t>
      </w:r>
      <w:r w:rsidRPr="004374DB">
        <w:rPr>
          <w:szCs w:val="21"/>
        </w:rPr>
        <w:t>’</w:t>
      </w:r>
      <w:r w:rsidRPr="004374DB">
        <w:rPr>
          <w:szCs w:val="21"/>
          <w:lang w:val="en-GB"/>
        </w:rPr>
        <w:t>an, 710054, China</w:t>
      </w:r>
      <w:r w:rsidRPr="004374DB">
        <w:rPr>
          <w:rFonts w:hint="eastAsia"/>
          <w:szCs w:val="21"/>
        </w:rPr>
        <w:t>.</w:t>
      </w:r>
    </w:p>
    <w:p w14:paraId="28BCB154" w14:textId="77777777" w:rsidR="004374DB" w:rsidRPr="004374DB" w:rsidRDefault="004374DB" w:rsidP="004374DB">
      <w:pPr>
        <w:tabs>
          <w:tab w:val="left" w:pos="0"/>
        </w:tabs>
        <w:ind w:rightChars="100" w:right="210"/>
        <w:jc w:val="center"/>
        <w:rPr>
          <w:szCs w:val="21"/>
        </w:rPr>
      </w:pPr>
      <w:r w:rsidRPr="004374DB">
        <w:rPr>
          <w:rFonts w:hint="eastAsia"/>
          <w:szCs w:val="21"/>
        </w:rPr>
        <w:t>2. School of Water and Environment</w:t>
      </w:r>
      <w:r w:rsidRPr="004374DB">
        <w:rPr>
          <w:szCs w:val="21"/>
        </w:rPr>
        <w:t>,</w:t>
      </w:r>
      <w:r w:rsidRPr="004374DB">
        <w:rPr>
          <w:rFonts w:hint="eastAsia"/>
          <w:szCs w:val="21"/>
        </w:rPr>
        <w:t xml:space="preserve"> </w:t>
      </w:r>
      <w:r w:rsidRPr="004374DB">
        <w:rPr>
          <w:szCs w:val="21"/>
        </w:rPr>
        <w:t>Chang’an University,</w:t>
      </w:r>
      <w:r w:rsidRPr="004374DB">
        <w:rPr>
          <w:rFonts w:hint="eastAsia"/>
          <w:szCs w:val="21"/>
        </w:rPr>
        <w:t xml:space="preserve"> </w:t>
      </w:r>
      <w:r w:rsidRPr="004374DB">
        <w:rPr>
          <w:szCs w:val="21"/>
        </w:rPr>
        <w:t>Xi’an 710055, China</w:t>
      </w:r>
      <w:r w:rsidRPr="004374DB">
        <w:rPr>
          <w:rFonts w:hint="eastAsia"/>
          <w:szCs w:val="21"/>
        </w:rPr>
        <w:t>.</w:t>
      </w:r>
    </w:p>
    <w:p w14:paraId="69EBB0B1" w14:textId="77777777" w:rsidR="004374DB" w:rsidRPr="004374DB" w:rsidRDefault="004374DB" w:rsidP="004374DB">
      <w:pPr>
        <w:pStyle w:val="HTML"/>
        <w:widowControl/>
        <w:shd w:val="clear" w:color="auto" w:fill="FFFFFF"/>
        <w:spacing w:after="0"/>
        <w:jc w:val="center"/>
        <w:rPr>
          <w:rFonts w:ascii="Times New Roman" w:hAnsi="Times New Roman" w:hint="default"/>
          <w:kern w:val="2"/>
          <w:sz w:val="21"/>
          <w:szCs w:val="21"/>
        </w:rPr>
      </w:pPr>
      <w:r w:rsidRPr="004374DB">
        <w:rPr>
          <w:rFonts w:ascii="Times New Roman" w:hAnsi="Times New Roman"/>
          <w:kern w:val="2"/>
          <w:sz w:val="21"/>
          <w:szCs w:val="21"/>
        </w:rPr>
        <w:t>3. School of Environment, Henan Normal University, Xinxiang 453000, China</w:t>
      </w:r>
    </w:p>
    <w:p w14:paraId="11E65397" w14:textId="77777777" w:rsidR="004374DB" w:rsidRPr="004374DB" w:rsidRDefault="004374DB" w:rsidP="004374DB">
      <w:pPr>
        <w:tabs>
          <w:tab w:val="left" w:pos="0"/>
        </w:tabs>
        <w:ind w:rightChars="100" w:right="210"/>
        <w:rPr>
          <w:szCs w:val="21"/>
        </w:rPr>
      </w:pPr>
      <w:r w:rsidRPr="004374DB">
        <w:rPr>
          <w:rFonts w:hint="eastAsia"/>
          <w:szCs w:val="21"/>
        </w:rPr>
        <w:t>4</w:t>
      </w:r>
      <w:r w:rsidRPr="004374DB">
        <w:rPr>
          <w:szCs w:val="21"/>
        </w:rPr>
        <w:t>. College of Chemical Engineering, China University of Petroleum, Qingdao 266580, China</w:t>
      </w:r>
      <w:r w:rsidRPr="004374DB">
        <w:rPr>
          <w:rFonts w:hint="eastAsia"/>
          <w:szCs w:val="21"/>
        </w:rPr>
        <w:t>.</w:t>
      </w:r>
    </w:p>
    <w:p w14:paraId="02C977D2" w14:textId="77777777" w:rsidR="00F236BC" w:rsidRPr="004374DB" w:rsidRDefault="00F236BC">
      <w:pPr>
        <w:rPr>
          <w:szCs w:val="21"/>
        </w:rPr>
      </w:pPr>
    </w:p>
    <w:p w14:paraId="0606608D" w14:textId="77777777" w:rsidR="00F236BC" w:rsidRDefault="00D94099">
      <w:pPr>
        <w:rPr>
          <w:szCs w:val="21"/>
        </w:rPr>
      </w:pPr>
      <w:r>
        <w:rPr>
          <w:rFonts w:hint="eastAsia"/>
          <w:szCs w:val="21"/>
        </w:rPr>
        <w:t>Fig. S</w:t>
      </w:r>
      <w:r>
        <w:rPr>
          <w:szCs w:val="21"/>
        </w:rPr>
        <w:t>1</w:t>
      </w:r>
      <w:r>
        <w:rPr>
          <w:rFonts w:hint="eastAsia"/>
          <w:szCs w:val="21"/>
        </w:rPr>
        <w:t xml:space="preserve"> The fitting curve </w:t>
      </w:r>
      <w:r>
        <w:rPr>
          <w:szCs w:val="21"/>
        </w:rPr>
        <w:t>of S</w:t>
      </w:r>
      <w:r>
        <w:rPr>
          <w:szCs w:val="21"/>
          <w:vertAlign w:val="superscript"/>
        </w:rPr>
        <w:t>2-</w:t>
      </w:r>
      <w:r>
        <w:rPr>
          <w:szCs w:val="21"/>
        </w:rPr>
        <w:t>- S</w:t>
      </w:r>
      <w:r>
        <w:rPr>
          <w:rFonts w:hint="eastAsia"/>
          <w:szCs w:val="21"/>
        </w:rPr>
        <w:t xml:space="preserve"> and</w:t>
      </w:r>
      <w:r>
        <w:rPr>
          <w:szCs w:val="21"/>
        </w:rPr>
        <w:t xml:space="preserve"> NH</w:t>
      </w:r>
      <w:r>
        <w:rPr>
          <w:szCs w:val="21"/>
          <w:vertAlign w:val="subscript"/>
        </w:rPr>
        <w:t>4</w:t>
      </w:r>
      <w:r>
        <w:rPr>
          <w:szCs w:val="21"/>
          <w:vertAlign w:val="superscript"/>
        </w:rPr>
        <w:t>+</w:t>
      </w:r>
      <w:r>
        <w:rPr>
          <w:szCs w:val="21"/>
        </w:rPr>
        <w:t>-N.</w:t>
      </w:r>
    </w:p>
    <w:p w14:paraId="0A21B2D6" w14:textId="4272B7D0" w:rsidR="00F236BC" w:rsidRDefault="00D94099">
      <w:pPr>
        <w:rPr>
          <w:color w:val="000000" w:themeColor="text1"/>
        </w:rPr>
      </w:pPr>
      <w:r>
        <w:rPr>
          <w:rFonts w:hint="eastAsia"/>
          <w:color w:val="000000" w:themeColor="text1"/>
        </w:rPr>
        <w:t>Fig. S</w:t>
      </w:r>
      <w:r w:rsidR="00EC2050">
        <w:rPr>
          <w:color w:val="000000" w:themeColor="text1"/>
        </w:rPr>
        <w:t>2</w:t>
      </w:r>
      <w:r>
        <w:rPr>
          <w:rFonts w:hint="eastAsia"/>
          <w:color w:val="000000" w:themeColor="text1"/>
        </w:rPr>
        <w:t xml:space="preserve"> Shannon index and Rarefaction curves in different systems.</w:t>
      </w:r>
    </w:p>
    <w:p w14:paraId="49D678E2" w14:textId="6A5AD1B3" w:rsidR="00F236BC" w:rsidRDefault="00D94099">
      <w:pPr>
        <w:rPr>
          <w:color w:val="000000" w:themeColor="text1"/>
        </w:rPr>
      </w:pPr>
      <w:r>
        <w:rPr>
          <w:rFonts w:hint="eastAsia"/>
          <w:color w:val="000000" w:themeColor="text1"/>
        </w:rPr>
        <w:t>Fig. S</w:t>
      </w:r>
      <w:r w:rsidR="00EC2050">
        <w:rPr>
          <w:color w:val="000000" w:themeColor="text1"/>
        </w:rPr>
        <w:t>3</w:t>
      </w:r>
      <w:r>
        <w:rPr>
          <w:rFonts w:hint="eastAsia"/>
          <w:color w:val="000000" w:themeColor="text1"/>
        </w:rPr>
        <w:t xml:space="preserve"> </w:t>
      </w:r>
      <w:r>
        <w:rPr>
          <w:szCs w:val="21"/>
        </w:rPr>
        <w:t>Microbial community composition of the SBBR sludge based on high-throughput 16S rRNA gene sequencing. T</w:t>
      </w:r>
      <w:r>
        <w:rPr>
          <w:rFonts w:hint="eastAsia"/>
          <w:szCs w:val="21"/>
        </w:rPr>
        <w:t>he</w:t>
      </w:r>
      <w:r>
        <w:rPr>
          <w:szCs w:val="21"/>
        </w:rPr>
        <w:t xml:space="preserve"> 100% stacked column showing community composition at the phylum level</w:t>
      </w:r>
      <w:r>
        <w:rPr>
          <w:rFonts w:hint="eastAsia"/>
          <w:szCs w:val="21"/>
        </w:rPr>
        <w:t>.</w:t>
      </w:r>
    </w:p>
    <w:p w14:paraId="43E85855" w14:textId="77777777" w:rsidR="00F236BC" w:rsidRDefault="00F236BC">
      <w:pPr>
        <w:rPr>
          <w:color w:val="000000" w:themeColor="text1"/>
        </w:rPr>
      </w:pPr>
    </w:p>
    <w:p w14:paraId="439193BD" w14:textId="77777777" w:rsidR="00F236BC" w:rsidRDefault="00D94099">
      <w:pPr>
        <w:rPr>
          <w:szCs w:val="21"/>
        </w:rPr>
      </w:pPr>
      <w:r>
        <w:rPr>
          <w:szCs w:val="21"/>
        </w:rPr>
        <w:t>Table</w:t>
      </w:r>
      <w:r>
        <w:rPr>
          <w:rFonts w:hint="eastAsia"/>
          <w:szCs w:val="21"/>
        </w:rPr>
        <w:t xml:space="preserve"> S1 </w:t>
      </w:r>
      <w:r>
        <w:rPr>
          <w:szCs w:val="21"/>
        </w:rPr>
        <w:t>Bacterial taxa identified using the closest relatives inferred from 16S rRNA gene sequence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similarity</w:t>
      </w:r>
      <w:r>
        <w:rPr>
          <w:rFonts w:hint="eastAsia"/>
          <w:szCs w:val="21"/>
        </w:rPr>
        <w:t>.</w:t>
      </w:r>
    </w:p>
    <w:p w14:paraId="42DD91DA" w14:textId="77777777" w:rsidR="00F236BC" w:rsidRDefault="00F236BC">
      <w:pPr>
        <w:rPr>
          <w:color w:val="000000" w:themeColor="text1"/>
        </w:rPr>
      </w:pPr>
    </w:p>
    <w:p w14:paraId="49312A04" w14:textId="77777777" w:rsidR="00F236BC" w:rsidRDefault="00F236BC">
      <w:pPr>
        <w:rPr>
          <w:color w:val="000000" w:themeColor="text1"/>
        </w:rPr>
      </w:pPr>
    </w:p>
    <w:p w14:paraId="7E25C2C7" w14:textId="77777777" w:rsidR="00F236BC" w:rsidRDefault="00F236BC">
      <w:pPr>
        <w:rPr>
          <w:color w:val="000000" w:themeColor="text1"/>
        </w:rPr>
      </w:pPr>
    </w:p>
    <w:p w14:paraId="09AE38A5" w14:textId="77777777" w:rsidR="00F236BC" w:rsidRDefault="00F236BC">
      <w:pPr>
        <w:rPr>
          <w:color w:val="000000" w:themeColor="text1"/>
        </w:rPr>
      </w:pPr>
    </w:p>
    <w:p w14:paraId="7BBFB83A" w14:textId="77777777" w:rsidR="00F236BC" w:rsidRDefault="00F236BC">
      <w:pPr>
        <w:rPr>
          <w:color w:val="000000" w:themeColor="text1"/>
        </w:rPr>
      </w:pPr>
    </w:p>
    <w:p w14:paraId="050B824F" w14:textId="77777777" w:rsidR="00F236BC" w:rsidRDefault="00F236BC">
      <w:pPr>
        <w:rPr>
          <w:color w:val="000000" w:themeColor="text1"/>
        </w:rPr>
      </w:pPr>
    </w:p>
    <w:p w14:paraId="2592C048" w14:textId="77777777" w:rsidR="00F236BC" w:rsidRDefault="00F236BC">
      <w:pPr>
        <w:rPr>
          <w:color w:val="000000" w:themeColor="text1"/>
        </w:rPr>
      </w:pPr>
    </w:p>
    <w:p w14:paraId="09E74AC0" w14:textId="77777777" w:rsidR="00F236BC" w:rsidRDefault="00F236BC">
      <w:pPr>
        <w:rPr>
          <w:color w:val="000000" w:themeColor="text1"/>
        </w:rPr>
      </w:pPr>
    </w:p>
    <w:p w14:paraId="092B4AE5" w14:textId="77777777" w:rsidR="00F236BC" w:rsidRDefault="00F236BC">
      <w:pPr>
        <w:jc w:val="center"/>
      </w:pPr>
    </w:p>
    <w:p w14:paraId="5CE4EDEF" w14:textId="77777777" w:rsidR="00F236BC" w:rsidRDefault="00D94099">
      <w:pPr>
        <w:jc w:val="center"/>
      </w:pPr>
      <w:r>
        <w:rPr>
          <w:noProof/>
        </w:rPr>
        <w:drawing>
          <wp:inline distT="0" distB="0" distL="0" distR="0" wp14:anchorId="3815E2EC" wp14:editId="3AAF5219">
            <wp:extent cx="4416425" cy="30854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642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8D33F" w14:textId="77777777" w:rsidR="00F236BC" w:rsidRDefault="00D94099">
      <w:pPr>
        <w:jc w:val="center"/>
        <w:rPr>
          <w:szCs w:val="21"/>
        </w:rPr>
      </w:pPr>
      <w:r>
        <w:rPr>
          <w:rFonts w:hint="eastAsia"/>
          <w:szCs w:val="21"/>
        </w:rPr>
        <w:t>Fig.S</w:t>
      </w:r>
      <w:r>
        <w:rPr>
          <w:szCs w:val="21"/>
        </w:rPr>
        <w:t>1</w:t>
      </w:r>
      <w:r>
        <w:rPr>
          <w:rFonts w:hint="eastAsia"/>
          <w:szCs w:val="21"/>
        </w:rPr>
        <w:t xml:space="preserve"> The fitting curve </w:t>
      </w:r>
      <w:r>
        <w:rPr>
          <w:szCs w:val="21"/>
        </w:rPr>
        <w:t>of S</w:t>
      </w:r>
      <w:r>
        <w:rPr>
          <w:szCs w:val="21"/>
          <w:vertAlign w:val="superscript"/>
        </w:rPr>
        <w:t>2-</w:t>
      </w:r>
      <w:r>
        <w:rPr>
          <w:szCs w:val="21"/>
        </w:rPr>
        <w:t>- S</w:t>
      </w:r>
      <w:r>
        <w:rPr>
          <w:rFonts w:hint="eastAsia"/>
          <w:szCs w:val="21"/>
        </w:rPr>
        <w:t xml:space="preserve"> and</w:t>
      </w:r>
      <w:r>
        <w:rPr>
          <w:szCs w:val="21"/>
        </w:rPr>
        <w:t xml:space="preserve"> NH</w:t>
      </w:r>
      <w:r>
        <w:rPr>
          <w:szCs w:val="21"/>
          <w:vertAlign w:val="subscript"/>
        </w:rPr>
        <w:t>4</w:t>
      </w:r>
      <w:r>
        <w:rPr>
          <w:szCs w:val="21"/>
          <w:vertAlign w:val="superscript"/>
        </w:rPr>
        <w:t>+</w:t>
      </w:r>
      <w:r>
        <w:rPr>
          <w:szCs w:val="21"/>
        </w:rPr>
        <w:t>-N</w:t>
      </w:r>
      <w:r>
        <w:rPr>
          <w:rFonts w:hint="eastAsia"/>
          <w:szCs w:val="21"/>
        </w:rPr>
        <w:t>.</w:t>
      </w:r>
    </w:p>
    <w:p w14:paraId="7D1D0787" w14:textId="77777777" w:rsidR="00F236BC" w:rsidRDefault="00F236BC">
      <w:pPr>
        <w:jc w:val="center"/>
        <w:rPr>
          <w:szCs w:val="21"/>
        </w:rPr>
      </w:pPr>
    </w:p>
    <w:p w14:paraId="5DB6B89B" w14:textId="77777777" w:rsidR="00F236BC" w:rsidRDefault="00F236BC">
      <w:pPr>
        <w:jc w:val="center"/>
        <w:rPr>
          <w:szCs w:val="21"/>
        </w:rPr>
      </w:pPr>
    </w:p>
    <w:p w14:paraId="45D5082C" w14:textId="77777777" w:rsidR="00F236BC" w:rsidRDefault="00F236BC">
      <w:pPr>
        <w:jc w:val="center"/>
        <w:rPr>
          <w:szCs w:val="21"/>
        </w:rPr>
      </w:pPr>
    </w:p>
    <w:p w14:paraId="18A74F1D" w14:textId="77777777" w:rsidR="00F236BC" w:rsidRDefault="00F236BC">
      <w:pPr>
        <w:jc w:val="center"/>
        <w:rPr>
          <w:szCs w:val="21"/>
        </w:rPr>
      </w:pPr>
    </w:p>
    <w:p w14:paraId="6592B7D1" w14:textId="77777777" w:rsidR="00F236BC" w:rsidRDefault="00F236BC">
      <w:pPr>
        <w:jc w:val="center"/>
        <w:rPr>
          <w:szCs w:val="21"/>
        </w:rPr>
      </w:pPr>
    </w:p>
    <w:p w14:paraId="48A2B42D" w14:textId="77777777" w:rsidR="00F236BC" w:rsidRDefault="00F236BC">
      <w:pPr>
        <w:jc w:val="center"/>
        <w:rPr>
          <w:szCs w:val="21"/>
        </w:rPr>
      </w:pPr>
    </w:p>
    <w:p w14:paraId="24E707BA" w14:textId="77777777" w:rsidR="00F236BC" w:rsidRDefault="00F236BC">
      <w:pPr>
        <w:jc w:val="center"/>
        <w:rPr>
          <w:szCs w:val="21"/>
        </w:rPr>
      </w:pPr>
    </w:p>
    <w:p w14:paraId="4E203B31" w14:textId="77777777" w:rsidR="00F236BC" w:rsidRDefault="00F236BC">
      <w:pPr>
        <w:jc w:val="center"/>
        <w:rPr>
          <w:szCs w:val="21"/>
        </w:rPr>
      </w:pPr>
    </w:p>
    <w:p w14:paraId="458BB1B9" w14:textId="77777777" w:rsidR="00F236BC" w:rsidRDefault="00F236BC">
      <w:pPr>
        <w:jc w:val="center"/>
        <w:rPr>
          <w:szCs w:val="21"/>
        </w:rPr>
      </w:pPr>
    </w:p>
    <w:p w14:paraId="4E8AED09" w14:textId="77777777" w:rsidR="00F236BC" w:rsidRDefault="00F236BC">
      <w:pPr>
        <w:ind w:firstLineChars="200" w:firstLine="420"/>
      </w:pPr>
    </w:p>
    <w:p w14:paraId="42B440B8" w14:textId="77777777" w:rsidR="00F236BC" w:rsidRDefault="00F236BC">
      <w:pPr>
        <w:ind w:firstLineChars="200" w:firstLine="420"/>
      </w:pPr>
    </w:p>
    <w:p w14:paraId="1823B381" w14:textId="77777777" w:rsidR="00F236BC" w:rsidRDefault="00F236BC">
      <w:pPr>
        <w:ind w:firstLineChars="200" w:firstLine="420"/>
      </w:pPr>
    </w:p>
    <w:p w14:paraId="2CAA1B7B" w14:textId="77777777" w:rsidR="00F236BC" w:rsidRDefault="00F236BC">
      <w:pPr>
        <w:ind w:firstLineChars="200" w:firstLine="420"/>
      </w:pPr>
    </w:p>
    <w:p w14:paraId="14ECF954" w14:textId="77777777" w:rsidR="00F236BC" w:rsidRDefault="00F236BC">
      <w:pPr>
        <w:ind w:firstLineChars="200" w:firstLine="420"/>
      </w:pPr>
    </w:p>
    <w:p w14:paraId="6225D578" w14:textId="77777777" w:rsidR="00F236BC" w:rsidRDefault="00F236BC">
      <w:pPr>
        <w:ind w:firstLineChars="200" w:firstLine="420"/>
      </w:pPr>
    </w:p>
    <w:p w14:paraId="607B4125" w14:textId="77777777" w:rsidR="00F236BC" w:rsidRDefault="00F236BC">
      <w:pPr>
        <w:ind w:firstLineChars="200" w:firstLine="420"/>
      </w:pPr>
    </w:p>
    <w:p w14:paraId="737F1F80" w14:textId="77777777" w:rsidR="00F236BC" w:rsidRDefault="00F236BC">
      <w:pPr>
        <w:ind w:firstLineChars="200" w:firstLine="420"/>
      </w:pPr>
    </w:p>
    <w:p w14:paraId="6EE86363" w14:textId="77777777" w:rsidR="00F236BC" w:rsidRDefault="00F236BC">
      <w:pPr>
        <w:ind w:firstLineChars="200" w:firstLine="420"/>
      </w:pPr>
    </w:p>
    <w:p w14:paraId="6439D0C3" w14:textId="77777777" w:rsidR="00F236BC" w:rsidRDefault="00F236BC">
      <w:pPr>
        <w:ind w:firstLineChars="200" w:firstLine="420"/>
      </w:pPr>
    </w:p>
    <w:p w14:paraId="190AB62A" w14:textId="77777777" w:rsidR="00F236BC" w:rsidRDefault="00D94099">
      <w:pPr>
        <w:jc w:val="center"/>
      </w:pPr>
      <w:r>
        <w:rPr>
          <w:noProof/>
        </w:rPr>
        <w:drawing>
          <wp:inline distT="0" distB="0" distL="0" distR="0" wp14:anchorId="184F0587" wp14:editId="2A93DCE4">
            <wp:extent cx="3603625" cy="2627630"/>
            <wp:effectExtent l="0" t="0" r="1587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8DF04C" wp14:editId="31484271">
            <wp:extent cx="3603625" cy="2533650"/>
            <wp:effectExtent l="0" t="0" r="1587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B1D42" w14:textId="59E87DBD" w:rsidR="00F236BC" w:rsidRDefault="00D94099">
      <w:pPr>
        <w:ind w:firstLineChars="200" w:firstLine="420"/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Fig.S</w:t>
      </w:r>
      <w:r w:rsidR="00EC2050">
        <w:rPr>
          <w:color w:val="000000" w:themeColor="text1"/>
        </w:rPr>
        <w:t>2</w:t>
      </w:r>
      <w:r>
        <w:rPr>
          <w:rFonts w:hint="eastAsia"/>
          <w:color w:val="000000" w:themeColor="text1"/>
        </w:rPr>
        <w:t xml:space="preserve"> Shannon index and Rarefaction curves in different systems. </w:t>
      </w:r>
    </w:p>
    <w:p w14:paraId="1E9E4911" w14:textId="77777777" w:rsidR="00F236BC" w:rsidRDefault="00F236BC">
      <w:pPr>
        <w:rPr>
          <w:szCs w:val="21"/>
        </w:rPr>
      </w:pPr>
    </w:p>
    <w:p w14:paraId="3965CDB8" w14:textId="77777777" w:rsidR="00F236BC" w:rsidRDefault="00F236BC">
      <w:pPr>
        <w:rPr>
          <w:szCs w:val="21"/>
        </w:rPr>
      </w:pPr>
    </w:p>
    <w:p w14:paraId="1191DCB2" w14:textId="77777777" w:rsidR="00F236BC" w:rsidRDefault="00F236BC">
      <w:pPr>
        <w:rPr>
          <w:szCs w:val="21"/>
        </w:rPr>
      </w:pPr>
    </w:p>
    <w:p w14:paraId="23CC4BC4" w14:textId="77777777" w:rsidR="00F236BC" w:rsidRDefault="00F236BC">
      <w:pPr>
        <w:rPr>
          <w:szCs w:val="21"/>
        </w:rPr>
      </w:pPr>
    </w:p>
    <w:p w14:paraId="6F837365" w14:textId="77777777" w:rsidR="00F236BC" w:rsidRDefault="00F236BC">
      <w:pPr>
        <w:rPr>
          <w:szCs w:val="21"/>
        </w:rPr>
      </w:pPr>
    </w:p>
    <w:p w14:paraId="20EED7B0" w14:textId="77777777" w:rsidR="00F236BC" w:rsidRDefault="00F236BC">
      <w:pPr>
        <w:rPr>
          <w:szCs w:val="21"/>
        </w:rPr>
      </w:pPr>
    </w:p>
    <w:p w14:paraId="05D5474B" w14:textId="77777777" w:rsidR="00F236BC" w:rsidRDefault="00F236BC">
      <w:pPr>
        <w:rPr>
          <w:szCs w:val="21"/>
        </w:rPr>
      </w:pPr>
    </w:p>
    <w:p w14:paraId="621CBF3E" w14:textId="77777777" w:rsidR="00F236BC" w:rsidRDefault="00F236BC">
      <w:pPr>
        <w:rPr>
          <w:szCs w:val="21"/>
        </w:rPr>
      </w:pPr>
    </w:p>
    <w:p w14:paraId="03E193CE" w14:textId="77777777" w:rsidR="00F236BC" w:rsidRDefault="00F236BC">
      <w:pPr>
        <w:rPr>
          <w:szCs w:val="21"/>
        </w:rPr>
      </w:pPr>
    </w:p>
    <w:p w14:paraId="7FEFF6FC" w14:textId="77777777" w:rsidR="00F236BC" w:rsidRDefault="00F236BC">
      <w:pPr>
        <w:rPr>
          <w:szCs w:val="21"/>
        </w:rPr>
      </w:pPr>
    </w:p>
    <w:p w14:paraId="33E327BF" w14:textId="77777777" w:rsidR="00F236BC" w:rsidRDefault="00D94099">
      <w:pPr>
        <w:jc w:val="center"/>
      </w:pPr>
      <w:r>
        <w:object w:dxaOrig="5990" w:dyaOrig="3850" w14:anchorId="3C29B0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9.5pt;height:192.5pt" o:ole="">
            <v:imagedata r:id="rId10" o:title="" croptop="4435f" cropbottom="6247f"/>
          </v:shape>
          <o:OLEObject Type="Embed" ProgID="Origin50.Graph" ShapeID="_x0000_i1025" DrawAspect="Content" ObjectID="_1682492958" r:id="rId11"/>
        </w:object>
      </w:r>
    </w:p>
    <w:p w14:paraId="2C788A27" w14:textId="1883923B" w:rsidR="00F236BC" w:rsidRDefault="00D94099">
      <w:pPr>
        <w:rPr>
          <w:szCs w:val="21"/>
        </w:rPr>
      </w:pPr>
      <w:r>
        <w:rPr>
          <w:rFonts w:hint="eastAsia"/>
          <w:szCs w:val="21"/>
        </w:rPr>
        <w:t>F</w:t>
      </w:r>
      <w:r>
        <w:rPr>
          <w:szCs w:val="21"/>
        </w:rPr>
        <w:t>ig.</w:t>
      </w:r>
      <w:r>
        <w:rPr>
          <w:rFonts w:hint="eastAsia"/>
          <w:szCs w:val="21"/>
        </w:rPr>
        <w:t>S</w:t>
      </w:r>
      <w:r w:rsidR="00EC2050">
        <w:rPr>
          <w:szCs w:val="21"/>
        </w:rPr>
        <w:t>3</w:t>
      </w:r>
      <w:r>
        <w:rPr>
          <w:szCs w:val="21"/>
        </w:rPr>
        <w:t xml:space="preserve"> Microbial community composition of the SBBR sludge based on high-throughput 16S rRNA gene sequencing. T</w:t>
      </w:r>
      <w:r>
        <w:rPr>
          <w:rFonts w:hint="eastAsia"/>
          <w:szCs w:val="21"/>
        </w:rPr>
        <w:t>he</w:t>
      </w:r>
      <w:r>
        <w:rPr>
          <w:szCs w:val="21"/>
        </w:rPr>
        <w:t xml:space="preserve"> 100% stacked column showing community composition at the phylum level</w:t>
      </w:r>
      <w:r>
        <w:rPr>
          <w:rFonts w:hint="eastAsia"/>
          <w:szCs w:val="21"/>
        </w:rPr>
        <w:t>.</w:t>
      </w:r>
    </w:p>
    <w:p w14:paraId="2758C3C0" w14:textId="77777777" w:rsidR="00F236BC" w:rsidRDefault="00F236BC"/>
    <w:p w14:paraId="135A5E77" w14:textId="77777777" w:rsidR="00F236BC" w:rsidRDefault="00F236BC">
      <w:pPr>
        <w:rPr>
          <w:szCs w:val="21"/>
        </w:rPr>
      </w:pPr>
    </w:p>
    <w:p w14:paraId="0CE6BA2C" w14:textId="77777777" w:rsidR="00F236BC" w:rsidRDefault="00F236BC">
      <w:pPr>
        <w:rPr>
          <w:szCs w:val="21"/>
        </w:rPr>
      </w:pPr>
    </w:p>
    <w:p w14:paraId="0A80F3A4" w14:textId="77777777" w:rsidR="00F236BC" w:rsidRDefault="00F236BC">
      <w:pPr>
        <w:rPr>
          <w:szCs w:val="21"/>
        </w:rPr>
      </w:pPr>
    </w:p>
    <w:p w14:paraId="100FA343" w14:textId="77777777" w:rsidR="00F236BC" w:rsidRDefault="00F236BC">
      <w:pPr>
        <w:rPr>
          <w:szCs w:val="21"/>
        </w:rPr>
      </w:pPr>
    </w:p>
    <w:p w14:paraId="42F6FC29" w14:textId="77777777" w:rsidR="00F236BC" w:rsidRDefault="00F236BC">
      <w:pPr>
        <w:rPr>
          <w:szCs w:val="21"/>
        </w:rPr>
      </w:pPr>
    </w:p>
    <w:p w14:paraId="18347AED" w14:textId="77777777" w:rsidR="00F236BC" w:rsidRDefault="00F236BC">
      <w:pPr>
        <w:rPr>
          <w:szCs w:val="21"/>
        </w:rPr>
      </w:pPr>
    </w:p>
    <w:p w14:paraId="305C9B42" w14:textId="77777777" w:rsidR="00F236BC" w:rsidRDefault="00F236BC">
      <w:pPr>
        <w:rPr>
          <w:szCs w:val="21"/>
        </w:rPr>
      </w:pPr>
    </w:p>
    <w:p w14:paraId="6BBCFF8D" w14:textId="77777777" w:rsidR="00F236BC" w:rsidRDefault="00F236BC">
      <w:pPr>
        <w:rPr>
          <w:szCs w:val="21"/>
        </w:rPr>
      </w:pPr>
    </w:p>
    <w:p w14:paraId="4CA4B67D" w14:textId="77777777" w:rsidR="00F236BC" w:rsidRDefault="00F236BC">
      <w:pPr>
        <w:rPr>
          <w:szCs w:val="21"/>
        </w:rPr>
      </w:pPr>
    </w:p>
    <w:p w14:paraId="65F9B366" w14:textId="77777777" w:rsidR="00F236BC" w:rsidRDefault="00F236BC">
      <w:pPr>
        <w:rPr>
          <w:szCs w:val="21"/>
        </w:rPr>
      </w:pPr>
    </w:p>
    <w:p w14:paraId="37642FAA" w14:textId="77777777" w:rsidR="00F236BC" w:rsidRDefault="00F236BC">
      <w:pPr>
        <w:rPr>
          <w:szCs w:val="21"/>
        </w:rPr>
      </w:pPr>
    </w:p>
    <w:p w14:paraId="19855DE8" w14:textId="77777777" w:rsidR="00F236BC" w:rsidRDefault="00F236BC">
      <w:pPr>
        <w:rPr>
          <w:szCs w:val="21"/>
        </w:rPr>
      </w:pPr>
    </w:p>
    <w:p w14:paraId="2C705C42" w14:textId="77777777" w:rsidR="00F236BC" w:rsidRDefault="00F236BC">
      <w:pPr>
        <w:rPr>
          <w:szCs w:val="21"/>
        </w:rPr>
      </w:pPr>
    </w:p>
    <w:p w14:paraId="6D9014AF" w14:textId="77777777" w:rsidR="00F236BC" w:rsidRDefault="00F236BC">
      <w:pPr>
        <w:rPr>
          <w:szCs w:val="21"/>
        </w:rPr>
      </w:pPr>
    </w:p>
    <w:p w14:paraId="4B766D11" w14:textId="77777777" w:rsidR="00F236BC" w:rsidRDefault="00F236BC">
      <w:pPr>
        <w:rPr>
          <w:szCs w:val="21"/>
        </w:rPr>
      </w:pPr>
    </w:p>
    <w:p w14:paraId="014C4B46" w14:textId="77777777" w:rsidR="00F236BC" w:rsidRDefault="00D94099">
      <w:pPr>
        <w:rPr>
          <w:szCs w:val="21"/>
        </w:rPr>
      </w:pPr>
      <w:r>
        <w:rPr>
          <w:szCs w:val="21"/>
        </w:rPr>
        <w:t>Table</w:t>
      </w:r>
      <w:r>
        <w:rPr>
          <w:rFonts w:hint="eastAsia"/>
          <w:szCs w:val="21"/>
        </w:rPr>
        <w:t xml:space="preserve"> S1 </w:t>
      </w:r>
      <w:r>
        <w:rPr>
          <w:szCs w:val="21"/>
        </w:rPr>
        <w:t>Bacterial taxa identified using the closest relatives inferred from 16S rRNA gene sequence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similarity</w:t>
      </w:r>
      <w:r>
        <w:rPr>
          <w:rFonts w:hint="eastAsia"/>
          <w:szCs w:val="21"/>
        </w:rPr>
        <w:t>.</w:t>
      </w:r>
    </w:p>
    <w:p w14:paraId="66F073E0" w14:textId="77777777" w:rsidR="00F236BC" w:rsidRDefault="00F236BC">
      <w:pPr>
        <w:rPr>
          <w:szCs w:val="21"/>
        </w:rPr>
      </w:pPr>
    </w:p>
    <w:tbl>
      <w:tblPr>
        <w:tblStyle w:val="a4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9"/>
        <w:gridCol w:w="1461"/>
        <w:gridCol w:w="1135"/>
        <w:gridCol w:w="1135"/>
        <w:gridCol w:w="1148"/>
        <w:gridCol w:w="1371"/>
        <w:gridCol w:w="1136"/>
      </w:tblGrid>
      <w:tr w:rsidR="00F236BC" w14:paraId="2743A074" w14:textId="77777777">
        <w:trPr>
          <w:jc w:val="center"/>
        </w:trPr>
        <w:tc>
          <w:tcPr>
            <w:tcW w:w="1159" w:type="dxa"/>
            <w:tcBorders>
              <w:bottom w:val="single" w:sz="4" w:space="0" w:color="auto"/>
            </w:tcBorders>
            <w:vAlign w:val="center"/>
          </w:tcPr>
          <w:p w14:paraId="319A421A" w14:textId="77777777" w:rsidR="00F236BC" w:rsidRDefault="00D94099">
            <w:pPr>
              <w:widowControl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Band No.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vAlign w:val="center"/>
          </w:tcPr>
          <w:p w14:paraId="05E6A9B4" w14:textId="77777777" w:rsidR="00F236BC" w:rsidRDefault="00D94099">
            <w:pPr>
              <w:widowControl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Closest relative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D091216" w14:textId="77777777" w:rsidR="00F236BC" w:rsidRDefault="00D94099">
            <w:pPr>
              <w:widowControl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Identity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6007E2EE" w14:textId="77777777" w:rsidR="00F236BC" w:rsidRDefault="00D9409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Access no.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2999B7ED" w14:textId="77777777" w:rsidR="00F236BC" w:rsidRDefault="00D94099">
            <w:pPr>
              <w:widowControl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Genus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931D56B" w14:textId="77777777" w:rsidR="00F236BC" w:rsidRDefault="00D9409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57D526F0" w14:textId="77777777" w:rsidR="00F236BC" w:rsidRDefault="00D9409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Phylum</w:t>
            </w:r>
          </w:p>
        </w:tc>
      </w:tr>
      <w:tr w:rsidR="00F236BC" w14:paraId="0D5A27E1" w14:textId="77777777">
        <w:trPr>
          <w:jc w:val="center"/>
        </w:trPr>
        <w:tc>
          <w:tcPr>
            <w:tcW w:w="1159" w:type="dxa"/>
            <w:tcBorders>
              <w:bottom w:val="nil"/>
            </w:tcBorders>
            <w:vAlign w:val="center"/>
          </w:tcPr>
          <w:p w14:paraId="686F3EC1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</w:t>
            </w:r>
          </w:p>
        </w:tc>
        <w:tc>
          <w:tcPr>
            <w:tcW w:w="1461" w:type="dxa"/>
            <w:tcBorders>
              <w:bottom w:val="nil"/>
            </w:tcBorders>
            <w:vAlign w:val="center"/>
          </w:tcPr>
          <w:p w14:paraId="0EC7704C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Veillonella ratti strain</w:t>
            </w:r>
          </w:p>
        </w:tc>
        <w:tc>
          <w:tcPr>
            <w:tcW w:w="1135" w:type="dxa"/>
            <w:tcBorders>
              <w:bottom w:val="nil"/>
            </w:tcBorders>
            <w:vAlign w:val="center"/>
          </w:tcPr>
          <w:p w14:paraId="142BC298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bottom w:val="nil"/>
            </w:tcBorders>
            <w:vAlign w:val="center"/>
          </w:tcPr>
          <w:p w14:paraId="6DD4F06C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113377.1</w:t>
            </w:r>
          </w:p>
        </w:tc>
        <w:tc>
          <w:tcPr>
            <w:tcW w:w="1135" w:type="dxa"/>
            <w:tcBorders>
              <w:bottom w:val="nil"/>
            </w:tcBorders>
            <w:vAlign w:val="center"/>
          </w:tcPr>
          <w:p w14:paraId="1D1849B6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Veillonella</w:t>
            </w:r>
          </w:p>
        </w:tc>
        <w:tc>
          <w:tcPr>
            <w:tcW w:w="1135" w:type="dxa"/>
            <w:tcBorders>
              <w:bottom w:val="nil"/>
            </w:tcBorders>
            <w:vAlign w:val="center"/>
          </w:tcPr>
          <w:p w14:paraId="47D082F0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Negativicutes</w:t>
            </w:r>
          </w:p>
        </w:tc>
        <w:tc>
          <w:tcPr>
            <w:tcW w:w="1136" w:type="dxa"/>
            <w:tcBorders>
              <w:bottom w:val="nil"/>
            </w:tcBorders>
            <w:vAlign w:val="center"/>
          </w:tcPr>
          <w:p w14:paraId="253C1764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Firmicutes</w:t>
            </w:r>
          </w:p>
        </w:tc>
      </w:tr>
      <w:tr w:rsidR="00F236BC" w14:paraId="5548F2E2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56B8A054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2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03EB9C33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Proteiniclasticum ruminis DSM 24773 strain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00D3F04D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5DB66E0C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115875.1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AA8A56B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Proteiniclasticum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2DEBDC1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Clostridia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662284AE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Firmicutes</w:t>
            </w:r>
          </w:p>
        </w:tc>
      </w:tr>
      <w:tr w:rsidR="00F236BC" w14:paraId="05A5E9A3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6A9AA29D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3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495D4B0F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 Fusibacter fontis strain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1B15591D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1D087F22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137378.1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A020DC5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 xml:space="preserve">Fusibacter 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BD73746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Clostridia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3A706A2C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Firmicutes</w:t>
            </w:r>
          </w:p>
        </w:tc>
      </w:tr>
      <w:tr w:rsidR="00F236BC" w14:paraId="61240F9E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4900C8EA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4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3E288369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Aminivibrio pyruvatiphilus strain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3463B25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2857D8C7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113331.1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D241811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Aminivibrio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CBC32D7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Synergistia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5AF76D2C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Synergistetes</w:t>
            </w:r>
          </w:p>
        </w:tc>
      </w:tr>
      <w:tr w:rsidR="00F236BC" w14:paraId="566C0E2F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3F780A0C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5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7B264C8A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 xml:space="preserve">Holophaga foetida strain 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075356B4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2331E194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036891.1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BA7A85B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Holophaga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9F290BC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Holophagae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69A768CA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Acidobacteria</w:t>
            </w:r>
          </w:p>
        </w:tc>
      </w:tr>
      <w:tr w:rsidR="00F236BC" w14:paraId="760FE1EC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0A690422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6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79D044C5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Desulfovibrio desulfuricans strain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5EB3127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AC97B1C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104990.1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E84C81F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Desulfovibrio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56FE3D47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Deltaproteobacteria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7281BBD5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Acidobacteria</w:t>
            </w:r>
          </w:p>
        </w:tc>
      </w:tr>
      <w:tr w:rsidR="00F236BC" w14:paraId="0D820D0D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5A5B0B33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7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71C99617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Geobacter lovleyi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5D8FE624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99.53%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47CE198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074979.1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5E78159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Geobacter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D5A1A5C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Deltaproteobacteria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14B20BF9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Proteobacteria</w:t>
            </w:r>
          </w:p>
        </w:tc>
      </w:tr>
      <w:tr w:rsidR="00F236BC" w14:paraId="74FD4ACE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513B6B09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8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6F8624C3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Desulfobacterium catecholicum strain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083D4DA5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2D86FB6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028895.1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4425882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Desulfobacterium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04A4053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Deltaproteobacteria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6B92ACD5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Proteobacteria</w:t>
            </w:r>
          </w:p>
        </w:tc>
      </w:tr>
      <w:tr w:rsidR="00F236BC" w14:paraId="1CB3AC0C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342BC28A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9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0DD2EBCC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Thermomonas koreensis strain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FACA568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D527EBE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043584.1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0D51184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Thermomonas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90DF4A2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Gammaproteobacteria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676EB21B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Proteobacteria</w:t>
            </w:r>
          </w:p>
        </w:tc>
      </w:tr>
      <w:tr w:rsidR="00F236BC" w14:paraId="06B0CB18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33DC13F7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1CF6A8C6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Hydrogenophaga caeni strain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DB576B1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5973811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043769.1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54EE73A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Hydrogenophaga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F096A11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Gammaproteobacteria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273711C0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Proteobacteria</w:t>
            </w:r>
          </w:p>
        </w:tc>
      </w:tr>
      <w:tr w:rsidR="00F236BC" w14:paraId="5217E36F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476C111D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17D9649F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Thauera phenylacetica strain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09F5EE7F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ACB4399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027224.1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22ED06AC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Thauera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A25AFE6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Gammaproteobacteria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12DA0C55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Proteobacteria</w:t>
            </w:r>
          </w:p>
        </w:tc>
      </w:tr>
      <w:tr w:rsidR="00F236BC" w14:paraId="3A83382F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797CE8E5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12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47FF95A6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Sulfuritalea hydrogenivorans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31CCFE8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360BF82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113147.1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19FE253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Sulfuritalea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DBA6CFB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Gammaproteobacteria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03F3C96E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Proteobacteria</w:t>
            </w:r>
          </w:p>
        </w:tc>
      </w:tr>
      <w:tr w:rsidR="00F236BC" w14:paraId="0923CF7F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570F37E4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13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7DE01757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Thiobacillus thioparus strai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18EC6BEE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0F53EBC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117864.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1B7491C2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Thiobacillus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20882AF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Gammaproteobacteria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7B8A7127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Proteobacteria</w:t>
            </w:r>
          </w:p>
        </w:tc>
      </w:tr>
      <w:tr w:rsidR="00F236BC" w14:paraId="3746BD34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3DDBE506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14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37EDDF43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Thiobacillus sajanensis strain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B9ADD24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F2272B6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115758.1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279798A5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Thiobacillus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DC7B453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Gammaproteobacteria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715DD1CE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Proteobacteria</w:t>
            </w:r>
          </w:p>
        </w:tc>
      </w:tr>
      <w:tr w:rsidR="00F236BC" w14:paraId="066977AC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2FD546FD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lastRenderedPageBreak/>
              <w:t>15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24111C3F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Flavobacterium lacus strain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3F75698A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165EA602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133745.1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48134A28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Flavobacterium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2710B98C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Bacteroidia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47AB019B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Bacteroidetes</w:t>
            </w:r>
          </w:p>
        </w:tc>
      </w:tr>
      <w:tr w:rsidR="00F236BC" w14:paraId="2C33B624" w14:textId="77777777">
        <w:trPr>
          <w:jc w:val="center"/>
        </w:trPr>
        <w:tc>
          <w:tcPr>
            <w:tcW w:w="1159" w:type="dxa"/>
            <w:tcBorders>
              <w:top w:val="nil"/>
              <w:bottom w:val="nil"/>
            </w:tcBorders>
            <w:vAlign w:val="center"/>
          </w:tcPr>
          <w:p w14:paraId="1720A53A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16</w:t>
            </w:r>
          </w:p>
        </w:tc>
        <w:tc>
          <w:tcPr>
            <w:tcW w:w="1461" w:type="dxa"/>
            <w:tcBorders>
              <w:top w:val="nil"/>
              <w:bottom w:val="nil"/>
            </w:tcBorders>
            <w:vAlign w:val="center"/>
          </w:tcPr>
          <w:p w14:paraId="5A6F6E32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Geofilum rhodophaeum strain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7FE362FB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515929D3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158091.1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64A65A31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Geofilum</w:t>
            </w:r>
          </w:p>
        </w:tc>
        <w:tc>
          <w:tcPr>
            <w:tcW w:w="1135" w:type="dxa"/>
            <w:tcBorders>
              <w:top w:val="nil"/>
              <w:bottom w:val="nil"/>
            </w:tcBorders>
            <w:vAlign w:val="center"/>
          </w:tcPr>
          <w:p w14:paraId="5CDF0222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Bacteroidia</w:t>
            </w:r>
          </w:p>
        </w:tc>
        <w:tc>
          <w:tcPr>
            <w:tcW w:w="1136" w:type="dxa"/>
            <w:tcBorders>
              <w:top w:val="nil"/>
              <w:bottom w:val="nil"/>
            </w:tcBorders>
            <w:vAlign w:val="center"/>
          </w:tcPr>
          <w:p w14:paraId="7261C79D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Bacteroidetes</w:t>
            </w:r>
          </w:p>
        </w:tc>
      </w:tr>
      <w:tr w:rsidR="00F236BC" w14:paraId="2C6C407E" w14:textId="77777777">
        <w:trPr>
          <w:jc w:val="center"/>
        </w:trPr>
        <w:tc>
          <w:tcPr>
            <w:tcW w:w="1159" w:type="dxa"/>
            <w:tcBorders>
              <w:top w:val="nil"/>
            </w:tcBorders>
            <w:vAlign w:val="center"/>
          </w:tcPr>
          <w:p w14:paraId="56DF5054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17</w:t>
            </w:r>
          </w:p>
        </w:tc>
        <w:tc>
          <w:tcPr>
            <w:tcW w:w="1461" w:type="dxa"/>
            <w:tcBorders>
              <w:top w:val="nil"/>
            </w:tcBorders>
            <w:vAlign w:val="center"/>
          </w:tcPr>
          <w:p w14:paraId="50198AC5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Lentimicrobium saccharophilum strain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7EED82C0" w14:textId="77777777" w:rsidR="00F236BC" w:rsidRDefault="00D94099">
            <w:pPr>
              <w:jc w:val="center"/>
              <w:rPr>
                <w:rFonts w:ascii="宋体" w:hAnsi="宋体" w:cs="宋体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100%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78BE021F" w14:textId="77777777" w:rsidR="00F236BC" w:rsidRDefault="00D94099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NR 149795.1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2C646190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Lentimicrobium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21FFA65C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Bacteroidia</w:t>
            </w:r>
          </w:p>
        </w:tc>
        <w:tc>
          <w:tcPr>
            <w:tcW w:w="1136" w:type="dxa"/>
            <w:tcBorders>
              <w:top w:val="nil"/>
            </w:tcBorders>
            <w:vAlign w:val="center"/>
          </w:tcPr>
          <w:p w14:paraId="679DD11D" w14:textId="77777777" w:rsidR="00F236BC" w:rsidRDefault="00D94099">
            <w:pPr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Bacteroidetes</w:t>
            </w:r>
          </w:p>
        </w:tc>
      </w:tr>
    </w:tbl>
    <w:p w14:paraId="4FF2FE62" w14:textId="77777777" w:rsidR="00F236BC" w:rsidRDefault="00F236BC"/>
    <w:sectPr w:rsidR="00F236BC">
      <w:footerReference w:type="default" r:id="rId12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5B263" w14:textId="77777777" w:rsidR="006C62E2" w:rsidRDefault="006C62E2">
      <w:pPr>
        <w:spacing w:after="0" w:line="240" w:lineRule="auto"/>
      </w:pPr>
      <w:r>
        <w:separator/>
      </w:r>
    </w:p>
  </w:endnote>
  <w:endnote w:type="continuationSeparator" w:id="0">
    <w:p w14:paraId="3CE1398A" w14:textId="77777777" w:rsidR="006C62E2" w:rsidRDefault="006C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16AF" w14:textId="77777777" w:rsidR="00F236BC" w:rsidRDefault="00D9409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2022B8" wp14:editId="17E0B6E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D47489" w14:textId="77777777" w:rsidR="00F236BC" w:rsidRDefault="00D94099">
                          <w:pPr>
                            <w:pStyle w:val="a3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022B8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2D47489" w14:textId="77777777" w:rsidR="00F236BC" w:rsidRDefault="00D94099">
                    <w:pPr>
                      <w:pStyle w:val="a3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98357" w14:textId="77777777" w:rsidR="006C62E2" w:rsidRDefault="006C62E2">
      <w:pPr>
        <w:spacing w:after="0" w:line="240" w:lineRule="auto"/>
      </w:pPr>
      <w:r>
        <w:separator/>
      </w:r>
    </w:p>
  </w:footnote>
  <w:footnote w:type="continuationSeparator" w:id="0">
    <w:p w14:paraId="7685A1BF" w14:textId="77777777" w:rsidR="006C62E2" w:rsidRDefault="006C62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6BC"/>
    <w:rsid w:val="004374DB"/>
    <w:rsid w:val="006C62E2"/>
    <w:rsid w:val="006D351F"/>
    <w:rsid w:val="00D94099"/>
    <w:rsid w:val="00DD073A"/>
    <w:rsid w:val="00EC2050"/>
    <w:rsid w:val="00F236BC"/>
    <w:rsid w:val="29E7224D"/>
    <w:rsid w:val="4DFB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0543C2"/>
  <w15:docId w15:val="{8A7E03F5-0131-4BDB-85EB-43E40E9B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样式3"/>
    <w:basedOn w:val="3"/>
    <w:next w:val="a"/>
    <w:pPr>
      <w:spacing w:beforeLines="50" w:before="50" w:afterLines="50" w:after="50" w:line="400" w:lineRule="exact"/>
    </w:pPr>
    <w:rPr>
      <w:bCs/>
      <w:sz w:val="24"/>
      <w:szCs w:val="32"/>
    </w:rPr>
  </w:style>
  <w:style w:type="paragraph" w:styleId="a5">
    <w:name w:val="header"/>
    <w:basedOn w:val="a"/>
    <w:link w:val="a6"/>
    <w:rsid w:val="00EC2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C2050"/>
    <w:rPr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rsid w:val="004374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4374DB"/>
    <w:rPr>
      <w:rFonts w:ascii="宋体" w:hAnsi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李 晓玲</cp:lastModifiedBy>
  <cp:revision>5</cp:revision>
  <dcterms:created xsi:type="dcterms:W3CDTF">2019-04-29T12:56:00Z</dcterms:created>
  <dcterms:modified xsi:type="dcterms:W3CDTF">2021-05-14T02:23:00Z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