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80159544"/>
    <w:p w14:paraId="5AC1AA7A" w14:textId="77777777" w:rsidR="00594B2A" w:rsidRPr="00594B2A" w:rsidRDefault="00594B2A" w:rsidP="00594B2A">
      <w:r w:rsidRPr="00594B2A">
        <w:object w:dxaOrig="7335" w:dyaOrig="3315" w14:anchorId="67559F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366.75pt;height:165.75pt" o:ole="">
            <v:imagedata r:id="rId4" o:title=""/>
          </v:shape>
          <o:OLEObject Type="Embed" ProgID="ChemDraw.Document.6.0" ShapeID="_x0000_i1031" DrawAspect="Content" ObjectID="_1807088796" r:id="rId5"/>
        </w:object>
      </w:r>
      <w:bookmarkEnd w:id="0"/>
    </w:p>
    <w:p w14:paraId="52B5DE3D" w14:textId="77777777" w:rsidR="00594B2A" w:rsidRDefault="00594B2A" w:rsidP="00594B2A">
      <w:bookmarkStart w:id="1" w:name="_Hlk180159536"/>
      <w:r w:rsidRPr="00594B2A">
        <w:rPr>
          <w:b/>
          <w:bCs/>
        </w:rPr>
        <w:t>Scheme 1.</w:t>
      </w:r>
      <w:r w:rsidRPr="00594B2A">
        <w:t xml:space="preserve"> (a) The Hiyama coupling reaction in the presence of DCT. (b) The Hiyama coupling reaction using 0.2 mol ppm of Pd.</w:t>
      </w:r>
      <w:bookmarkEnd w:id="1"/>
      <w:r w:rsidRPr="00594B2A">
        <w:t xml:space="preserve"> </w:t>
      </w:r>
    </w:p>
    <w:p w14:paraId="318E3421" w14:textId="77777777" w:rsidR="00594B2A" w:rsidRDefault="00594B2A" w:rsidP="00594B2A"/>
    <w:p w14:paraId="3BF0D942" w14:textId="77777777" w:rsidR="00594B2A" w:rsidRPr="00594B2A" w:rsidRDefault="00594B2A" w:rsidP="00594B2A"/>
    <w:p w14:paraId="061E431D" w14:textId="4FFCFE42" w:rsidR="00594B2A" w:rsidRPr="00594B2A" w:rsidRDefault="00594B2A" w:rsidP="00594B2A">
      <w:r w:rsidRPr="00594B2A">
        <w:drawing>
          <wp:inline distT="0" distB="0" distL="0" distR="0" wp14:anchorId="2C7BB1DA" wp14:editId="49800999">
            <wp:extent cx="2019300" cy="1200150"/>
            <wp:effectExtent l="0" t="0" r="0" b="0"/>
            <wp:docPr id="189682943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16FF9" w14:textId="77777777" w:rsidR="00594B2A" w:rsidRPr="00594B2A" w:rsidRDefault="00594B2A" w:rsidP="00594B2A">
      <w:r w:rsidRPr="00594B2A">
        <w:object w:dxaOrig="7710" w:dyaOrig="4305" w14:anchorId="2062B74A">
          <v:shape id="_x0000_i1045" type="#_x0000_t75" style="width:385.5pt;height:215.25pt" o:ole="">
            <v:imagedata r:id="rId7" o:title=""/>
          </v:shape>
          <o:OLEObject Type="Embed" ProgID="ChemDraw.Document.6.0" ShapeID="_x0000_i1045" DrawAspect="Content" ObjectID="_1807088797" r:id="rId8"/>
        </w:object>
      </w:r>
    </w:p>
    <w:p w14:paraId="1C318564" w14:textId="77777777" w:rsidR="00594B2A" w:rsidRPr="00594B2A" w:rsidRDefault="00594B2A" w:rsidP="00594B2A">
      <w:bookmarkStart w:id="2" w:name="_Hlk180159657"/>
      <w:r w:rsidRPr="00594B2A">
        <w:rPr>
          <w:b/>
          <w:bCs/>
        </w:rPr>
        <w:t>Scheme 2.</w:t>
      </w:r>
      <w:r w:rsidRPr="00594B2A">
        <w:t xml:space="preserve"> The reusability of the Pd/Rh/Pd-immobilized Teflon</w:t>
      </w:r>
      <w:r w:rsidRPr="00594B2A">
        <w:rPr>
          <w:vertAlign w:val="superscript"/>
        </w:rPr>
        <w:t>®</w:t>
      </w:r>
      <w:r w:rsidRPr="00594B2A">
        <w:t xml:space="preserve"> vial.</w:t>
      </w:r>
      <w:bookmarkEnd w:id="2"/>
    </w:p>
    <w:p w14:paraId="547A1791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B2A"/>
    <w:rsid w:val="00594B2A"/>
    <w:rsid w:val="00732981"/>
    <w:rsid w:val="00AC0449"/>
    <w:rsid w:val="00AD604E"/>
    <w:rsid w:val="00B34282"/>
    <w:rsid w:val="00C11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70FAB"/>
  <w15:chartTrackingRefBased/>
  <w15:docId w15:val="{F96BA521-A2F2-404B-ABAB-858C339A8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4B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4B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4B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4B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4B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4B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4B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4B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4B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4B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4B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4B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4B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4B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4B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4B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4B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4B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4B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4B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4B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4B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4B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4B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4B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4B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4B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4B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4B2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22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4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228</Characters>
  <Application>Microsoft Office Word</Application>
  <DocSecurity>0</DocSecurity>
  <Lines>1</Lines>
  <Paragraphs>1</Paragraphs>
  <ScaleCrop>false</ScaleCrop>
  <Company>Springer Nature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2025-04-25T06:47:00Z</dcterms:created>
  <dcterms:modified xsi:type="dcterms:W3CDTF">2025-04-25T06:50:00Z</dcterms:modified>
</cp:coreProperties>
</file>