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329A5" w14:textId="1E5CDAE1" w:rsidR="00774B6A" w:rsidRPr="00F275F4" w:rsidRDefault="00774B6A" w:rsidP="00774B6A">
      <w:pPr>
        <w:spacing w:line="480" w:lineRule="auto"/>
        <w:jc w:val="center"/>
        <w:rPr>
          <w:rFonts w:ascii="Arial" w:hAnsi="Arial" w:cs="Arial"/>
          <w:b/>
          <w:bCs/>
        </w:rPr>
      </w:pPr>
      <w:r w:rsidRPr="00F275F4">
        <w:rPr>
          <w:rFonts w:ascii="Arial" w:hAnsi="Arial" w:cs="Arial"/>
          <w:b/>
          <w:bCs/>
        </w:rPr>
        <w:t>Body composition as a novel biomarker of recurrence risk in patients with triple-negative breast cancer</w:t>
      </w:r>
    </w:p>
    <w:p w14:paraId="02A17F3A" w14:textId="77777777" w:rsidR="00774B6A" w:rsidRPr="00F275F4" w:rsidRDefault="00774B6A" w:rsidP="00774B6A">
      <w:pPr>
        <w:spacing w:line="480" w:lineRule="auto"/>
        <w:jc w:val="center"/>
        <w:rPr>
          <w:rFonts w:ascii="Arial" w:hAnsi="Arial" w:cs="Arial"/>
        </w:rPr>
      </w:pPr>
    </w:p>
    <w:p w14:paraId="089A9736" w14:textId="77777777" w:rsidR="00774B6A" w:rsidRPr="00F275F4" w:rsidRDefault="00774B6A" w:rsidP="00774B6A">
      <w:pPr>
        <w:spacing w:line="480" w:lineRule="auto"/>
        <w:jc w:val="center"/>
        <w:rPr>
          <w:rFonts w:ascii="Arial" w:hAnsi="Arial" w:cs="Arial"/>
          <w:vertAlign w:val="superscript"/>
        </w:rPr>
      </w:pPr>
      <w:r w:rsidRPr="00F275F4">
        <w:rPr>
          <w:rFonts w:ascii="Arial" w:hAnsi="Arial" w:cs="Arial"/>
        </w:rPr>
        <w:t>De Vis JB</w:t>
      </w:r>
      <w:r w:rsidRPr="00F275F4">
        <w:rPr>
          <w:rFonts w:ascii="Arial" w:hAnsi="Arial" w:cs="Arial"/>
          <w:vertAlign w:val="superscript"/>
        </w:rPr>
        <w:t>1</w:t>
      </w:r>
      <w:r w:rsidRPr="00F275F4">
        <w:rPr>
          <w:rFonts w:ascii="Arial" w:hAnsi="Arial" w:cs="Arial"/>
        </w:rPr>
        <w:t xml:space="preserve">, Wang C </w:t>
      </w:r>
      <w:r w:rsidRPr="00F275F4">
        <w:rPr>
          <w:rFonts w:ascii="Arial" w:hAnsi="Arial" w:cs="Arial"/>
          <w:vertAlign w:val="superscript"/>
        </w:rPr>
        <w:t>2</w:t>
      </w:r>
      <w:r w:rsidRPr="00F275F4">
        <w:rPr>
          <w:rFonts w:ascii="Arial" w:hAnsi="Arial" w:cs="Arial"/>
        </w:rPr>
        <w:t>, Nguyen KV</w:t>
      </w:r>
      <w:r w:rsidRPr="00F275F4">
        <w:rPr>
          <w:rFonts w:ascii="Arial" w:hAnsi="Arial" w:cs="Arial"/>
          <w:vertAlign w:val="superscript"/>
        </w:rPr>
        <w:t>3</w:t>
      </w:r>
      <w:r w:rsidRPr="00F275F4">
        <w:rPr>
          <w:rFonts w:ascii="Arial" w:hAnsi="Arial" w:cs="Arial"/>
        </w:rPr>
        <w:t>, Sun L</w:t>
      </w:r>
      <w:r w:rsidRPr="00F275F4">
        <w:rPr>
          <w:rFonts w:ascii="Arial" w:hAnsi="Arial" w:cs="Arial"/>
          <w:vertAlign w:val="superscript"/>
        </w:rPr>
        <w:t>4</w:t>
      </w:r>
      <w:r w:rsidRPr="00F275F4">
        <w:rPr>
          <w:rFonts w:ascii="Arial" w:hAnsi="Arial" w:cs="Arial"/>
        </w:rPr>
        <w:t>, Jia B</w:t>
      </w:r>
      <w:r w:rsidRPr="00F275F4">
        <w:rPr>
          <w:rFonts w:ascii="Arial" w:hAnsi="Arial" w:cs="Arial"/>
          <w:vertAlign w:val="superscript"/>
        </w:rPr>
        <w:t>3</w:t>
      </w:r>
      <w:r w:rsidRPr="00F275F4">
        <w:rPr>
          <w:rFonts w:ascii="Arial" w:hAnsi="Arial" w:cs="Arial"/>
        </w:rPr>
        <w:t>, Sherry AD</w:t>
      </w:r>
      <w:r w:rsidRPr="00F275F4">
        <w:rPr>
          <w:rFonts w:ascii="Arial" w:hAnsi="Arial" w:cs="Arial"/>
          <w:vertAlign w:val="superscript"/>
        </w:rPr>
        <w:t>5</w:t>
      </w:r>
      <w:r w:rsidRPr="00F275F4">
        <w:rPr>
          <w:rFonts w:ascii="Arial" w:hAnsi="Arial" w:cs="Arial"/>
        </w:rPr>
        <w:t>, Alford-Holloway MN</w:t>
      </w:r>
      <w:r w:rsidRPr="00F275F4">
        <w:rPr>
          <w:rFonts w:ascii="Arial" w:hAnsi="Arial" w:cs="Arial"/>
          <w:vertAlign w:val="superscript"/>
        </w:rPr>
        <w:t>6</w:t>
      </w:r>
      <w:r w:rsidRPr="00F275F4">
        <w:rPr>
          <w:rFonts w:ascii="Arial" w:hAnsi="Arial" w:cs="Arial"/>
        </w:rPr>
        <w:t>, Balbach ML</w:t>
      </w:r>
      <w:r w:rsidRPr="00F275F4">
        <w:rPr>
          <w:rFonts w:ascii="Arial" w:hAnsi="Arial" w:cs="Arial"/>
          <w:vertAlign w:val="superscript"/>
        </w:rPr>
        <w:t>6</w:t>
      </w:r>
      <w:r w:rsidRPr="00F275F4">
        <w:rPr>
          <w:rFonts w:ascii="Arial" w:hAnsi="Arial" w:cs="Arial"/>
        </w:rPr>
        <w:t>, Koyama T</w:t>
      </w:r>
      <w:r w:rsidRPr="00F275F4">
        <w:rPr>
          <w:rFonts w:ascii="Arial" w:hAnsi="Arial" w:cs="Arial"/>
          <w:vertAlign w:val="superscript"/>
        </w:rPr>
        <w:t>4</w:t>
      </w:r>
      <w:r w:rsidRPr="00F275F4">
        <w:rPr>
          <w:rFonts w:ascii="Arial" w:hAnsi="Arial" w:cs="Arial"/>
        </w:rPr>
        <w:t>, Chakravarthy AB</w:t>
      </w:r>
      <w:r w:rsidRPr="00F275F4">
        <w:rPr>
          <w:rFonts w:ascii="Arial" w:hAnsi="Arial" w:cs="Arial"/>
          <w:vertAlign w:val="superscript"/>
        </w:rPr>
        <w:t>1</w:t>
      </w:r>
      <w:r w:rsidRPr="00F275F4">
        <w:rPr>
          <w:rFonts w:ascii="Arial" w:hAnsi="Arial" w:cs="Arial"/>
        </w:rPr>
        <w:t>, Rafat M</w:t>
      </w:r>
      <w:r w:rsidRPr="00F275F4">
        <w:rPr>
          <w:rFonts w:ascii="Arial" w:hAnsi="Arial" w:cs="Arial"/>
          <w:vertAlign w:val="superscript"/>
        </w:rPr>
        <w:t>1,7,8*</w:t>
      </w:r>
    </w:p>
    <w:p w14:paraId="2DA79C82" w14:textId="77777777" w:rsidR="00774B6A" w:rsidRPr="00F275F4" w:rsidRDefault="00774B6A" w:rsidP="00774B6A">
      <w:pPr>
        <w:spacing w:line="480" w:lineRule="auto"/>
        <w:jc w:val="center"/>
        <w:rPr>
          <w:rFonts w:ascii="Arial" w:hAnsi="Arial" w:cs="Arial"/>
          <w:vertAlign w:val="superscript"/>
        </w:rPr>
      </w:pPr>
    </w:p>
    <w:p w14:paraId="122BDFF1" w14:textId="77777777" w:rsidR="00774B6A" w:rsidRPr="00F275F4" w:rsidRDefault="00774B6A" w:rsidP="00774B6A">
      <w:pPr>
        <w:spacing w:line="480" w:lineRule="auto"/>
        <w:jc w:val="center"/>
        <w:rPr>
          <w:rFonts w:ascii="Arial" w:hAnsi="Arial" w:cs="Arial"/>
        </w:rPr>
      </w:pPr>
    </w:p>
    <w:p w14:paraId="383AD809" w14:textId="77777777" w:rsidR="00774B6A" w:rsidRPr="00F275F4" w:rsidRDefault="00774B6A" w:rsidP="00774B6A">
      <w:pPr>
        <w:spacing w:after="0" w:line="480" w:lineRule="auto"/>
        <w:jc w:val="center"/>
        <w:rPr>
          <w:rFonts w:ascii="Arial" w:hAnsi="Arial" w:cs="Arial"/>
        </w:rPr>
      </w:pPr>
      <w:r w:rsidRPr="00F275F4">
        <w:rPr>
          <w:rFonts w:ascii="Arial" w:hAnsi="Arial" w:cs="Arial"/>
          <w:vertAlign w:val="superscript"/>
        </w:rPr>
        <w:t>1</w:t>
      </w:r>
      <w:r w:rsidRPr="00F275F4">
        <w:rPr>
          <w:rFonts w:ascii="Arial" w:hAnsi="Arial" w:cs="Arial"/>
        </w:rPr>
        <w:t>Department of Radiation Oncology, Vanderbilt-Ingram Cancer Center, Nashville, TN</w:t>
      </w:r>
    </w:p>
    <w:p w14:paraId="447EAB4C" w14:textId="77777777" w:rsidR="00774B6A" w:rsidRPr="00F275F4" w:rsidRDefault="00774B6A" w:rsidP="00774B6A">
      <w:pPr>
        <w:spacing w:after="0" w:line="480" w:lineRule="auto"/>
        <w:jc w:val="center"/>
        <w:rPr>
          <w:rFonts w:ascii="Arial" w:hAnsi="Arial" w:cs="Arial"/>
        </w:rPr>
      </w:pPr>
      <w:r w:rsidRPr="00F275F4">
        <w:rPr>
          <w:rFonts w:ascii="Arial" w:hAnsi="Arial" w:cs="Arial"/>
          <w:vertAlign w:val="superscript"/>
        </w:rPr>
        <w:t>2</w:t>
      </w:r>
      <w:r w:rsidRPr="00F275F4">
        <w:rPr>
          <w:rFonts w:ascii="Arial" w:hAnsi="Arial" w:cs="Arial"/>
        </w:rPr>
        <w:t>Division of Epidemiology, Department of Medicine, Vanderbilt Epidemiology Center, Nashville, TN</w:t>
      </w:r>
    </w:p>
    <w:p w14:paraId="4A7E527C" w14:textId="77777777" w:rsidR="00774B6A" w:rsidRPr="00F275F4" w:rsidRDefault="00774B6A" w:rsidP="00774B6A">
      <w:pPr>
        <w:spacing w:after="0" w:line="480" w:lineRule="auto"/>
        <w:jc w:val="center"/>
        <w:rPr>
          <w:rFonts w:ascii="Arial" w:hAnsi="Arial" w:cs="Arial"/>
        </w:rPr>
      </w:pPr>
      <w:r w:rsidRPr="00F275F4">
        <w:rPr>
          <w:rFonts w:ascii="Arial" w:hAnsi="Arial" w:cs="Arial"/>
          <w:vertAlign w:val="superscript"/>
        </w:rPr>
        <w:t>3</w:t>
      </w:r>
      <w:r w:rsidRPr="00F275F4">
        <w:rPr>
          <w:rFonts w:ascii="Arial" w:hAnsi="Arial" w:cs="Arial"/>
        </w:rPr>
        <w:t>Vanderbilt University School of Medicine, Nashville, TN</w:t>
      </w:r>
    </w:p>
    <w:p w14:paraId="6B2F2AA6" w14:textId="77777777" w:rsidR="00774B6A" w:rsidRPr="00F275F4" w:rsidRDefault="00774B6A" w:rsidP="00774B6A">
      <w:pPr>
        <w:spacing w:after="0" w:line="480" w:lineRule="auto"/>
        <w:jc w:val="center"/>
        <w:rPr>
          <w:rFonts w:ascii="Arial" w:hAnsi="Arial" w:cs="Arial"/>
        </w:rPr>
      </w:pPr>
      <w:r w:rsidRPr="00F275F4">
        <w:rPr>
          <w:rFonts w:ascii="Arial" w:hAnsi="Arial" w:cs="Arial"/>
          <w:vertAlign w:val="superscript"/>
        </w:rPr>
        <w:t>4</w:t>
      </w:r>
      <w:r w:rsidRPr="00F275F4">
        <w:rPr>
          <w:rFonts w:ascii="Arial" w:hAnsi="Arial" w:cs="Arial"/>
        </w:rPr>
        <w:t>Department of Biostatistics, Vanderbilt University Medical Center, Nashville, TN</w:t>
      </w:r>
    </w:p>
    <w:p w14:paraId="0B8406B6" w14:textId="77777777" w:rsidR="00774B6A" w:rsidRPr="00F275F4" w:rsidRDefault="00774B6A" w:rsidP="00774B6A">
      <w:pPr>
        <w:spacing w:after="0" w:line="480" w:lineRule="auto"/>
        <w:jc w:val="center"/>
        <w:rPr>
          <w:rFonts w:ascii="Arial" w:hAnsi="Arial" w:cs="Arial"/>
        </w:rPr>
      </w:pPr>
      <w:r w:rsidRPr="00F275F4">
        <w:rPr>
          <w:rFonts w:ascii="Arial" w:hAnsi="Arial" w:cs="Arial"/>
          <w:vertAlign w:val="superscript"/>
        </w:rPr>
        <w:t>5</w:t>
      </w:r>
      <w:r w:rsidRPr="00F275F4">
        <w:rPr>
          <w:rFonts w:ascii="Arial" w:hAnsi="Arial" w:cs="Arial"/>
        </w:rPr>
        <w:t>Department of Radiation Oncology, MD Anderson Cancer Center, Houston, TX</w:t>
      </w:r>
    </w:p>
    <w:p w14:paraId="630236E0" w14:textId="77777777" w:rsidR="00774B6A" w:rsidRPr="00F275F4" w:rsidRDefault="00774B6A" w:rsidP="00774B6A">
      <w:pPr>
        <w:spacing w:after="0" w:line="480" w:lineRule="auto"/>
        <w:jc w:val="center"/>
        <w:rPr>
          <w:rFonts w:ascii="Arial" w:hAnsi="Arial" w:cs="Arial"/>
        </w:rPr>
      </w:pPr>
      <w:r w:rsidRPr="00F275F4">
        <w:rPr>
          <w:rFonts w:ascii="Arial" w:hAnsi="Arial" w:cs="Arial"/>
          <w:vertAlign w:val="superscript"/>
        </w:rPr>
        <w:t>6</w:t>
      </w:r>
      <w:r w:rsidRPr="00F275F4">
        <w:rPr>
          <w:rFonts w:ascii="Arial" w:hAnsi="Arial" w:cs="Arial"/>
        </w:rPr>
        <w:t>Department of Medicine, Vanderbilt University Medical Center, Nashville, TN</w:t>
      </w:r>
    </w:p>
    <w:p w14:paraId="67002982" w14:textId="77777777" w:rsidR="00774B6A" w:rsidRPr="00F275F4" w:rsidRDefault="00774B6A" w:rsidP="00774B6A">
      <w:pPr>
        <w:spacing w:after="0" w:line="480" w:lineRule="auto"/>
        <w:jc w:val="center"/>
        <w:rPr>
          <w:rFonts w:ascii="Arial" w:hAnsi="Arial" w:cs="Arial"/>
        </w:rPr>
      </w:pPr>
      <w:r w:rsidRPr="00F275F4">
        <w:rPr>
          <w:rFonts w:ascii="Arial" w:hAnsi="Arial" w:cs="Arial"/>
          <w:vertAlign w:val="superscript"/>
        </w:rPr>
        <w:t>7</w:t>
      </w:r>
      <w:r w:rsidRPr="00F275F4">
        <w:rPr>
          <w:rFonts w:ascii="Arial" w:hAnsi="Arial" w:cs="Arial"/>
        </w:rPr>
        <w:t>Department of Chemical and Biomolecular Engineering, Vanderbilt University, Nashville, TN</w:t>
      </w:r>
    </w:p>
    <w:p w14:paraId="0C453CEB" w14:textId="77777777" w:rsidR="00774B6A" w:rsidRPr="00F275F4" w:rsidRDefault="00774B6A" w:rsidP="00774B6A">
      <w:pPr>
        <w:spacing w:after="0" w:line="480" w:lineRule="auto"/>
        <w:jc w:val="center"/>
        <w:rPr>
          <w:rFonts w:ascii="Arial" w:hAnsi="Arial" w:cs="Arial"/>
        </w:rPr>
      </w:pPr>
      <w:r w:rsidRPr="00F275F4">
        <w:rPr>
          <w:rFonts w:ascii="Arial" w:hAnsi="Arial" w:cs="Arial"/>
          <w:vertAlign w:val="superscript"/>
        </w:rPr>
        <w:t>8</w:t>
      </w:r>
      <w:r w:rsidRPr="00F275F4">
        <w:rPr>
          <w:rFonts w:ascii="Arial" w:hAnsi="Arial" w:cs="Arial"/>
        </w:rPr>
        <w:t>Department of Biomedical Engineering, Vanderbilt University, Nashville, TN</w:t>
      </w:r>
    </w:p>
    <w:p w14:paraId="573EAAEF" w14:textId="77777777" w:rsidR="00774B6A" w:rsidRPr="00F275F4" w:rsidRDefault="00774B6A" w:rsidP="00774B6A">
      <w:pPr>
        <w:spacing w:line="480" w:lineRule="auto"/>
        <w:jc w:val="center"/>
        <w:rPr>
          <w:rFonts w:ascii="Arial" w:hAnsi="Arial" w:cs="Arial"/>
        </w:rPr>
      </w:pPr>
    </w:p>
    <w:p w14:paraId="72980CFB" w14:textId="1A306912" w:rsidR="00774B6A" w:rsidRDefault="00774B6A" w:rsidP="00774B6A">
      <w:pPr>
        <w:rPr>
          <w:rFonts w:ascii="Arial" w:hAnsi="Arial" w:cs="Arial"/>
          <w:b/>
          <w:bCs/>
        </w:rPr>
      </w:pPr>
      <w:r w:rsidRPr="00F275F4">
        <w:rPr>
          <w:rFonts w:ascii="Arial" w:hAnsi="Arial" w:cs="Arial"/>
        </w:rPr>
        <w:t>*Author for correspondence: Marjan Rafat, Engineering and Science Building, Rm. 426, Vanderbilt University, Nashville, TN 37212. Phone: (615) 343-3389, Fax: (615) 343-7951, E-mail: marjan.rafat@vanderbilt.edu</w:t>
      </w:r>
    </w:p>
    <w:p w14:paraId="5DB58599" w14:textId="77777777" w:rsidR="00774B6A" w:rsidRDefault="00774B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960F9C5" w14:textId="4E3B8DA3" w:rsidR="00774B6A" w:rsidRDefault="00774B6A" w:rsidP="00774B6A">
      <w:pPr>
        <w:spacing w:after="0" w:line="276" w:lineRule="auto"/>
        <w:rPr>
          <w:rFonts w:ascii="Arial" w:hAnsi="Arial" w:cs="Arial"/>
          <w:b/>
          <w:bCs/>
        </w:rPr>
      </w:pPr>
      <w:r w:rsidRPr="00774B6A">
        <w:rPr>
          <w:rFonts w:ascii="Arial" w:hAnsi="Arial" w:cs="Arial"/>
          <w:b/>
          <w:bCs/>
        </w:rPr>
        <w:lastRenderedPageBreak/>
        <w:t>Supplemental Figures</w:t>
      </w:r>
    </w:p>
    <w:p w14:paraId="19AD09C7" w14:textId="77777777" w:rsidR="00774B6A" w:rsidRPr="00774B6A" w:rsidRDefault="00774B6A" w:rsidP="00774B6A">
      <w:pPr>
        <w:spacing w:after="0" w:line="276" w:lineRule="auto"/>
        <w:rPr>
          <w:rFonts w:ascii="Arial" w:hAnsi="Arial" w:cs="Arial"/>
          <w:b/>
          <w:bCs/>
        </w:rPr>
      </w:pPr>
    </w:p>
    <w:p w14:paraId="585AD813" w14:textId="77777777" w:rsidR="00774B6A" w:rsidRPr="00F275F4" w:rsidRDefault="00774B6A" w:rsidP="00774B6A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2470DF8" wp14:editId="5AEFCB51">
            <wp:extent cx="4014844" cy="2295913"/>
            <wp:effectExtent l="0" t="0" r="5080" b="9525"/>
            <wp:docPr id="1472950774" name="Picture 1" descr="A graph of a number of patie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50774" name="Picture 1" descr="A graph of a number of patient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795" cy="230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0451E" w14:textId="77777777" w:rsidR="00774B6A" w:rsidRDefault="00774B6A" w:rsidP="00774B6A">
      <w:pPr>
        <w:spacing w:after="0" w:line="276" w:lineRule="auto"/>
        <w:jc w:val="both"/>
        <w:rPr>
          <w:rFonts w:ascii="Arial" w:hAnsi="Arial" w:cs="Arial"/>
        </w:rPr>
      </w:pPr>
      <w:r w:rsidRPr="00F275F4">
        <w:rPr>
          <w:rFonts w:ascii="Arial" w:hAnsi="Arial" w:cs="Arial"/>
          <w:b/>
          <w:bCs/>
        </w:rPr>
        <w:t>Supplemental Fig</w:t>
      </w:r>
      <w:r>
        <w:rPr>
          <w:rFonts w:ascii="Arial" w:hAnsi="Arial" w:cs="Arial"/>
          <w:b/>
          <w:bCs/>
        </w:rPr>
        <w:t>.</w:t>
      </w:r>
      <w:r w:rsidRPr="00F275F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 w:rsidRPr="00F275F4">
        <w:rPr>
          <w:rFonts w:ascii="Arial" w:hAnsi="Arial" w:cs="Arial"/>
          <w:b/>
          <w:bCs/>
        </w:rPr>
        <w:t>1</w:t>
      </w:r>
      <w:r w:rsidRPr="00F275F4">
        <w:rPr>
          <w:rFonts w:ascii="Arial" w:hAnsi="Arial" w:cs="Arial"/>
        </w:rPr>
        <w:t xml:space="preserve"> Cumulative incidence of distant recurrence stratified using median anthropometric and body composition measures. Distant recurrence over time is shown for (</w:t>
      </w:r>
      <w:r w:rsidRPr="00F275F4">
        <w:rPr>
          <w:rFonts w:ascii="Arial" w:hAnsi="Arial" w:cs="Arial"/>
          <w:b/>
          <w:bCs/>
        </w:rPr>
        <w:t>A</w:t>
      </w:r>
      <w:r w:rsidRPr="00F275F4">
        <w:rPr>
          <w:rFonts w:ascii="Arial" w:hAnsi="Arial" w:cs="Arial"/>
        </w:rPr>
        <w:t>) subcutaneous adiposity (SA; blue line, SA &lt; 233 cm</w:t>
      </w:r>
      <w:r w:rsidRPr="00F275F4">
        <w:rPr>
          <w:rFonts w:ascii="Arial" w:hAnsi="Arial" w:cs="Arial"/>
          <w:vertAlign w:val="superscript"/>
        </w:rPr>
        <w:t>3</w:t>
      </w:r>
      <w:r w:rsidRPr="00F275F4">
        <w:rPr>
          <w:rFonts w:ascii="Arial" w:hAnsi="Arial" w:cs="Arial"/>
        </w:rPr>
        <w:t>; orange line, SA ≥ 233 cm</w:t>
      </w:r>
      <w:r w:rsidRPr="00F275F4">
        <w:rPr>
          <w:rFonts w:ascii="Arial" w:hAnsi="Arial" w:cs="Arial"/>
          <w:vertAlign w:val="superscript"/>
        </w:rPr>
        <w:t>3</w:t>
      </w:r>
      <w:r w:rsidRPr="00F275F4">
        <w:rPr>
          <w:rFonts w:ascii="Arial" w:hAnsi="Arial" w:cs="Arial"/>
        </w:rPr>
        <w:t>), and (</w:t>
      </w:r>
      <w:r w:rsidRPr="00F275F4">
        <w:rPr>
          <w:rFonts w:ascii="Arial" w:hAnsi="Arial" w:cs="Arial"/>
          <w:b/>
          <w:bCs/>
        </w:rPr>
        <w:t>B</w:t>
      </w:r>
      <w:r w:rsidRPr="00F275F4">
        <w:rPr>
          <w:rFonts w:ascii="Arial" w:hAnsi="Arial" w:cs="Arial"/>
        </w:rPr>
        <w:t>) visceral adiposity (VA; blue line, VA &lt; 136 cm</w:t>
      </w:r>
      <w:r w:rsidRPr="00F275F4">
        <w:rPr>
          <w:rFonts w:ascii="Arial" w:hAnsi="Arial" w:cs="Arial"/>
          <w:vertAlign w:val="superscript"/>
        </w:rPr>
        <w:t>3</w:t>
      </w:r>
      <w:r w:rsidRPr="00F275F4">
        <w:rPr>
          <w:rFonts w:ascii="Arial" w:hAnsi="Arial" w:cs="Arial"/>
        </w:rPr>
        <w:t>; orange line, VA ≥ 136 cm</w:t>
      </w:r>
      <w:r w:rsidRPr="00F275F4">
        <w:rPr>
          <w:rFonts w:ascii="Arial" w:hAnsi="Arial" w:cs="Arial"/>
          <w:vertAlign w:val="superscript"/>
        </w:rPr>
        <w:t>3</w:t>
      </w:r>
      <w:r w:rsidRPr="00F275F4">
        <w:rPr>
          <w:rFonts w:ascii="Arial" w:hAnsi="Arial" w:cs="Arial"/>
        </w:rPr>
        <w:t>).  At risk subjects are indicated along the x-axis.</w:t>
      </w:r>
    </w:p>
    <w:p w14:paraId="61085F2C" w14:textId="77777777" w:rsidR="00774B6A" w:rsidRDefault="00774B6A" w:rsidP="00774B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937FB92" w14:textId="77777777" w:rsidR="00774B6A" w:rsidRPr="00F275F4" w:rsidRDefault="00774B6A" w:rsidP="00774B6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275F4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3C57D5AB" wp14:editId="10ACC289">
            <wp:extent cx="5983581" cy="4371975"/>
            <wp:effectExtent l="0" t="0" r="0" b="0"/>
            <wp:docPr id="1016328986" name="Picture 3" descr="A collage of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328986" name="Picture 3" descr="A collage of graph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3240" cy="438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AC8B0" w14:textId="77777777" w:rsidR="00774B6A" w:rsidRPr="00F275F4" w:rsidRDefault="00774B6A" w:rsidP="00774B6A">
      <w:pPr>
        <w:spacing w:line="276" w:lineRule="auto"/>
        <w:jc w:val="both"/>
        <w:rPr>
          <w:rFonts w:ascii="Arial" w:hAnsi="Arial" w:cs="Arial"/>
          <w:b/>
          <w:bCs/>
        </w:rPr>
      </w:pPr>
      <w:r w:rsidRPr="00F275F4">
        <w:rPr>
          <w:rFonts w:ascii="Arial" w:hAnsi="Arial" w:cs="Arial"/>
          <w:b/>
          <w:bCs/>
        </w:rPr>
        <w:t>Supplemental Fig</w:t>
      </w:r>
      <w:r>
        <w:rPr>
          <w:rFonts w:ascii="Arial" w:hAnsi="Arial" w:cs="Arial"/>
          <w:b/>
          <w:bCs/>
        </w:rPr>
        <w:t>.</w:t>
      </w:r>
      <w:r w:rsidRPr="00F275F4">
        <w:rPr>
          <w:rFonts w:ascii="Arial" w:hAnsi="Arial" w:cs="Arial"/>
          <w:b/>
          <w:bCs/>
        </w:rPr>
        <w:t xml:space="preserve"> 2</w:t>
      </w:r>
      <w:r w:rsidRPr="00F275F4">
        <w:rPr>
          <w:rFonts w:ascii="Arial" w:hAnsi="Arial" w:cs="Arial"/>
        </w:rPr>
        <w:t xml:space="preserve"> Cumulative incidence of locoregional recurrence stratified using median anthropometric and body composition measures. Locoregional recurrence over time is shown for (</w:t>
      </w:r>
      <w:r w:rsidRPr="00F275F4">
        <w:rPr>
          <w:rFonts w:ascii="Arial" w:hAnsi="Arial" w:cs="Arial"/>
          <w:b/>
          <w:bCs/>
        </w:rPr>
        <w:t>A</w:t>
      </w:r>
      <w:r w:rsidRPr="00F275F4">
        <w:rPr>
          <w:rFonts w:ascii="Arial" w:hAnsi="Arial" w:cs="Arial"/>
        </w:rPr>
        <w:t>) body mass index (BMI;  blue line, BMI ≤ 30 kg/m</w:t>
      </w:r>
      <w:r w:rsidRPr="00F275F4">
        <w:rPr>
          <w:rFonts w:ascii="Arial" w:hAnsi="Arial" w:cs="Arial"/>
          <w:vertAlign w:val="superscript"/>
        </w:rPr>
        <w:t>2</w:t>
      </w:r>
      <w:r w:rsidRPr="00F275F4">
        <w:rPr>
          <w:rFonts w:ascii="Arial" w:hAnsi="Arial" w:cs="Arial"/>
        </w:rPr>
        <w:t>; orange line, BMI &gt; 30 kg/m</w:t>
      </w:r>
      <w:r w:rsidRPr="00F275F4">
        <w:rPr>
          <w:rFonts w:ascii="Arial" w:hAnsi="Arial" w:cs="Arial"/>
          <w:vertAlign w:val="superscript"/>
        </w:rPr>
        <w:t>2</w:t>
      </w:r>
      <w:r w:rsidRPr="00F275F4">
        <w:rPr>
          <w:rFonts w:ascii="Arial" w:hAnsi="Arial" w:cs="Arial"/>
        </w:rPr>
        <w:t>), (</w:t>
      </w:r>
      <w:r w:rsidRPr="00F275F4">
        <w:rPr>
          <w:rFonts w:ascii="Arial" w:hAnsi="Arial" w:cs="Arial"/>
          <w:b/>
          <w:bCs/>
        </w:rPr>
        <w:t>B</w:t>
      </w:r>
      <w:r w:rsidRPr="00F275F4">
        <w:rPr>
          <w:rFonts w:ascii="Arial" w:hAnsi="Arial" w:cs="Arial"/>
        </w:rPr>
        <w:t>) waist circumference (WC; blue line, WC &lt; 103 cm; orange line, WC ≥ 103 cm), (</w:t>
      </w:r>
      <w:r w:rsidRPr="00F275F4">
        <w:rPr>
          <w:rFonts w:ascii="Arial" w:hAnsi="Arial" w:cs="Arial"/>
          <w:b/>
          <w:bCs/>
        </w:rPr>
        <w:t>C</w:t>
      </w:r>
      <w:r w:rsidRPr="00F275F4">
        <w:rPr>
          <w:rFonts w:ascii="Arial" w:hAnsi="Arial" w:cs="Arial"/>
        </w:rPr>
        <w:t>) visceral-to-subcutaneous adiposity ratio (VSR; blue line, VSR ≤ 0.57; orange line, VSR &gt; 0.57), (</w:t>
      </w:r>
      <w:r w:rsidRPr="00F275F4">
        <w:rPr>
          <w:rFonts w:ascii="Arial" w:hAnsi="Arial" w:cs="Arial"/>
          <w:b/>
          <w:bCs/>
        </w:rPr>
        <w:t>D</w:t>
      </w:r>
      <w:r w:rsidRPr="00F275F4">
        <w:rPr>
          <w:rFonts w:ascii="Arial" w:hAnsi="Arial" w:cs="Arial"/>
        </w:rPr>
        <w:t>) subcutaneous adiposity (SA; blue line, SA &lt; 233 cm</w:t>
      </w:r>
      <w:r w:rsidRPr="00F275F4">
        <w:rPr>
          <w:rFonts w:ascii="Arial" w:hAnsi="Arial" w:cs="Arial"/>
          <w:vertAlign w:val="superscript"/>
        </w:rPr>
        <w:t>3</w:t>
      </w:r>
      <w:r w:rsidRPr="00F275F4">
        <w:rPr>
          <w:rFonts w:ascii="Arial" w:hAnsi="Arial" w:cs="Arial"/>
        </w:rPr>
        <w:t>; orange line, SA ≥ 233 cm</w:t>
      </w:r>
      <w:r w:rsidRPr="00F275F4">
        <w:rPr>
          <w:rFonts w:ascii="Arial" w:hAnsi="Arial" w:cs="Arial"/>
          <w:vertAlign w:val="superscript"/>
        </w:rPr>
        <w:t>3</w:t>
      </w:r>
      <w:r w:rsidRPr="00F275F4">
        <w:rPr>
          <w:rFonts w:ascii="Arial" w:hAnsi="Arial" w:cs="Arial"/>
        </w:rPr>
        <w:t>), and (</w:t>
      </w:r>
      <w:r w:rsidRPr="00F275F4">
        <w:rPr>
          <w:rFonts w:ascii="Arial" w:hAnsi="Arial" w:cs="Arial"/>
          <w:b/>
          <w:bCs/>
        </w:rPr>
        <w:t>E</w:t>
      </w:r>
      <w:r w:rsidRPr="00F275F4">
        <w:rPr>
          <w:rFonts w:ascii="Arial" w:hAnsi="Arial" w:cs="Arial"/>
        </w:rPr>
        <w:t>) visceral adiposity (VA; blue line, VA &lt; 136 cm</w:t>
      </w:r>
      <w:r w:rsidRPr="00F275F4">
        <w:rPr>
          <w:rFonts w:ascii="Arial" w:hAnsi="Arial" w:cs="Arial"/>
          <w:vertAlign w:val="superscript"/>
        </w:rPr>
        <w:t>3</w:t>
      </w:r>
      <w:r w:rsidRPr="00F275F4">
        <w:rPr>
          <w:rFonts w:ascii="Arial" w:hAnsi="Arial" w:cs="Arial"/>
        </w:rPr>
        <w:t>; orange line, VA ≥ 136 cm</w:t>
      </w:r>
      <w:r w:rsidRPr="00F275F4">
        <w:rPr>
          <w:rFonts w:ascii="Arial" w:hAnsi="Arial" w:cs="Arial"/>
          <w:vertAlign w:val="superscript"/>
        </w:rPr>
        <w:t>3</w:t>
      </w:r>
      <w:r w:rsidRPr="00F275F4">
        <w:rPr>
          <w:rFonts w:ascii="Arial" w:hAnsi="Arial" w:cs="Arial"/>
        </w:rPr>
        <w:t xml:space="preserve">).  At risk subjects are indicated along the x-axis. </w:t>
      </w:r>
    </w:p>
    <w:p w14:paraId="7FB1C7B3" w14:textId="77777777" w:rsidR="00774B6A" w:rsidRPr="00F275F4" w:rsidRDefault="00774B6A" w:rsidP="00774B6A">
      <w:pPr>
        <w:spacing w:line="480" w:lineRule="auto"/>
        <w:jc w:val="both"/>
        <w:rPr>
          <w:rFonts w:ascii="Arial" w:hAnsi="Arial" w:cs="Arial"/>
        </w:rPr>
      </w:pPr>
    </w:p>
    <w:p w14:paraId="375EBD71" w14:textId="77777777" w:rsidR="00C13A57" w:rsidRDefault="00C13A57"/>
    <w:sectPr w:rsidR="00C13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6A"/>
    <w:rsid w:val="00441959"/>
    <w:rsid w:val="00595F48"/>
    <w:rsid w:val="00774B6A"/>
    <w:rsid w:val="008C7591"/>
    <w:rsid w:val="00BD42E9"/>
    <w:rsid w:val="00C1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0039E"/>
  <w15:chartTrackingRefBased/>
  <w15:docId w15:val="{857D0E62-882B-4E54-ACFB-8F6A0617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B6A"/>
  </w:style>
  <w:style w:type="paragraph" w:styleId="Heading1">
    <w:name w:val="heading 1"/>
    <w:basedOn w:val="Normal"/>
    <w:next w:val="Normal"/>
    <w:link w:val="Heading1Char"/>
    <w:uiPriority w:val="9"/>
    <w:qFormat/>
    <w:rsid w:val="00774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B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B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B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B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B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B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Rafat, Marjan</dc:creator>
  <cp:keywords/>
  <dc:description/>
  <cp:lastModifiedBy>Rafat, Marjan</cp:lastModifiedBy>
  <cp:revision>2</cp:revision>
  <dcterms:created xsi:type="dcterms:W3CDTF">2024-11-12T06:58:00Z</dcterms:created>
  <dcterms:modified xsi:type="dcterms:W3CDTF">2024-11-12T06:58:00Z</dcterms:modified>
</cp:coreProperties>
</file>