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D4DE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Supplementary Figures</w:t>
      </w:r>
    </w:p>
    <w:p w14:paraId="7E85EDFF">
      <w:pPr>
        <w:pStyle w:val="5"/>
        <w:numPr>
          <w:ilvl w:val="0"/>
          <w:numId w:val="1"/>
        </w:numPr>
        <w:spacing w:line="360" w:lineRule="auto"/>
        <w:ind w:firstLineChars="0"/>
        <w:rPr>
          <w:rFonts w:ascii="Times New Roman" w:hAnsi="Times New Roman" w:cs="Times New Roman"/>
          <w:sz w:val="24"/>
        </w:rPr>
      </w:pPr>
      <w:r>
        <w:rPr>
          <w:rFonts w:ascii="Times New Roman" w:hAnsi="Times New Roman" w:cs="Times New Roman"/>
          <w:sz w:val="24"/>
        </w:rPr>
        <w:t>Supplementary Figure 1</w:t>
      </w:r>
    </w:p>
    <w:p w14:paraId="6E400AF3">
      <w:pPr>
        <w:pStyle w:val="5"/>
        <w:numPr>
          <w:ilvl w:val="0"/>
          <w:numId w:val="1"/>
        </w:numPr>
        <w:spacing w:line="360" w:lineRule="auto"/>
        <w:ind w:firstLineChars="0"/>
        <w:rPr>
          <w:rFonts w:ascii="Times New Roman" w:hAnsi="Times New Roman" w:cs="Times New Roman"/>
          <w:sz w:val="24"/>
        </w:rPr>
      </w:pPr>
      <w:r>
        <w:rPr>
          <w:rFonts w:ascii="Times New Roman" w:hAnsi="Times New Roman" w:cs="Times New Roman"/>
          <w:sz w:val="24"/>
        </w:rPr>
        <w:t>Supplementary Figure 2</w:t>
      </w:r>
    </w:p>
    <w:p w14:paraId="753CA087">
      <w:pPr>
        <w:pStyle w:val="5"/>
        <w:numPr>
          <w:ilvl w:val="0"/>
          <w:numId w:val="1"/>
        </w:numPr>
        <w:spacing w:line="360" w:lineRule="auto"/>
        <w:ind w:firstLineChars="0"/>
        <w:rPr>
          <w:rFonts w:ascii="Times New Roman" w:hAnsi="Times New Roman" w:cs="Times New Roman"/>
          <w:sz w:val="24"/>
        </w:rPr>
      </w:pPr>
      <w:r>
        <w:rPr>
          <w:rFonts w:ascii="Times New Roman" w:hAnsi="Times New Roman" w:cs="Times New Roman"/>
          <w:sz w:val="24"/>
        </w:rPr>
        <w:t>Supplementary Figure 3</w:t>
      </w:r>
    </w:p>
    <w:p w14:paraId="7ADA9416">
      <w:pPr>
        <w:spacing w:line="360" w:lineRule="auto"/>
        <w:jc w:val="center"/>
        <w:rPr>
          <w:rFonts w:ascii="Times New Roman" w:hAnsi="Times New Roman" w:cs="Times New Roman"/>
          <w:b/>
          <w:bCs/>
          <w:sz w:val="24"/>
        </w:rPr>
      </w:pPr>
    </w:p>
    <w:p w14:paraId="4CB154C4">
      <w:pPr>
        <w:spacing w:line="360" w:lineRule="auto"/>
        <w:jc w:val="center"/>
        <w:rPr>
          <w:rFonts w:hint="eastAsia" w:ascii="Times New Roman" w:hAnsi="Times New Roman" w:cs="Times New Roman" w:eastAsiaTheme="minorEastAsia"/>
          <w:b/>
          <w:bCs/>
          <w:sz w:val="24"/>
          <w:lang w:eastAsia="zh-CN"/>
        </w:rPr>
      </w:pPr>
      <w:r>
        <w:rPr>
          <w:rFonts w:hint="eastAsia" w:ascii="Times New Roman" w:hAnsi="Times New Roman" w:cs="Times New Roman" w:eastAsiaTheme="minorEastAsia"/>
          <w:b/>
          <w:bCs/>
          <w:sz w:val="24"/>
          <w:lang w:eastAsia="zh-CN"/>
        </w:rPr>
        <w:drawing>
          <wp:inline distT="0" distB="0" distL="114300" distR="114300">
            <wp:extent cx="5268595" cy="6548120"/>
            <wp:effectExtent l="0" t="0" r="4445" b="5080"/>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4"/>
                    <a:stretch>
                      <a:fillRect/>
                    </a:stretch>
                  </pic:blipFill>
                  <pic:spPr>
                    <a:xfrm>
                      <a:off x="0" y="0"/>
                      <a:ext cx="5268595" cy="6548120"/>
                    </a:xfrm>
                    <a:prstGeom prst="rect">
                      <a:avLst/>
                    </a:prstGeom>
                  </pic:spPr>
                </pic:pic>
              </a:graphicData>
            </a:graphic>
          </wp:inline>
        </w:drawing>
      </w:r>
    </w:p>
    <w:p w14:paraId="4C36C5CD">
      <w:pPr>
        <w:spacing w:line="360" w:lineRule="auto"/>
        <w:rPr>
          <w:rFonts w:ascii="Times New Roman" w:hAnsi="Times New Roman" w:cs="Times New Roman"/>
          <w:sz w:val="24"/>
        </w:rPr>
      </w:pPr>
      <w:r>
        <w:rPr>
          <w:rFonts w:ascii="Times New Roman" w:hAnsi="Times New Roman" w:cs="Times New Roman"/>
          <w:b/>
          <w:bCs/>
          <w:sz w:val="24"/>
        </w:rPr>
        <w:t xml:space="preserve">Figure S1. </w:t>
      </w:r>
      <w:r>
        <w:rPr>
          <w:rFonts w:hint="eastAsia" w:ascii="Times New Roman" w:hAnsi="Times New Roman" w:cs="Times New Roman"/>
          <w:b/>
          <w:bCs/>
          <w:sz w:val="24"/>
        </w:rPr>
        <w:t>Identification of tumor-associated neutrophil marker genes</w:t>
      </w:r>
      <w:r>
        <w:rPr>
          <w:rFonts w:ascii="Times New Roman" w:hAnsi="Times New Roman" w:cs="Times New Roman"/>
          <w:b/>
          <w:bCs/>
          <w:sz w:val="24"/>
        </w:rPr>
        <w:t xml:space="preserve">. </w:t>
      </w:r>
      <w:r>
        <w:rPr>
          <w:rFonts w:hint="eastAsia" w:ascii="Times New Roman" w:hAnsi="Times New Roman" w:cs="Times New Roman"/>
          <w:sz w:val="24"/>
        </w:rPr>
        <w:t>This study first imports the expression profile using the Seurat</w:t>
      </w:r>
      <w:bookmarkStart w:id="2" w:name="_GoBack"/>
      <w:bookmarkEnd w:id="2"/>
      <w:r>
        <w:rPr>
          <w:rFonts w:hint="eastAsia" w:ascii="Times New Roman" w:hAnsi="Times New Roman" w:cs="Times New Roman"/>
          <w:sz w:val="24"/>
        </w:rPr>
        <w:t xml:space="preserve"> package, where we filter cells based on the total UMI count, the number of expressed genes, and the percentage of mitochondrial reads for each cell. Outliers are defined as those with a deviation of three median absolute deviations (MAD) from the median. Cells with low expression are excluded based on violin plots and scatter plots, and DoubletFinder is used to filter out doublet cells. After filtering, 32,223 cells remain, with the filtered violin plots and scatter plots shown (</w:t>
      </w:r>
      <w:r>
        <w:rPr>
          <w:rFonts w:hint="eastAsia" w:ascii="Times New Roman" w:hAnsi="Times New Roman" w:cs="Times New Roman"/>
          <w:b/>
          <w:bCs/>
          <w:sz w:val="24"/>
          <w:lang w:val="en-US" w:eastAsia="zh-CN"/>
        </w:rPr>
        <w:t>A</w:t>
      </w:r>
      <w:r>
        <w:rPr>
          <w:rFonts w:hint="eastAsia" w:ascii="Times New Roman" w:hAnsi="Times New Roman" w:cs="Times New Roman"/>
          <w:sz w:val="24"/>
          <w:lang w:val="en-US" w:eastAsia="zh-CN"/>
        </w:rPr>
        <w:t>-</w:t>
      </w:r>
      <w:r>
        <w:rPr>
          <w:rFonts w:hint="eastAsia" w:ascii="Times New Roman" w:hAnsi="Times New Roman" w:cs="Times New Roman"/>
          <w:b/>
          <w:bCs/>
          <w:sz w:val="24"/>
          <w:lang w:val="en-US" w:eastAsia="zh-CN"/>
        </w:rPr>
        <w:t>C</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w:t>
      </w:r>
      <w:r>
        <w:rPr>
          <w:rFonts w:hint="eastAsia" w:ascii="Times New Roman" w:hAnsi="Times New Roman" w:cs="Times New Roman"/>
          <w:b/>
          <w:bCs/>
          <w:sz w:val="24"/>
          <w:lang w:val="en-US" w:eastAsia="zh-CN"/>
        </w:rPr>
        <w:t>D</w:t>
      </w:r>
      <w:r>
        <w:rPr>
          <w:rFonts w:hint="eastAsia" w:ascii="Times New Roman" w:hAnsi="Times New Roman" w:cs="Times New Roman"/>
          <w:sz w:val="24"/>
          <w:lang w:val="en-US" w:eastAsia="zh-CN"/>
        </w:rPr>
        <w:t>-</w:t>
      </w:r>
      <w:r>
        <w:rPr>
          <w:rFonts w:hint="eastAsia" w:ascii="Times New Roman" w:hAnsi="Times New Roman" w:cs="Times New Roman"/>
          <w:b/>
          <w:bCs/>
          <w:sz w:val="24"/>
          <w:lang w:val="en-US" w:eastAsia="zh-CN"/>
        </w:rPr>
        <w:t>F</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The data are then sequentially processed with normalization, harmonization, PCA, and Harmony analysis.</w:t>
      </w:r>
    </w:p>
    <w:p w14:paraId="0CC8B5EE">
      <w:pPr>
        <w:spacing w:line="360" w:lineRule="auto"/>
        <w:rPr>
          <w:rFonts w:ascii="Times New Roman" w:hAnsi="Times New Roman" w:cs="Times New Roman"/>
          <w:b/>
          <w:bCs/>
          <w:sz w:val="24"/>
        </w:rPr>
      </w:pPr>
    </w:p>
    <w:p w14:paraId="2191B2E1">
      <w:pPr>
        <w:spacing w:line="360" w:lineRule="auto"/>
        <w:rPr>
          <w:rFonts w:hint="eastAsia" w:ascii="Times New Roman" w:hAnsi="Times New Roman" w:cs="Times New Roman" w:eastAsiaTheme="minorEastAsia"/>
          <w:b/>
          <w:bCs/>
          <w:sz w:val="24"/>
          <w:lang w:eastAsia="zh-CN"/>
        </w:rPr>
      </w:pPr>
      <w:r>
        <w:rPr>
          <w:rFonts w:hint="eastAsia" w:ascii="Times New Roman" w:hAnsi="Times New Roman" w:cs="Times New Roman" w:eastAsiaTheme="minorEastAsia"/>
          <w:b/>
          <w:bCs/>
          <w:sz w:val="24"/>
          <w:lang w:eastAsia="zh-CN"/>
        </w:rPr>
        <w:drawing>
          <wp:inline distT="0" distB="0" distL="114300" distR="114300">
            <wp:extent cx="5269230" cy="3019425"/>
            <wp:effectExtent l="0" t="0" r="3810" b="13335"/>
            <wp:docPr id="5" name="图片 5"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2"/>
                    <pic:cNvPicPr>
                      <a:picLocks noChangeAspect="1"/>
                    </pic:cNvPicPr>
                  </pic:nvPicPr>
                  <pic:blipFill>
                    <a:blip r:embed="rId5"/>
                    <a:stretch>
                      <a:fillRect/>
                    </a:stretch>
                  </pic:blipFill>
                  <pic:spPr>
                    <a:xfrm>
                      <a:off x="0" y="0"/>
                      <a:ext cx="5269230" cy="3019425"/>
                    </a:xfrm>
                    <a:prstGeom prst="rect">
                      <a:avLst/>
                    </a:prstGeom>
                  </pic:spPr>
                </pic:pic>
              </a:graphicData>
            </a:graphic>
          </wp:inline>
        </w:drawing>
      </w:r>
    </w:p>
    <w:p w14:paraId="5F196D43">
      <w:pPr>
        <w:spacing w:line="360" w:lineRule="auto"/>
        <w:rPr>
          <w:rFonts w:ascii="Times New Roman" w:hAnsi="Times New Roman" w:cs="Times New Roman"/>
          <w:b w:val="0"/>
          <w:bCs w:val="0"/>
          <w:sz w:val="24"/>
        </w:rPr>
      </w:pPr>
      <w:r>
        <w:rPr>
          <w:rFonts w:ascii="Times New Roman" w:hAnsi="Times New Roman" w:cs="Times New Roman"/>
          <w:b/>
          <w:bCs/>
          <w:sz w:val="24"/>
        </w:rPr>
        <w:t xml:space="preserve">Figure S2. </w:t>
      </w:r>
      <w:r>
        <w:rPr>
          <w:rFonts w:hint="eastAsia" w:ascii="Times New Roman" w:hAnsi="Times New Roman" w:cs="Times New Roman"/>
          <w:b/>
          <w:bCs/>
          <w:sz w:val="24"/>
        </w:rPr>
        <w:t>Immune infiltration characteristics of the NRS</w:t>
      </w:r>
      <w:r>
        <w:rPr>
          <w:rFonts w:ascii="Times New Roman" w:hAnsi="Times New Roman" w:cs="Times New Roman"/>
          <w:b/>
          <w:bCs/>
          <w:sz w:val="24"/>
        </w:rPr>
        <w:t>.</w:t>
      </w:r>
      <w:r>
        <w:rPr>
          <w:rFonts w:ascii="Times New Roman" w:hAnsi="Times New Roman" w:cs="Times New Roman"/>
          <w:b w:val="0"/>
          <w:bCs w:val="0"/>
          <w:sz w:val="24"/>
        </w:rPr>
        <w:t xml:space="preserve"> </w:t>
      </w:r>
      <w:r>
        <w:rPr>
          <w:rFonts w:hint="eastAsia" w:ascii="Times New Roman" w:hAnsi="Times New Roman" w:cs="Times New Roman"/>
          <w:b w:val="0"/>
          <w:bCs w:val="0"/>
          <w:sz w:val="24"/>
        </w:rPr>
        <w:t>Abundance of each TME-infiltrating cell type was quantified by the cibersort algorithm.</w:t>
      </w:r>
    </w:p>
    <w:p w14:paraId="00C5771F">
      <w:pPr>
        <w:spacing w:line="360" w:lineRule="auto"/>
        <w:jc w:val="center"/>
        <w:rPr>
          <w:rFonts w:hint="eastAsia" w:ascii="Times New Roman" w:hAnsi="Times New Roman" w:cs="Times New Roman" w:eastAsiaTheme="minorEastAsia"/>
          <w:b/>
          <w:bCs/>
          <w:sz w:val="24"/>
          <w:lang w:eastAsia="zh-CN"/>
        </w:rPr>
      </w:pPr>
      <w:r>
        <w:rPr>
          <w:rFonts w:hint="eastAsia" w:ascii="Times New Roman" w:hAnsi="Times New Roman" w:cs="Times New Roman" w:eastAsiaTheme="minorEastAsia"/>
          <w:b/>
          <w:bCs/>
          <w:sz w:val="24"/>
          <w:lang w:eastAsia="zh-CN"/>
        </w:rPr>
        <w:drawing>
          <wp:inline distT="0" distB="0" distL="114300" distR="114300">
            <wp:extent cx="5273040" cy="6379845"/>
            <wp:effectExtent l="0" t="0" r="0" b="5715"/>
            <wp:docPr id="4" name="图片 4"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3"/>
                    <pic:cNvPicPr>
                      <a:picLocks noChangeAspect="1"/>
                    </pic:cNvPicPr>
                  </pic:nvPicPr>
                  <pic:blipFill>
                    <a:blip r:embed="rId6"/>
                    <a:stretch>
                      <a:fillRect/>
                    </a:stretch>
                  </pic:blipFill>
                  <pic:spPr>
                    <a:xfrm>
                      <a:off x="0" y="0"/>
                      <a:ext cx="5273040" cy="6379845"/>
                    </a:xfrm>
                    <a:prstGeom prst="rect">
                      <a:avLst/>
                    </a:prstGeom>
                  </pic:spPr>
                </pic:pic>
              </a:graphicData>
            </a:graphic>
          </wp:inline>
        </w:drawing>
      </w:r>
    </w:p>
    <w:p w14:paraId="6E648569">
      <w:pPr>
        <w:spacing w:line="360" w:lineRule="auto"/>
        <w:rPr>
          <w:rFonts w:ascii="Times New Roman" w:hAnsi="Times New Roman" w:cs="Times New Roman"/>
          <w:b/>
          <w:bCs/>
          <w:sz w:val="24"/>
        </w:rPr>
      </w:pPr>
      <w:r>
        <w:rPr>
          <w:rFonts w:ascii="Times New Roman" w:hAnsi="Times New Roman" w:cs="Times New Roman"/>
          <w:b/>
          <w:bCs/>
          <w:sz w:val="24"/>
        </w:rPr>
        <w:t xml:space="preserve">Figure S3. </w:t>
      </w:r>
      <w:bookmarkStart w:id="0" w:name="OLE_LINK122"/>
      <w:bookmarkStart w:id="1" w:name="OLE_LINK123"/>
      <w:r>
        <w:rPr>
          <w:rFonts w:hint="eastAsia" w:ascii="Times New Roman" w:hAnsi="Times New Roman" w:cs="Times New Roman"/>
          <w:b/>
          <w:bCs/>
          <w:sz w:val="24"/>
        </w:rPr>
        <w:t>5 key regulatory genes identified from NRS characteristics</w:t>
      </w:r>
      <w:r>
        <w:rPr>
          <w:rFonts w:hint="eastAsia" w:ascii="Times New Roman" w:hAnsi="Times New Roman" w:cs="Times New Roman"/>
          <w:b/>
          <w:bCs/>
          <w:sz w:val="24"/>
          <w:lang w:val="en-US" w:eastAsia="zh-CN"/>
        </w:rPr>
        <w:t>.</w:t>
      </w:r>
      <w:r>
        <w:rPr>
          <w:rFonts w:ascii="Times New Roman" w:hAnsi="Times New Roman" w:cs="Times New Roman"/>
          <w:b/>
          <w:bCs/>
          <w:sz w:val="24"/>
        </w:rPr>
        <w:t xml:space="preserve"> A.</w:t>
      </w:r>
      <w:bookmarkEnd w:id="0"/>
      <w:bookmarkEnd w:id="1"/>
      <w:r>
        <w:rPr>
          <w:rFonts w:hint="eastAsia" w:ascii="Times New Roman" w:hAnsi="Times New Roman" w:cs="Times New Roman"/>
          <w:b/>
          <w:bCs/>
          <w:sz w:val="24"/>
        </w:rPr>
        <w:t xml:space="preserve"> </w:t>
      </w:r>
      <w:r>
        <w:rPr>
          <w:rFonts w:hint="eastAsia" w:ascii="Times New Roman" w:hAnsi="Times New Roman" w:cs="Times New Roman"/>
          <w:b w:val="0"/>
          <w:bCs w:val="0"/>
          <w:sz w:val="24"/>
        </w:rPr>
        <w:t xml:space="preserve">ROC curve of </w:t>
      </w:r>
      <w:r>
        <w:rPr>
          <w:rFonts w:hint="eastAsia" w:ascii="Times New Roman" w:hAnsi="Times New Roman" w:cs="Times New Roman"/>
          <w:b w:val="0"/>
          <w:bCs w:val="0"/>
          <w:color w:val="000000" w:themeColor="text1"/>
          <w:sz w:val="24"/>
          <w14:textFill>
            <w14:solidFill>
              <w14:schemeClr w14:val="tx1"/>
            </w14:solidFill>
          </w14:textFill>
        </w:rPr>
        <w:t>five key regulatory</w:t>
      </w:r>
      <w:r>
        <w:rPr>
          <w:rFonts w:hint="eastAsia" w:ascii="Times New Roman" w:hAnsi="Times New Roman" w:cs="Times New Roman"/>
          <w:b w:val="0"/>
          <w:bCs w:val="0"/>
          <w:color w:val="000000" w:themeColor="text1"/>
          <w:sz w:val="24"/>
          <w:lang w:val="en-US" w:eastAsia="zh-CN"/>
          <w14:textFill>
            <w14:solidFill>
              <w14:schemeClr w14:val="tx1"/>
            </w14:solidFill>
          </w14:textFill>
        </w:rPr>
        <w:t xml:space="preserve"> genes</w:t>
      </w:r>
      <w:r>
        <w:rPr>
          <w:rFonts w:hint="eastAsia" w:ascii="Times New Roman" w:hAnsi="Times New Roman" w:cs="Times New Roman"/>
          <w:b w:val="0"/>
          <w:bCs w:val="0"/>
          <w:sz w:val="24"/>
        </w:rPr>
        <w:t xml:space="preserve"> prognostic features in TCGA dataset</w:t>
      </w:r>
      <w:r>
        <w:rPr>
          <w:rFonts w:hint="eastAsia" w:ascii="Times New Roman" w:hAnsi="Times New Roman" w:cs="Times New Roman"/>
          <w:b w:val="0"/>
          <w:bCs w:val="0"/>
          <w:sz w:val="24"/>
          <w:lang w:val="en-US" w:eastAsia="zh-CN"/>
        </w:rPr>
        <w:t>.</w:t>
      </w:r>
      <w:r>
        <w:rPr>
          <w:rFonts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b/>
          <w:bCs/>
          <w:color w:val="000000" w:themeColor="text1"/>
          <w:sz w:val="24"/>
          <w14:textFill>
            <w14:solidFill>
              <w14:schemeClr w14:val="tx1"/>
            </w14:solidFill>
          </w14:textFill>
        </w:rPr>
        <w:t xml:space="preserve">B. </w:t>
      </w:r>
      <w:r>
        <w:rPr>
          <w:rFonts w:hint="eastAsia" w:ascii="Times New Roman" w:hAnsi="Times New Roman" w:cs="Times New Roman"/>
          <w:b w:val="0"/>
          <w:bCs w:val="0"/>
          <w:color w:val="000000" w:themeColor="text1"/>
          <w:sz w:val="24"/>
          <w14:textFill>
            <w14:solidFill>
              <w14:schemeClr w14:val="tx1"/>
            </w14:solidFill>
          </w14:textFill>
        </w:rPr>
        <w:t>Kaplan-Meier curves of overall survival with log-rank test for five key regulatory</w:t>
      </w:r>
      <w:r>
        <w:rPr>
          <w:rFonts w:hint="eastAsia" w:ascii="Times New Roman" w:hAnsi="Times New Roman" w:cs="Times New Roman"/>
          <w:b w:val="0"/>
          <w:bCs w:val="0"/>
          <w:color w:val="000000" w:themeColor="text1"/>
          <w:sz w:val="24"/>
          <w:lang w:val="en-US" w:eastAsia="zh-CN"/>
          <w14:textFill>
            <w14:solidFill>
              <w14:schemeClr w14:val="tx1"/>
            </w14:solidFill>
          </w14:textFill>
        </w:rPr>
        <w:t xml:space="preserve"> genes</w:t>
      </w:r>
      <w:r>
        <w:rPr>
          <w:rFonts w:hint="eastAsia" w:ascii="Times New Roman" w:hAnsi="Times New Roman" w:cs="Times New Roman"/>
          <w:b w:val="0"/>
          <w:bCs w:val="0"/>
          <w:color w:val="000000" w:themeColor="text1"/>
          <w:sz w:val="24"/>
          <w14:textFill>
            <w14:solidFill>
              <w14:schemeClr w14:val="tx1"/>
            </w14:solidFill>
          </w14:textFill>
        </w:rPr>
        <w:t xml:space="preserve"> in TCGA dataset.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2F5263"/>
    <w:multiLevelType w:val="multilevel"/>
    <w:tmpl w:val="0E2F52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JlMjU0NjEyZTIyMzgxOTQ2YWY4MWUwYmQxNmJlYTUifQ=="/>
  </w:docVars>
  <w:rsids>
    <w:rsidRoot w:val="004F47A6"/>
    <w:rsid w:val="00002068"/>
    <w:rsid w:val="00015D12"/>
    <w:rsid w:val="00020F11"/>
    <w:rsid w:val="000573C1"/>
    <w:rsid w:val="000610C0"/>
    <w:rsid w:val="00072CEC"/>
    <w:rsid w:val="000870A7"/>
    <w:rsid w:val="000947CE"/>
    <w:rsid w:val="000B0A6F"/>
    <w:rsid w:val="000B20E8"/>
    <w:rsid w:val="000C5657"/>
    <w:rsid w:val="000D0C15"/>
    <w:rsid w:val="000E35B6"/>
    <w:rsid w:val="000F3BCD"/>
    <w:rsid w:val="001037E1"/>
    <w:rsid w:val="00112048"/>
    <w:rsid w:val="00113999"/>
    <w:rsid w:val="00131C34"/>
    <w:rsid w:val="00137396"/>
    <w:rsid w:val="00142338"/>
    <w:rsid w:val="00143A01"/>
    <w:rsid w:val="0014695B"/>
    <w:rsid w:val="00146C9D"/>
    <w:rsid w:val="0015665C"/>
    <w:rsid w:val="001610D5"/>
    <w:rsid w:val="001708BA"/>
    <w:rsid w:val="00195BCD"/>
    <w:rsid w:val="001C3465"/>
    <w:rsid w:val="001D4890"/>
    <w:rsid w:val="001D7523"/>
    <w:rsid w:val="001E4BC7"/>
    <w:rsid w:val="001E6BBB"/>
    <w:rsid w:val="002146D0"/>
    <w:rsid w:val="002268E0"/>
    <w:rsid w:val="00227508"/>
    <w:rsid w:val="00252EBE"/>
    <w:rsid w:val="00266418"/>
    <w:rsid w:val="00280414"/>
    <w:rsid w:val="002A25FA"/>
    <w:rsid w:val="002A66C6"/>
    <w:rsid w:val="002B77B9"/>
    <w:rsid w:val="002C3305"/>
    <w:rsid w:val="002C6A5A"/>
    <w:rsid w:val="002F2DD7"/>
    <w:rsid w:val="003008A9"/>
    <w:rsid w:val="0032515B"/>
    <w:rsid w:val="0033340B"/>
    <w:rsid w:val="00334AF1"/>
    <w:rsid w:val="00346ACE"/>
    <w:rsid w:val="003476D5"/>
    <w:rsid w:val="003620EC"/>
    <w:rsid w:val="003658FB"/>
    <w:rsid w:val="00370D54"/>
    <w:rsid w:val="003818A2"/>
    <w:rsid w:val="00385142"/>
    <w:rsid w:val="00387F05"/>
    <w:rsid w:val="0039178E"/>
    <w:rsid w:val="0039437E"/>
    <w:rsid w:val="003A1784"/>
    <w:rsid w:val="003A1D45"/>
    <w:rsid w:val="003C41F5"/>
    <w:rsid w:val="003C64CB"/>
    <w:rsid w:val="003D49EE"/>
    <w:rsid w:val="00402278"/>
    <w:rsid w:val="00402824"/>
    <w:rsid w:val="00435F19"/>
    <w:rsid w:val="00445B66"/>
    <w:rsid w:val="00450F5D"/>
    <w:rsid w:val="00457E02"/>
    <w:rsid w:val="004631B6"/>
    <w:rsid w:val="00467F2D"/>
    <w:rsid w:val="0047782D"/>
    <w:rsid w:val="00480CDA"/>
    <w:rsid w:val="00481BA3"/>
    <w:rsid w:val="0049194C"/>
    <w:rsid w:val="004A6B1C"/>
    <w:rsid w:val="004B644C"/>
    <w:rsid w:val="004B71B6"/>
    <w:rsid w:val="004D3C4C"/>
    <w:rsid w:val="004F47A6"/>
    <w:rsid w:val="005078D9"/>
    <w:rsid w:val="00517427"/>
    <w:rsid w:val="005179E3"/>
    <w:rsid w:val="0053257E"/>
    <w:rsid w:val="005362D5"/>
    <w:rsid w:val="005513E8"/>
    <w:rsid w:val="00583918"/>
    <w:rsid w:val="00585637"/>
    <w:rsid w:val="005873C3"/>
    <w:rsid w:val="005A7C21"/>
    <w:rsid w:val="005B70F8"/>
    <w:rsid w:val="005C2943"/>
    <w:rsid w:val="005F4E6D"/>
    <w:rsid w:val="006219EA"/>
    <w:rsid w:val="00622614"/>
    <w:rsid w:val="00624E08"/>
    <w:rsid w:val="00631795"/>
    <w:rsid w:val="00640E27"/>
    <w:rsid w:val="00645253"/>
    <w:rsid w:val="00650F6E"/>
    <w:rsid w:val="00656947"/>
    <w:rsid w:val="00664ED5"/>
    <w:rsid w:val="00683B47"/>
    <w:rsid w:val="00686B50"/>
    <w:rsid w:val="006A5B5A"/>
    <w:rsid w:val="006B3C66"/>
    <w:rsid w:val="006B6926"/>
    <w:rsid w:val="006C1788"/>
    <w:rsid w:val="006C2CF1"/>
    <w:rsid w:val="006E12B6"/>
    <w:rsid w:val="006F15D1"/>
    <w:rsid w:val="006F4915"/>
    <w:rsid w:val="007013A1"/>
    <w:rsid w:val="00701F45"/>
    <w:rsid w:val="0070475D"/>
    <w:rsid w:val="00730651"/>
    <w:rsid w:val="00735FC5"/>
    <w:rsid w:val="00773390"/>
    <w:rsid w:val="00782E44"/>
    <w:rsid w:val="007C2737"/>
    <w:rsid w:val="007D2D1F"/>
    <w:rsid w:val="007F11C9"/>
    <w:rsid w:val="007F5DE2"/>
    <w:rsid w:val="00800995"/>
    <w:rsid w:val="00834E65"/>
    <w:rsid w:val="008351EF"/>
    <w:rsid w:val="00854FB5"/>
    <w:rsid w:val="00860580"/>
    <w:rsid w:val="0088138E"/>
    <w:rsid w:val="0089095A"/>
    <w:rsid w:val="008910DD"/>
    <w:rsid w:val="008A26CD"/>
    <w:rsid w:val="008A2BB5"/>
    <w:rsid w:val="008B1AA0"/>
    <w:rsid w:val="008B5DC9"/>
    <w:rsid w:val="008C49CB"/>
    <w:rsid w:val="008F2AF3"/>
    <w:rsid w:val="00901513"/>
    <w:rsid w:val="00943653"/>
    <w:rsid w:val="00944C47"/>
    <w:rsid w:val="00956AC8"/>
    <w:rsid w:val="00972F28"/>
    <w:rsid w:val="0098469A"/>
    <w:rsid w:val="00997F9B"/>
    <w:rsid w:val="009B5325"/>
    <w:rsid w:val="009D69BA"/>
    <w:rsid w:val="009D7AE3"/>
    <w:rsid w:val="009E0325"/>
    <w:rsid w:val="009E6FF9"/>
    <w:rsid w:val="00A12E12"/>
    <w:rsid w:val="00A136CA"/>
    <w:rsid w:val="00A22F9A"/>
    <w:rsid w:val="00A26813"/>
    <w:rsid w:val="00A538A2"/>
    <w:rsid w:val="00A54407"/>
    <w:rsid w:val="00A6152B"/>
    <w:rsid w:val="00A74B8B"/>
    <w:rsid w:val="00A85D3C"/>
    <w:rsid w:val="00A93260"/>
    <w:rsid w:val="00AA27CE"/>
    <w:rsid w:val="00AB5465"/>
    <w:rsid w:val="00AB6319"/>
    <w:rsid w:val="00AC4206"/>
    <w:rsid w:val="00AE0F1B"/>
    <w:rsid w:val="00B0123C"/>
    <w:rsid w:val="00B062F8"/>
    <w:rsid w:val="00B246B8"/>
    <w:rsid w:val="00B459B4"/>
    <w:rsid w:val="00B56B2A"/>
    <w:rsid w:val="00B66742"/>
    <w:rsid w:val="00B67F1C"/>
    <w:rsid w:val="00B803B0"/>
    <w:rsid w:val="00B8131F"/>
    <w:rsid w:val="00B82C33"/>
    <w:rsid w:val="00BB2612"/>
    <w:rsid w:val="00BB45D4"/>
    <w:rsid w:val="00BB7D00"/>
    <w:rsid w:val="00BC4813"/>
    <w:rsid w:val="00BC531B"/>
    <w:rsid w:val="00BC5B79"/>
    <w:rsid w:val="00BC6AB2"/>
    <w:rsid w:val="00BF5A13"/>
    <w:rsid w:val="00C0068B"/>
    <w:rsid w:val="00C07D20"/>
    <w:rsid w:val="00C10C0D"/>
    <w:rsid w:val="00C1137C"/>
    <w:rsid w:val="00C22447"/>
    <w:rsid w:val="00C36505"/>
    <w:rsid w:val="00C3773A"/>
    <w:rsid w:val="00C447B5"/>
    <w:rsid w:val="00C6202D"/>
    <w:rsid w:val="00C656CA"/>
    <w:rsid w:val="00C65E02"/>
    <w:rsid w:val="00C7019E"/>
    <w:rsid w:val="00C7141D"/>
    <w:rsid w:val="00C7720F"/>
    <w:rsid w:val="00C775C8"/>
    <w:rsid w:val="00C81C50"/>
    <w:rsid w:val="00C958F1"/>
    <w:rsid w:val="00C97DAC"/>
    <w:rsid w:val="00CA0FE2"/>
    <w:rsid w:val="00CB331C"/>
    <w:rsid w:val="00CB5198"/>
    <w:rsid w:val="00CE3EE2"/>
    <w:rsid w:val="00D07C0A"/>
    <w:rsid w:val="00D306B3"/>
    <w:rsid w:val="00D328C0"/>
    <w:rsid w:val="00D4549D"/>
    <w:rsid w:val="00D53C38"/>
    <w:rsid w:val="00D54A35"/>
    <w:rsid w:val="00D62306"/>
    <w:rsid w:val="00D66589"/>
    <w:rsid w:val="00D957ED"/>
    <w:rsid w:val="00DC08AA"/>
    <w:rsid w:val="00DD45D6"/>
    <w:rsid w:val="00DE4BA8"/>
    <w:rsid w:val="00DF1EBB"/>
    <w:rsid w:val="00E011D6"/>
    <w:rsid w:val="00E055BC"/>
    <w:rsid w:val="00E078EA"/>
    <w:rsid w:val="00E22D89"/>
    <w:rsid w:val="00E24E12"/>
    <w:rsid w:val="00E341E2"/>
    <w:rsid w:val="00E34A0F"/>
    <w:rsid w:val="00E37FD4"/>
    <w:rsid w:val="00E43DA8"/>
    <w:rsid w:val="00E51AFB"/>
    <w:rsid w:val="00E712D7"/>
    <w:rsid w:val="00E72CAB"/>
    <w:rsid w:val="00E901FB"/>
    <w:rsid w:val="00E94E92"/>
    <w:rsid w:val="00EA6411"/>
    <w:rsid w:val="00ED5C41"/>
    <w:rsid w:val="00F02E5C"/>
    <w:rsid w:val="00F10F91"/>
    <w:rsid w:val="00F21B5D"/>
    <w:rsid w:val="00F21D4B"/>
    <w:rsid w:val="00F357BC"/>
    <w:rsid w:val="00F36F8D"/>
    <w:rsid w:val="00F54C4B"/>
    <w:rsid w:val="00F61A66"/>
    <w:rsid w:val="00F64247"/>
    <w:rsid w:val="00F67D3E"/>
    <w:rsid w:val="00F73EA0"/>
    <w:rsid w:val="00F8469E"/>
    <w:rsid w:val="00FA0E75"/>
    <w:rsid w:val="00FA78F8"/>
    <w:rsid w:val="00FB5167"/>
    <w:rsid w:val="00FD2811"/>
    <w:rsid w:val="00FD442F"/>
    <w:rsid w:val="00FE2344"/>
    <w:rsid w:val="00FE2574"/>
    <w:rsid w:val="00FF69FE"/>
    <w:rsid w:val="216E1101"/>
    <w:rsid w:val="613C2175"/>
    <w:rsid w:val="70C33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uiPriority w:val="99"/>
    <w:rPr>
      <w:sz w:val="24"/>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1186</Words>
  <Characters>6826</Characters>
  <Lines>57</Lines>
  <Paragraphs>16</Paragraphs>
  <TotalTime>7</TotalTime>
  <ScaleCrop>false</ScaleCrop>
  <LinksUpToDate>false</LinksUpToDate>
  <CharactersWithSpaces>7969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2022-03-14T15:10:00Z</dcterms:created>
  <dc:creator>office user</dc:creator>
  <cp:lastModifiedBy>～(￣▽￣～)~</cp:lastModifiedBy>
  <dcterms:modified xsi:type="dcterms:W3CDTF">2024-11-07T09:35:35Z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281C9933B4504D5181CBE734388BBACE_13</vt:lpwstr>
  </property>
</Properties>
</file>