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BDF568" w14:textId="77777777" w:rsidR="00050E05" w:rsidRDefault="00050E05" w:rsidP="00C57A90">
      <w:pPr>
        <w:pStyle w:val="ListParagraph"/>
        <w:ind w:left="0"/>
        <w:jc w:val="center"/>
        <w:rPr>
          <w:b/>
          <w:bCs/>
        </w:rPr>
      </w:pPr>
      <w:r>
        <w:rPr>
          <w:b/>
          <w:bCs/>
          <w:noProof/>
        </w:rPr>
        <w:drawing>
          <wp:inline distT="0" distB="0" distL="0" distR="0" wp14:anchorId="2C2447FC" wp14:editId="06EA617F">
            <wp:extent cx="5068572" cy="8192135"/>
            <wp:effectExtent l="0" t="0" r="0" b="0"/>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rotWithShape="1">
                    <a:blip r:embed="rId7" cstate="print">
                      <a:extLst>
                        <a:ext uri="{28A0092B-C50C-407E-A947-70E740481C1C}">
                          <a14:useLocalDpi xmlns:a14="http://schemas.microsoft.com/office/drawing/2010/main" val="0"/>
                        </a:ext>
                      </a:extLst>
                    </a:blip>
                    <a:srcRect r="24046" b="-4"/>
                    <a:stretch/>
                  </pic:blipFill>
                  <pic:spPr bwMode="auto">
                    <a:xfrm>
                      <a:off x="0" y="0"/>
                      <a:ext cx="5087620" cy="8222922"/>
                    </a:xfrm>
                    <a:prstGeom prst="rect">
                      <a:avLst/>
                    </a:prstGeom>
                    <a:ln>
                      <a:noFill/>
                    </a:ln>
                    <a:extLst>
                      <a:ext uri="{53640926-AAD7-44D8-BBD7-CCE9431645EC}">
                        <a14:shadowObscured xmlns:a14="http://schemas.microsoft.com/office/drawing/2010/main"/>
                      </a:ext>
                    </a:extLst>
                  </pic:spPr>
                </pic:pic>
              </a:graphicData>
            </a:graphic>
          </wp:inline>
        </w:drawing>
      </w:r>
    </w:p>
    <w:p w14:paraId="727C7869" w14:textId="12B0220A" w:rsidR="00050E05" w:rsidRDefault="00050E05" w:rsidP="00050E05">
      <w:pPr>
        <w:rPr>
          <w:rFonts w:ascii="Arial" w:hAnsi="Arial" w:cs="Arial"/>
          <w:sz w:val="22"/>
          <w:szCs w:val="22"/>
        </w:rPr>
      </w:pPr>
      <w:r w:rsidRPr="00A15D64">
        <w:rPr>
          <w:rFonts w:ascii="Arial" w:hAnsi="Arial" w:cs="Arial"/>
          <w:b/>
          <w:bCs/>
          <w:sz w:val="22"/>
          <w:szCs w:val="22"/>
        </w:rPr>
        <w:lastRenderedPageBreak/>
        <w:t xml:space="preserve">Supplemental Figure </w:t>
      </w:r>
      <w:r w:rsidR="00C57A90">
        <w:rPr>
          <w:rFonts w:ascii="Arial" w:hAnsi="Arial" w:cs="Arial"/>
          <w:b/>
          <w:bCs/>
          <w:sz w:val="22"/>
          <w:szCs w:val="22"/>
        </w:rPr>
        <w:t>1</w:t>
      </w:r>
      <w:r w:rsidRPr="00A15D64">
        <w:rPr>
          <w:rFonts w:ascii="Arial" w:hAnsi="Arial" w:cs="Arial"/>
          <w:b/>
          <w:bCs/>
          <w:sz w:val="22"/>
          <w:szCs w:val="22"/>
        </w:rPr>
        <w:t xml:space="preserve">.  Validation of using muscle autofluorescence to detect myofiber orientation.  </w:t>
      </w:r>
      <w:r w:rsidRPr="00A15D64">
        <w:rPr>
          <w:rFonts w:ascii="Arial" w:hAnsi="Arial" w:cs="Arial"/>
          <w:sz w:val="22"/>
          <w:szCs w:val="22"/>
        </w:rPr>
        <w:t xml:space="preserve">Muscle autofluorescence was imaged </w:t>
      </w:r>
      <w:r>
        <w:rPr>
          <w:rFonts w:ascii="Arial" w:hAnsi="Arial" w:cs="Arial"/>
          <w:sz w:val="22"/>
          <w:szCs w:val="22"/>
        </w:rPr>
        <w:t xml:space="preserve">by excitation at 488nm and emission window collected from 491-554nm </w:t>
      </w:r>
      <w:r>
        <w:rPr>
          <w:rFonts w:ascii="Arial" w:hAnsi="Arial" w:cs="Arial"/>
          <w:b/>
          <w:bCs/>
          <w:sz w:val="22"/>
          <w:szCs w:val="22"/>
        </w:rPr>
        <w:t>(a)</w:t>
      </w:r>
      <w:r>
        <w:rPr>
          <w:rFonts w:ascii="Arial" w:hAnsi="Arial" w:cs="Arial"/>
          <w:sz w:val="22"/>
          <w:szCs w:val="22"/>
        </w:rPr>
        <w:t xml:space="preserve">.  </w:t>
      </w:r>
      <w:r w:rsidRPr="00FB44A9">
        <w:rPr>
          <w:rFonts w:ascii="Arial" w:hAnsi="Arial" w:cs="Arial"/>
          <w:sz w:val="22"/>
          <w:szCs w:val="22"/>
        </w:rPr>
        <w:t xml:space="preserve">This was compared to fluorescent viral labeling of the same heart muscle </w:t>
      </w:r>
      <w:r w:rsidRPr="00FB44A9">
        <w:rPr>
          <w:rFonts w:ascii="Arial" w:hAnsi="Arial" w:cs="Arial"/>
          <w:b/>
          <w:bCs/>
          <w:sz w:val="22"/>
          <w:szCs w:val="22"/>
        </w:rPr>
        <w:t>(b)</w:t>
      </w:r>
      <w:r w:rsidRPr="00FB44A9">
        <w:rPr>
          <w:rFonts w:ascii="Arial" w:hAnsi="Arial" w:cs="Arial"/>
          <w:sz w:val="22"/>
          <w:szCs w:val="22"/>
        </w:rPr>
        <w:t xml:space="preserve"> which was done by retro-orbital injection of AAV-PHP.S-CAG-</w:t>
      </w:r>
      <w:proofErr w:type="spellStart"/>
      <w:r w:rsidRPr="00FB44A9">
        <w:rPr>
          <w:rFonts w:ascii="Arial" w:hAnsi="Arial" w:cs="Arial"/>
          <w:sz w:val="22"/>
          <w:szCs w:val="22"/>
        </w:rPr>
        <w:t>TdTomato</w:t>
      </w:r>
      <w:proofErr w:type="spellEnd"/>
      <w:r w:rsidRPr="00FB44A9">
        <w:rPr>
          <w:rFonts w:ascii="Arial" w:hAnsi="Arial" w:cs="Arial"/>
          <w:sz w:val="22"/>
          <w:szCs w:val="22"/>
        </w:rPr>
        <w:t xml:space="preserve"> (1x10</w:t>
      </w:r>
      <w:r w:rsidRPr="00FB44A9">
        <w:rPr>
          <w:rFonts w:ascii="Arial" w:hAnsi="Arial" w:cs="Arial"/>
          <w:sz w:val="22"/>
          <w:szCs w:val="22"/>
          <w:vertAlign w:val="superscript"/>
        </w:rPr>
        <w:t>12</w:t>
      </w:r>
      <w:r w:rsidRPr="00FB44A9">
        <w:rPr>
          <w:rFonts w:ascii="Arial" w:hAnsi="Arial" w:cs="Arial"/>
          <w:sz w:val="22"/>
          <w:szCs w:val="22"/>
        </w:rPr>
        <w:t xml:space="preserve"> vg, </w:t>
      </w:r>
      <w:proofErr w:type="spellStart"/>
      <w:r w:rsidRPr="00FB44A9">
        <w:rPr>
          <w:rFonts w:ascii="Arial" w:hAnsi="Arial" w:cs="Arial"/>
          <w:sz w:val="22"/>
          <w:szCs w:val="22"/>
        </w:rPr>
        <w:t>Addgene</w:t>
      </w:r>
      <w:proofErr w:type="spellEnd"/>
      <w:r>
        <w:rPr>
          <w:rFonts w:ascii="Arial" w:hAnsi="Arial" w:cs="Arial"/>
          <w:sz w:val="22"/>
          <w:szCs w:val="22"/>
        </w:rPr>
        <w:t xml:space="preserve">, </w:t>
      </w:r>
      <w:r w:rsidRPr="00FB44A9">
        <w:rPr>
          <w:rFonts w:ascii="Arial" w:hAnsi="Arial" w:cs="Arial"/>
          <w:sz w:val="22"/>
          <w:szCs w:val="22"/>
        </w:rPr>
        <w:t>#59462-PHP.S</w:t>
      </w:r>
      <w:r>
        <w:rPr>
          <w:rFonts w:ascii="Arial" w:hAnsi="Arial" w:cs="Arial"/>
          <w:sz w:val="22"/>
          <w:szCs w:val="22"/>
        </w:rPr>
        <w:t xml:space="preserve">), followed by confocal imaging after 2 weeks with excitation at 561nm and emission window from 562-625nm.  Automated tracing of myofiber orientation was done for both autofluorescence and viral labeling images </w:t>
      </w:r>
      <w:r>
        <w:rPr>
          <w:rFonts w:ascii="Arial" w:hAnsi="Arial" w:cs="Arial"/>
          <w:b/>
          <w:bCs/>
          <w:sz w:val="22"/>
          <w:szCs w:val="22"/>
        </w:rPr>
        <w:t>(c-f)</w:t>
      </w:r>
      <w:r>
        <w:rPr>
          <w:rFonts w:ascii="Arial" w:hAnsi="Arial" w:cs="Arial"/>
          <w:sz w:val="22"/>
          <w:szCs w:val="22"/>
        </w:rPr>
        <w:t>, and Mantel matrix similarity testing was done for 2 representative hearts (angular correlation coefficients 0.9281 and 0.9169, p=1.293x10</w:t>
      </w:r>
      <w:r>
        <w:rPr>
          <w:rFonts w:ascii="Arial" w:hAnsi="Arial" w:cs="Arial"/>
          <w:sz w:val="22"/>
          <w:szCs w:val="22"/>
          <w:vertAlign w:val="superscript"/>
        </w:rPr>
        <w:t>-9</w:t>
      </w:r>
      <w:r>
        <w:rPr>
          <w:rFonts w:ascii="Arial" w:hAnsi="Arial" w:cs="Arial"/>
          <w:sz w:val="22"/>
          <w:szCs w:val="22"/>
        </w:rPr>
        <w:t xml:space="preserve"> and 3.127x10</w:t>
      </w:r>
      <w:r>
        <w:rPr>
          <w:rFonts w:ascii="Arial" w:hAnsi="Arial" w:cs="Arial"/>
          <w:sz w:val="22"/>
          <w:szCs w:val="22"/>
          <w:vertAlign w:val="superscript"/>
        </w:rPr>
        <w:t>-8</w:t>
      </w:r>
      <w:r>
        <w:rPr>
          <w:rFonts w:ascii="Arial" w:hAnsi="Arial" w:cs="Arial"/>
          <w:sz w:val="22"/>
          <w:szCs w:val="22"/>
        </w:rPr>
        <w:t>, 1000 permutations).  All images are maximum intensity projections.  Scale bars = 1mm (</w:t>
      </w:r>
      <w:r>
        <w:rPr>
          <w:rFonts w:ascii="Arial" w:hAnsi="Arial" w:cs="Arial"/>
          <w:b/>
          <w:bCs/>
          <w:sz w:val="22"/>
          <w:szCs w:val="22"/>
        </w:rPr>
        <w:t>a-d</w:t>
      </w:r>
      <w:r>
        <w:rPr>
          <w:rFonts w:ascii="Arial" w:hAnsi="Arial" w:cs="Arial"/>
          <w:sz w:val="22"/>
          <w:szCs w:val="22"/>
        </w:rPr>
        <w:t>) and 100</w:t>
      </w:r>
      <w:r w:rsidRPr="001D3D1B">
        <w:rPr>
          <w:rFonts w:ascii="Arial" w:hAnsi="Arial" w:cs="Arial"/>
          <w:sz w:val="22"/>
          <w:szCs w:val="22"/>
        </w:rPr>
        <w:t>µm</w:t>
      </w:r>
      <w:r>
        <w:rPr>
          <w:rFonts w:ascii="Arial" w:hAnsi="Arial" w:cs="Arial"/>
          <w:sz w:val="22"/>
          <w:szCs w:val="22"/>
        </w:rPr>
        <w:t xml:space="preserve"> (</w:t>
      </w:r>
      <w:r>
        <w:rPr>
          <w:rFonts w:ascii="Arial" w:hAnsi="Arial" w:cs="Arial"/>
          <w:b/>
          <w:bCs/>
          <w:sz w:val="22"/>
          <w:szCs w:val="22"/>
        </w:rPr>
        <w:t>e-f</w:t>
      </w:r>
      <w:r>
        <w:rPr>
          <w:rFonts w:ascii="Arial" w:hAnsi="Arial" w:cs="Arial"/>
          <w:sz w:val="22"/>
          <w:szCs w:val="22"/>
        </w:rPr>
        <w:t>).</w:t>
      </w:r>
    </w:p>
    <w:p w14:paraId="14BEFA39" w14:textId="77777777" w:rsidR="00AB5103" w:rsidRDefault="00AB5103" w:rsidP="00AB5103">
      <w:pPr>
        <w:rPr>
          <w:b/>
          <w:bCs/>
        </w:rPr>
      </w:pPr>
      <w:r>
        <w:rPr>
          <w:b/>
          <w:bCs/>
          <w:noProof/>
        </w:rPr>
        <w:lastRenderedPageBreak/>
        <w:drawing>
          <wp:inline distT="0" distB="0" distL="0" distR="0" wp14:anchorId="796868F2" wp14:editId="358EF244">
            <wp:extent cx="5904000" cy="6917434"/>
            <wp:effectExtent l="0" t="0" r="1905" b="4445"/>
            <wp:docPr id="4" name="Picture 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r="17504"/>
                    <a:stretch/>
                  </pic:blipFill>
                  <pic:spPr bwMode="auto">
                    <a:xfrm>
                      <a:off x="0" y="0"/>
                      <a:ext cx="5930461" cy="6948437"/>
                    </a:xfrm>
                    <a:prstGeom prst="rect">
                      <a:avLst/>
                    </a:prstGeom>
                    <a:ln>
                      <a:noFill/>
                    </a:ln>
                    <a:extLst>
                      <a:ext uri="{53640926-AAD7-44D8-BBD7-CCE9431645EC}">
                        <a14:shadowObscured xmlns:a14="http://schemas.microsoft.com/office/drawing/2010/main"/>
                      </a:ext>
                    </a:extLst>
                  </pic:spPr>
                </pic:pic>
              </a:graphicData>
            </a:graphic>
          </wp:inline>
        </w:drawing>
      </w:r>
    </w:p>
    <w:p w14:paraId="7D921DD1" w14:textId="018B8C7B" w:rsidR="00AB5103" w:rsidRDefault="00AB5103" w:rsidP="00AB5103">
      <w:pPr>
        <w:rPr>
          <w:rFonts w:ascii="Arial" w:hAnsi="Arial" w:cs="Arial"/>
          <w:sz w:val="22"/>
          <w:szCs w:val="22"/>
        </w:rPr>
      </w:pPr>
      <w:r>
        <w:rPr>
          <w:rFonts w:ascii="Arial" w:hAnsi="Arial" w:cs="Arial"/>
          <w:b/>
          <w:bCs/>
          <w:sz w:val="22"/>
          <w:szCs w:val="22"/>
        </w:rPr>
        <w:t xml:space="preserve">Supplemental Figure </w:t>
      </w:r>
      <w:r w:rsidR="00AC35D1">
        <w:rPr>
          <w:rFonts w:ascii="Arial" w:hAnsi="Arial" w:cs="Arial"/>
          <w:b/>
          <w:bCs/>
          <w:sz w:val="22"/>
          <w:szCs w:val="22"/>
        </w:rPr>
        <w:t>2</w:t>
      </w:r>
      <w:r>
        <w:rPr>
          <w:rFonts w:ascii="Arial" w:hAnsi="Arial" w:cs="Arial"/>
          <w:b/>
          <w:bCs/>
          <w:sz w:val="22"/>
          <w:szCs w:val="22"/>
        </w:rPr>
        <w:t xml:space="preserve">.  </w:t>
      </w:r>
      <w:r w:rsidRPr="00910AA0">
        <w:rPr>
          <w:rFonts w:ascii="Arial" w:hAnsi="Arial" w:cs="Arial"/>
          <w:b/>
          <w:bCs/>
          <w:sz w:val="22"/>
          <w:szCs w:val="22"/>
        </w:rPr>
        <w:t>Validation of using autofluorescence to define dense scar v</w:t>
      </w:r>
      <w:r>
        <w:rPr>
          <w:rFonts w:ascii="Arial" w:hAnsi="Arial" w:cs="Arial"/>
          <w:b/>
          <w:bCs/>
          <w:sz w:val="22"/>
          <w:szCs w:val="22"/>
        </w:rPr>
        <w:t>ersus</w:t>
      </w:r>
      <w:r w:rsidRPr="00910AA0">
        <w:rPr>
          <w:rFonts w:ascii="Arial" w:hAnsi="Arial" w:cs="Arial"/>
          <w:b/>
          <w:bCs/>
          <w:sz w:val="22"/>
          <w:szCs w:val="22"/>
        </w:rPr>
        <w:t xml:space="preserve"> surviving myocardium</w:t>
      </w:r>
      <w:r>
        <w:rPr>
          <w:rFonts w:ascii="Arial" w:hAnsi="Arial" w:cs="Arial"/>
          <w:b/>
          <w:bCs/>
          <w:sz w:val="22"/>
          <w:szCs w:val="22"/>
        </w:rPr>
        <w:t xml:space="preserve">.  </w:t>
      </w:r>
      <w:proofErr w:type="spellStart"/>
      <w:r>
        <w:rPr>
          <w:rFonts w:ascii="Arial" w:hAnsi="Arial" w:cs="Arial"/>
          <w:sz w:val="22"/>
          <w:szCs w:val="22"/>
        </w:rPr>
        <w:t>Periostin</w:t>
      </w:r>
      <w:proofErr w:type="spellEnd"/>
      <w:r>
        <w:rPr>
          <w:rFonts w:ascii="Arial" w:hAnsi="Arial" w:cs="Arial"/>
          <w:sz w:val="22"/>
          <w:szCs w:val="22"/>
        </w:rPr>
        <w:t xml:space="preserve"> (1:200, </w:t>
      </w:r>
      <w:proofErr w:type="spellStart"/>
      <w:r>
        <w:rPr>
          <w:rFonts w:ascii="Arial" w:hAnsi="Arial" w:cs="Arial"/>
          <w:sz w:val="22"/>
          <w:szCs w:val="22"/>
        </w:rPr>
        <w:t>abcam</w:t>
      </w:r>
      <w:proofErr w:type="spellEnd"/>
      <w:r>
        <w:rPr>
          <w:rFonts w:ascii="Arial" w:hAnsi="Arial" w:cs="Arial"/>
          <w:sz w:val="22"/>
          <w:szCs w:val="22"/>
        </w:rPr>
        <w:t xml:space="preserve">, </w:t>
      </w:r>
      <w:r w:rsidRPr="0007569B">
        <w:rPr>
          <w:rFonts w:ascii="Arial" w:hAnsi="Arial" w:cs="Arial"/>
          <w:sz w:val="22"/>
          <w:szCs w:val="22"/>
        </w:rPr>
        <w:t>ab14041</w:t>
      </w:r>
      <w:r>
        <w:rPr>
          <w:rFonts w:ascii="Arial" w:hAnsi="Arial" w:cs="Arial"/>
          <w:sz w:val="22"/>
          <w:szCs w:val="22"/>
        </w:rPr>
        <w:t xml:space="preserve">) staining of cleared chronic myocardial infarction heart imaged at 5X magnification </w:t>
      </w:r>
      <w:r>
        <w:rPr>
          <w:rFonts w:ascii="Arial" w:hAnsi="Arial" w:cs="Arial"/>
          <w:b/>
          <w:bCs/>
          <w:sz w:val="22"/>
          <w:szCs w:val="22"/>
        </w:rPr>
        <w:t xml:space="preserve">(a-c) </w:t>
      </w:r>
      <w:r>
        <w:rPr>
          <w:rFonts w:ascii="Arial" w:hAnsi="Arial" w:cs="Arial"/>
          <w:sz w:val="22"/>
          <w:szCs w:val="22"/>
        </w:rPr>
        <w:t xml:space="preserve">shows dense scar is visibly devoid of muscle autofluorescence.  Zoomed inset of the border zone (BZ) (10X magnification) </w:t>
      </w:r>
      <w:r>
        <w:rPr>
          <w:rFonts w:ascii="Arial" w:hAnsi="Arial" w:cs="Arial"/>
          <w:b/>
          <w:bCs/>
          <w:sz w:val="22"/>
          <w:szCs w:val="22"/>
        </w:rPr>
        <w:t xml:space="preserve">(d-f) </w:t>
      </w:r>
      <w:r>
        <w:rPr>
          <w:rFonts w:ascii="Arial" w:hAnsi="Arial" w:cs="Arial"/>
          <w:sz w:val="22"/>
          <w:szCs w:val="22"/>
        </w:rPr>
        <w:t xml:space="preserve">shows interdigitation of </w:t>
      </w:r>
      <w:proofErr w:type="spellStart"/>
      <w:r>
        <w:rPr>
          <w:rFonts w:ascii="Arial" w:hAnsi="Arial" w:cs="Arial"/>
          <w:sz w:val="22"/>
          <w:szCs w:val="22"/>
        </w:rPr>
        <w:t>periostin</w:t>
      </w:r>
      <w:proofErr w:type="spellEnd"/>
      <w:r>
        <w:rPr>
          <w:rFonts w:ascii="Arial" w:hAnsi="Arial" w:cs="Arial"/>
          <w:sz w:val="22"/>
          <w:szCs w:val="22"/>
        </w:rPr>
        <w:t xml:space="preserve">-labeled scar with living muscle.  In contrast to normal left ventricular apex </w:t>
      </w:r>
      <w:r>
        <w:rPr>
          <w:rFonts w:ascii="Arial" w:hAnsi="Arial" w:cs="Arial"/>
          <w:b/>
          <w:bCs/>
          <w:sz w:val="22"/>
          <w:szCs w:val="22"/>
        </w:rPr>
        <w:t>(g)</w:t>
      </w:r>
      <w:r>
        <w:rPr>
          <w:rFonts w:ascii="Arial" w:hAnsi="Arial" w:cs="Arial"/>
          <w:sz w:val="22"/>
          <w:szCs w:val="22"/>
        </w:rPr>
        <w:t xml:space="preserve">, infarct BZ at the interface of </w:t>
      </w:r>
      <w:proofErr w:type="spellStart"/>
      <w:r>
        <w:rPr>
          <w:rFonts w:ascii="Arial" w:hAnsi="Arial" w:cs="Arial"/>
          <w:sz w:val="22"/>
          <w:szCs w:val="22"/>
        </w:rPr>
        <w:t>periostin</w:t>
      </w:r>
      <w:proofErr w:type="spellEnd"/>
      <w:r>
        <w:rPr>
          <w:rFonts w:ascii="Arial" w:hAnsi="Arial" w:cs="Arial"/>
          <w:sz w:val="22"/>
          <w:szCs w:val="22"/>
        </w:rPr>
        <w:t xml:space="preserve"> with muscle autofluorescence demonstrates nerve sprouting </w:t>
      </w:r>
      <w:r>
        <w:rPr>
          <w:rFonts w:ascii="Arial" w:hAnsi="Arial" w:cs="Arial"/>
          <w:b/>
          <w:bCs/>
          <w:sz w:val="22"/>
          <w:szCs w:val="22"/>
        </w:rPr>
        <w:t>(h)</w:t>
      </w:r>
      <w:r>
        <w:rPr>
          <w:rFonts w:ascii="Arial" w:hAnsi="Arial" w:cs="Arial"/>
          <w:sz w:val="22"/>
          <w:szCs w:val="22"/>
        </w:rPr>
        <w:t>.  All images are maximum intensity projections.  TH = tyrosine hydroxylase.  Scale bars are 1mm (</w:t>
      </w:r>
      <w:r>
        <w:rPr>
          <w:rFonts w:ascii="Arial" w:hAnsi="Arial" w:cs="Arial"/>
          <w:b/>
          <w:bCs/>
          <w:sz w:val="22"/>
          <w:szCs w:val="22"/>
        </w:rPr>
        <w:t>a-c</w:t>
      </w:r>
      <w:r>
        <w:rPr>
          <w:rFonts w:ascii="Arial" w:hAnsi="Arial" w:cs="Arial"/>
          <w:sz w:val="22"/>
          <w:szCs w:val="22"/>
        </w:rPr>
        <w:t>) and 100</w:t>
      </w:r>
      <w:r w:rsidRPr="00275EB6">
        <w:rPr>
          <w:rFonts w:ascii="Arial" w:hAnsi="Arial" w:cs="Arial"/>
          <w:sz w:val="22"/>
          <w:szCs w:val="22"/>
        </w:rPr>
        <w:t>µ</w:t>
      </w:r>
      <w:r>
        <w:rPr>
          <w:rFonts w:ascii="Arial" w:hAnsi="Arial" w:cs="Arial"/>
          <w:sz w:val="22"/>
          <w:szCs w:val="22"/>
        </w:rPr>
        <w:t>m (</w:t>
      </w:r>
      <w:r w:rsidRPr="00275EB6">
        <w:rPr>
          <w:rFonts w:ascii="Arial" w:hAnsi="Arial" w:cs="Arial"/>
          <w:b/>
          <w:bCs/>
          <w:sz w:val="22"/>
          <w:szCs w:val="22"/>
        </w:rPr>
        <w:t>d-h</w:t>
      </w:r>
      <w:r>
        <w:rPr>
          <w:rFonts w:ascii="Arial" w:hAnsi="Arial" w:cs="Arial"/>
          <w:sz w:val="22"/>
          <w:szCs w:val="22"/>
        </w:rPr>
        <w:t>).</w:t>
      </w:r>
      <w:r>
        <w:rPr>
          <w:rFonts w:ascii="Arial" w:hAnsi="Arial" w:cs="Arial"/>
          <w:sz w:val="22"/>
          <w:szCs w:val="22"/>
        </w:rPr>
        <w:br w:type="page"/>
      </w:r>
    </w:p>
    <w:p w14:paraId="698ED535" w14:textId="77777777" w:rsidR="00AB5103" w:rsidRDefault="00AB5103" w:rsidP="00AB5103">
      <w:pPr>
        <w:rPr>
          <w:b/>
          <w:bCs/>
        </w:rPr>
      </w:pPr>
      <w:r>
        <w:rPr>
          <w:b/>
          <w:bCs/>
          <w:noProof/>
        </w:rPr>
        <w:lastRenderedPageBreak/>
        <w:drawing>
          <wp:inline distT="0" distB="0" distL="0" distR="0" wp14:anchorId="47F0F956" wp14:editId="029A41E5">
            <wp:extent cx="5947200" cy="6233350"/>
            <wp:effectExtent l="0" t="0" r="0" b="254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9" cstate="print">
                      <a:extLst>
                        <a:ext uri="{28A0092B-C50C-407E-A947-70E740481C1C}">
                          <a14:useLocalDpi xmlns:a14="http://schemas.microsoft.com/office/drawing/2010/main" val="0"/>
                        </a:ext>
                      </a:extLst>
                    </a:blip>
                    <a:srcRect r="12174"/>
                    <a:stretch/>
                  </pic:blipFill>
                  <pic:spPr bwMode="auto">
                    <a:xfrm>
                      <a:off x="0" y="0"/>
                      <a:ext cx="5963336" cy="6250263"/>
                    </a:xfrm>
                    <a:prstGeom prst="rect">
                      <a:avLst/>
                    </a:prstGeom>
                    <a:ln>
                      <a:noFill/>
                    </a:ln>
                    <a:extLst>
                      <a:ext uri="{53640926-AAD7-44D8-BBD7-CCE9431645EC}">
                        <a14:shadowObscured xmlns:a14="http://schemas.microsoft.com/office/drawing/2010/main"/>
                      </a:ext>
                    </a:extLst>
                  </pic:spPr>
                </pic:pic>
              </a:graphicData>
            </a:graphic>
          </wp:inline>
        </w:drawing>
      </w:r>
    </w:p>
    <w:p w14:paraId="27963CE1" w14:textId="46FEE9B0" w:rsidR="00AB5103" w:rsidRPr="00CC4159" w:rsidRDefault="00AB5103" w:rsidP="00AB5103">
      <w:pPr>
        <w:rPr>
          <w:rFonts w:ascii="Arial" w:hAnsi="Arial" w:cs="Arial"/>
          <w:sz w:val="22"/>
          <w:szCs w:val="22"/>
        </w:rPr>
      </w:pPr>
      <w:r>
        <w:rPr>
          <w:rFonts w:ascii="Arial" w:hAnsi="Arial" w:cs="Arial"/>
          <w:b/>
          <w:bCs/>
          <w:sz w:val="22"/>
          <w:szCs w:val="22"/>
        </w:rPr>
        <w:t xml:space="preserve">Supplemental Figure </w:t>
      </w:r>
      <w:r w:rsidR="00AC35D1">
        <w:rPr>
          <w:rFonts w:ascii="Arial" w:hAnsi="Arial" w:cs="Arial"/>
          <w:b/>
          <w:bCs/>
          <w:sz w:val="22"/>
          <w:szCs w:val="22"/>
        </w:rPr>
        <w:t>3</w:t>
      </w:r>
      <w:r>
        <w:rPr>
          <w:rFonts w:ascii="Arial" w:hAnsi="Arial" w:cs="Arial"/>
          <w:b/>
          <w:bCs/>
          <w:sz w:val="22"/>
          <w:szCs w:val="22"/>
        </w:rPr>
        <w:t xml:space="preserve">.  </w:t>
      </w:r>
      <w:r w:rsidRPr="000E51BA">
        <w:rPr>
          <w:rFonts w:ascii="Arial" w:hAnsi="Arial" w:cs="Arial"/>
          <w:b/>
          <w:bCs/>
          <w:sz w:val="22"/>
          <w:szCs w:val="22"/>
        </w:rPr>
        <w:t xml:space="preserve">Defining </w:t>
      </w:r>
      <w:r>
        <w:rPr>
          <w:rFonts w:ascii="Arial" w:hAnsi="Arial" w:cs="Arial"/>
          <w:b/>
          <w:bCs/>
          <w:sz w:val="22"/>
          <w:szCs w:val="22"/>
        </w:rPr>
        <w:t>r</w:t>
      </w:r>
      <w:r w:rsidRPr="000E51BA">
        <w:rPr>
          <w:rFonts w:ascii="Arial" w:hAnsi="Arial" w:cs="Arial"/>
          <w:b/>
          <w:bCs/>
          <w:sz w:val="22"/>
          <w:szCs w:val="22"/>
        </w:rPr>
        <w:t xml:space="preserve">egions of </w:t>
      </w:r>
      <w:r>
        <w:rPr>
          <w:rFonts w:ascii="Arial" w:hAnsi="Arial" w:cs="Arial"/>
          <w:b/>
          <w:bCs/>
          <w:sz w:val="22"/>
          <w:szCs w:val="22"/>
        </w:rPr>
        <w:t>i</w:t>
      </w:r>
      <w:r w:rsidRPr="000E51BA">
        <w:rPr>
          <w:rFonts w:ascii="Arial" w:hAnsi="Arial" w:cs="Arial"/>
          <w:b/>
          <w:bCs/>
          <w:sz w:val="22"/>
          <w:szCs w:val="22"/>
        </w:rPr>
        <w:t xml:space="preserve">nterest </w:t>
      </w:r>
      <w:r>
        <w:rPr>
          <w:rFonts w:ascii="Arial" w:hAnsi="Arial" w:cs="Arial"/>
          <w:b/>
          <w:bCs/>
          <w:sz w:val="22"/>
          <w:szCs w:val="22"/>
        </w:rPr>
        <w:t>(ROIs) b</w:t>
      </w:r>
      <w:r w:rsidRPr="000E51BA">
        <w:rPr>
          <w:rFonts w:ascii="Arial" w:hAnsi="Arial" w:cs="Arial"/>
          <w:b/>
          <w:bCs/>
          <w:sz w:val="22"/>
          <w:szCs w:val="22"/>
        </w:rPr>
        <w:t>ased on 3</w:t>
      </w:r>
      <w:r>
        <w:rPr>
          <w:rFonts w:ascii="Arial" w:hAnsi="Arial" w:cs="Arial"/>
          <w:b/>
          <w:bCs/>
          <w:sz w:val="22"/>
          <w:szCs w:val="22"/>
        </w:rPr>
        <w:t>-dimensional</w:t>
      </w:r>
      <w:r w:rsidRPr="000E51BA">
        <w:rPr>
          <w:rFonts w:ascii="Arial" w:hAnsi="Arial" w:cs="Arial"/>
          <w:b/>
          <w:bCs/>
          <w:sz w:val="22"/>
          <w:szCs w:val="22"/>
        </w:rPr>
        <w:t xml:space="preserve"> </w:t>
      </w:r>
      <w:r>
        <w:rPr>
          <w:rFonts w:ascii="Arial" w:hAnsi="Arial" w:cs="Arial"/>
          <w:b/>
          <w:bCs/>
          <w:sz w:val="22"/>
          <w:szCs w:val="22"/>
        </w:rPr>
        <w:t>a</w:t>
      </w:r>
      <w:r w:rsidRPr="000E51BA">
        <w:rPr>
          <w:rFonts w:ascii="Arial" w:hAnsi="Arial" w:cs="Arial"/>
          <w:b/>
          <w:bCs/>
          <w:sz w:val="22"/>
          <w:szCs w:val="22"/>
        </w:rPr>
        <w:t xml:space="preserve">natomical </w:t>
      </w:r>
      <w:r>
        <w:rPr>
          <w:rFonts w:ascii="Arial" w:hAnsi="Arial" w:cs="Arial"/>
          <w:b/>
          <w:bCs/>
          <w:sz w:val="22"/>
          <w:szCs w:val="22"/>
        </w:rPr>
        <w:t>l</w:t>
      </w:r>
      <w:r w:rsidRPr="000E51BA">
        <w:rPr>
          <w:rFonts w:ascii="Arial" w:hAnsi="Arial" w:cs="Arial"/>
          <w:b/>
          <w:bCs/>
          <w:sz w:val="22"/>
          <w:szCs w:val="22"/>
        </w:rPr>
        <w:t>andmarks</w:t>
      </w:r>
      <w:r>
        <w:rPr>
          <w:rFonts w:ascii="Arial" w:hAnsi="Arial" w:cs="Arial"/>
          <w:b/>
          <w:bCs/>
          <w:sz w:val="22"/>
          <w:szCs w:val="22"/>
        </w:rPr>
        <w:t xml:space="preserve">.  </w:t>
      </w:r>
      <w:r>
        <w:rPr>
          <w:rFonts w:ascii="Arial" w:hAnsi="Arial" w:cs="Arial"/>
          <w:sz w:val="22"/>
          <w:szCs w:val="22"/>
        </w:rPr>
        <w:t xml:space="preserve">For consistency across hearts, ROIs were defined by anatomical landmarks in confocal microscopic image stacks of muscle autofluorescence in cleared hearts.  Left ventricular (LV) and right ventricular (RV) boundaries were carefully delineated by exclusion of the ventricular septal trabeculations </w:t>
      </w:r>
      <w:r>
        <w:rPr>
          <w:rFonts w:ascii="Arial" w:hAnsi="Arial" w:cs="Arial"/>
          <w:b/>
          <w:bCs/>
          <w:sz w:val="22"/>
          <w:szCs w:val="22"/>
        </w:rPr>
        <w:t>(a)</w:t>
      </w:r>
      <w:r>
        <w:rPr>
          <w:rFonts w:ascii="Arial" w:hAnsi="Arial" w:cs="Arial"/>
          <w:sz w:val="22"/>
          <w:szCs w:val="22"/>
        </w:rPr>
        <w:t>.  LV base and apex were delineated by drawing a line between two points: the RV septal papillary-muscle-chordae-</w:t>
      </w:r>
      <w:proofErr w:type="spellStart"/>
      <w:r>
        <w:rPr>
          <w:rFonts w:ascii="Arial" w:hAnsi="Arial" w:cs="Arial"/>
          <w:sz w:val="22"/>
          <w:szCs w:val="22"/>
        </w:rPr>
        <w:t>tendinae</w:t>
      </w:r>
      <w:proofErr w:type="spellEnd"/>
      <w:r>
        <w:rPr>
          <w:rFonts w:ascii="Arial" w:hAnsi="Arial" w:cs="Arial"/>
          <w:sz w:val="22"/>
          <w:szCs w:val="22"/>
        </w:rPr>
        <w:t xml:space="preserve"> junction and the LV anterolateral papillary-chordae junction </w:t>
      </w:r>
      <w:r>
        <w:rPr>
          <w:rFonts w:ascii="Arial" w:hAnsi="Arial" w:cs="Arial"/>
          <w:b/>
          <w:bCs/>
          <w:sz w:val="22"/>
          <w:szCs w:val="22"/>
        </w:rPr>
        <w:t>(b)</w:t>
      </w:r>
      <w:r>
        <w:rPr>
          <w:rFonts w:ascii="Arial" w:hAnsi="Arial" w:cs="Arial"/>
          <w:sz w:val="22"/>
          <w:szCs w:val="22"/>
        </w:rPr>
        <w:t xml:space="preserve">.  All myocardial infarction border zone and dense scar regions in analyzed hearts were visually confirmed to be below this line.  These delineations were then projected onto the structural image surface of the heart </w:t>
      </w:r>
      <w:r>
        <w:rPr>
          <w:rFonts w:ascii="Arial" w:hAnsi="Arial" w:cs="Arial"/>
          <w:b/>
          <w:bCs/>
          <w:sz w:val="22"/>
          <w:szCs w:val="22"/>
        </w:rPr>
        <w:t>(c)</w:t>
      </w:r>
      <w:r>
        <w:rPr>
          <w:rFonts w:ascii="Arial" w:hAnsi="Arial" w:cs="Arial"/>
          <w:sz w:val="22"/>
          <w:szCs w:val="22"/>
        </w:rPr>
        <w:t xml:space="preserve">, which, when aligned by vascular fiducials with the brightfield optical image </w:t>
      </w:r>
      <w:r>
        <w:rPr>
          <w:rFonts w:ascii="Arial" w:hAnsi="Arial" w:cs="Arial"/>
          <w:b/>
          <w:bCs/>
          <w:sz w:val="22"/>
          <w:szCs w:val="22"/>
        </w:rPr>
        <w:t>(d)</w:t>
      </w:r>
      <w:r>
        <w:rPr>
          <w:rFonts w:ascii="Arial" w:hAnsi="Arial" w:cs="Arial"/>
          <w:sz w:val="22"/>
          <w:szCs w:val="22"/>
        </w:rPr>
        <w:t>, allowed projection of the ROIs onto the functional electrical maps.  Scale bars are all 1mm.</w:t>
      </w:r>
    </w:p>
    <w:p w14:paraId="49AA496C" w14:textId="77777777" w:rsidR="00AB5103" w:rsidRDefault="00AB5103" w:rsidP="00AB5103">
      <w:pPr>
        <w:rPr>
          <w:b/>
          <w:bCs/>
        </w:rPr>
      </w:pPr>
      <w:r>
        <w:rPr>
          <w:b/>
          <w:bCs/>
        </w:rPr>
        <w:br w:type="page"/>
      </w:r>
    </w:p>
    <w:p w14:paraId="24CF8B3A" w14:textId="77777777" w:rsidR="00AB5103" w:rsidRDefault="00AB5103" w:rsidP="00AB5103">
      <w:pPr>
        <w:rPr>
          <w:b/>
          <w:bCs/>
        </w:rPr>
      </w:pPr>
      <w:r>
        <w:rPr>
          <w:b/>
          <w:bCs/>
          <w:noProof/>
        </w:rPr>
        <w:lastRenderedPageBreak/>
        <w:drawing>
          <wp:inline distT="0" distB="0" distL="0" distR="0" wp14:anchorId="72DEA603" wp14:editId="6293A74B">
            <wp:extent cx="5954400" cy="6290119"/>
            <wp:effectExtent l="0" t="0" r="1905" b="0"/>
            <wp:docPr id="9" name="Picture 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pic:nvPicPr>
                  <pic:blipFill rotWithShape="1">
                    <a:blip r:embed="rId10" cstate="print">
                      <a:extLst>
                        <a:ext uri="{28A0092B-C50C-407E-A947-70E740481C1C}">
                          <a14:useLocalDpi xmlns:a14="http://schemas.microsoft.com/office/drawing/2010/main" val="0"/>
                        </a:ext>
                      </a:extLst>
                    </a:blip>
                    <a:srcRect r="12417"/>
                    <a:stretch/>
                  </pic:blipFill>
                  <pic:spPr bwMode="auto">
                    <a:xfrm>
                      <a:off x="0" y="0"/>
                      <a:ext cx="5967847" cy="6304324"/>
                    </a:xfrm>
                    <a:prstGeom prst="rect">
                      <a:avLst/>
                    </a:prstGeom>
                    <a:ln>
                      <a:noFill/>
                    </a:ln>
                    <a:extLst>
                      <a:ext uri="{53640926-AAD7-44D8-BBD7-CCE9431645EC}">
                        <a14:shadowObscured xmlns:a14="http://schemas.microsoft.com/office/drawing/2010/main"/>
                      </a:ext>
                    </a:extLst>
                  </pic:spPr>
                </pic:pic>
              </a:graphicData>
            </a:graphic>
          </wp:inline>
        </w:drawing>
      </w:r>
    </w:p>
    <w:p w14:paraId="09847FDF" w14:textId="0FC2C439" w:rsidR="00AB5103" w:rsidRDefault="00AB5103" w:rsidP="00AB5103">
      <w:pPr>
        <w:rPr>
          <w:rFonts w:ascii="Arial" w:hAnsi="Arial" w:cs="Arial"/>
          <w:sz w:val="22"/>
          <w:szCs w:val="22"/>
        </w:rPr>
        <w:sectPr w:rsidR="00AB5103" w:rsidSect="00AB5103">
          <w:footerReference w:type="even" r:id="rId11"/>
          <w:footerReference w:type="default" r:id="rId12"/>
          <w:pgSz w:w="12240" w:h="15840"/>
          <w:pgMar w:top="1440" w:right="1440" w:bottom="1440" w:left="1440" w:header="720" w:footer="720" w:gutter="0"/>
          <w:cols w:space="720"/>
          <w:docGrid w:linePitch="360"/>
        </w:sectPr>
      </w:pPr>
      <w:r w:rsidRPr="008E5ACD">
        <w:rPr>
          <w:rFonts w:ascii="Arial" w:hAnsi="Arial" w:cs="Arial"/>
          <w:b/>
          <w:bCs/>
          <w:sz w:val="22"/>
          <w:szCs w:val="22"/>
        </w:rPr>
        <w:t xml:space="preserve">Supplemental Figure </w:t>
      </w:r>
      <w:r w:rsidR="00AC35D1">
        <w:rPr>
          <w:rFonts w:ascii="Arial" w:hAnsi="Arial" w:cs="Arial"/>
          <w:b/>
          <w:bCs/>
          <w:sz w:val="22"/>
          <w:szCs w:val="22"/>
        </w:rPr>
        <w:t>4</w:t>
      </w:r>
      <w:r w:rsidRPr="008E5ACD">
        <w:rPr>
          <w:rFonts w:ascii="Arial" w:hAnsi="Arial" w:cs="Arial"/>
          <w:b/>
          <w:bCs/>
          <w:sz w:val="22"/>
          <w:szCs w:val="22"/>
        </w:rPr>
        <w:t>.  Defining border zone and dense scar based on myofiber imaging.</w:t>
      </w:r>
      <w:r>
        <w:rPr>
          <w:rFonts w:ascii="Arial" w:hAnsi="Arial" w:cs="Arial"/>
          <w:b/>
          <w:bCs/>
          <w:sz w:val="22"/>
          <w:szCs w:val="22"/>
        </w:rPr>
        <w:t xml:space="preserve">  </w:t>
      </w:r>
      <w:r>
        <w:rPr>
          <w:rFonts w:ascii="Arial" w:hAnsi="Arial" w:cs="Arial"/>
          <w:sz w:val="22"/>
          <w:szCs w:val="22"/>
        </w:rPr>
        <w:t>To maintain structural consistency in border zone (BZ) definition across infarcted hearts, 16-bit maximum intensity projection images of 100</w:t>
      </w:r>
      <w:r w:rsidRPr="00275EB6">
        <w:rPr>
          <w:rFonts w:ascii="Arial" w:hAnsi="Arial" w:cs="Arial"/>
          <w:sz w:val="22"/>
          <w:szCs w:val="22"/>
        </w:rPr>
        <w:t>µ</w:t>
      </w:r>
      <w:r>
        <w:rPr>
          <w:rFonts w:ascii="Arial" w:hAnsi="Arial" w:cs="Arial"/>
          <w:sz w:val="22"/>
          <w:szCs w:val="22"/>
        </w:rPr>
        <w:t xml:space="preserve">m-thick epicardial shells were created </w:t>
      </w:r>
      <w:r>
        <w:rPr>
          <w:rFonts w:ascii="Arial" w:hAnsi="Arial" w:cs="Arial"/>
          <w:b/>
          <w:bCs/>
          <w:sz w:val="22"/>
          <w:szCs w:val="22"/>
        </w:rPr>
        <w:t>(a)</w:t>
      </w:r>
      <w:r>
        <w:rPr>
          <w:rFonts w:ascii="Arial" w:hAnsi="Arial" w:cs="Arial"/>
          <w:sz w:val="22"/>
          <w:szCs w:val="22"/>
        </w:rPr>
        <w:t>, and a mask was applied to define regions with &lt;100</w:t>
      </w:r>
      <w:r w:rsidRPr="00275EB6">
        <w:rPr>
          <w:rFonts w:ascii="Arial" w:hAnsi="Arial" w:cs="Arial"/>
          <w:sz w:val="22"/>
          <w:szCs w:val="22"/>
        </w:rPr>
        <w:t>µ</w:t>
      </w:r>
      <w:r>
        <w:rPr>
          <w:rFonts w:ascii="Arial" w:hAnsi="Arial" w:cs="Arial"/>
          <w:sz w:val="22"/>
          <w:szCs w:val="22"/>
        </w:rPr>
        <w:t xml:space="preserve">m-thick surviving myocardium as dense scar </w:t>
      </w:r>
      <w:r>
        <w:rPr>
          <w:rFonts w:ascii="Arial" w:hAnsi="Arial" w:cs="Arial"/>
          <w:b/>
          <w:bCs/>
          <w:sz w:val="22"/>
          <w:szCs w:val="22"/>
        </w:rPr>
        <w:t>(b)</w:t>
      </w:r>
      <w:r>
        <w:rPr>
          <w:rFonts w:ascii="Arial" w:hAnsi="Arial" w:cs="Arial"/>
          <w:sz w:val="22"/>
          <w:szCs w:val="22"/>
        </w:rPr>
        <w:t xml:space="preserve">.  A 2x2 pixel Gaussian blur was then applied to the remaining surviving myocardial image </w:t>
      </w:r>
      <w:r>
        <w:rPr>
          <w:rFonts w:ascii="Arial" w:hAnsi="Arial" w:cs="Arial"/>
          <w:b/>
          <w:bCs/>
          <w:sz w:val="22"/>
          <w:szCs w:val="22"/>
        </w:rPr>
        <w:t>(c)</w:t>
      </w:r>
      <w:r>
        <w:rPr>
          <w:rFonts w:ascii="Arial" w:hAnsi="Arial" w:cs="Arial"/>
          <w:sz w:val="22"/>
          <w:szCs w:val="22"/>
        </w:rPr>
        <w:t xml:space="preserve">, and a threshold was applied at half the maximal fluorescence intensity of the image to define the BZ.  Panel </w:t>
      </w:r>
      <w:r>
        <w:rPr>
          <w:rFonts w:ascii="Arial" w:hAnsi="Arial" w:cs="Arial"/>
          <w:b/>
          <w:bCs/>
          <w:sz w:val="22"/>
          <w:szCs w:val="22"/>
        </w:rPr>
        <w:t xml:space="preserve">(d) </w:t>
      </w:r>
      <w:r>
        <w:rPr>
          <w:rFonts w:ascii="Arial" w:hAnsi="Arial" w:cs="Arial"/>
          <w:sz w:val="22"/>
          <w:szCs w:val="22"/>
        </w:rPr>
        <w:t>shows the resulting segmentation, where the region in green is surviving myocardium above the fluorescence intensity threshold, the region in gray is below the threshold and thus defined as BZ, the dense scar is in black, and the location of the coronary ligature is in white (also excluded from quantitative analyses).  All scale bars are 1mm.</w:t>
      </w:r>
    </w:p>
    <w:p w14:paraId="0BB2C0FE" w14:textId="77777777" w:rsidR="00AB5103" w:rsidRDefault="00AB5103" w:rsidP="00AB5103">
      <w:pPr>
        <w:jc w:val="center"/>
        <w:rPr>
          <w:rFonts w:ascii="Arial" w:hAnsi="Arial" w:cs="Arial"/>
          <w:b/>
          <w:bCs/>
          <w:sz w:val="22"/>
          <w:szCs w:val="22"/>
        </w:rPr>
      </w:pPr>
      <w:r>
        <w:rPr>
          <w:rFonts w:ascii="Arial" w:hAnsi="Arial" w:cs="Arial"/>
          <w:b/>
          <w:bCs/>
          <w:noProof/>
          <w:sz w:val="22"/>
          <w:szCs w:val="22"/>
        </w:rPr>
        <w:lastRenderedPageBreak/>
        <w:drawing>
          <wp:inline distT="0" distB="0" distL="0" distR="0" wp14:anchorId="6F3A50AD" wp14:editId="4B4AC9D7">
            <wp:extent cx="7260303" cy="5116945"/>
            <wp:effectExtent l="0" t="0" r="4445" b="1270"/>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54543" cy="5183363"/>
                    </a:xfrm>
                    <a:prstGeom prst="rect">
                      <a:avLst/>
                    </a:prstGeom>
                  </pic:spPr>
                </pic:pic>
              </a:graphicData>
            </a:graphic>
          </wp:inline>
        </w:drawing>
      </w:r>
    </w:p>
    <w:p w14:paraId="07988C31" w14:textId="7053A516" w:rsidR="003D7A66" w:rsidRDefault="00AB5103" w:rsidP="00AB5103">
      <w:pPr>
        <w:rPr>
          <w:rFonts w:ascii="Arial" w:hAnsi="Arial" w:cs="Arial"/>
          <w:sz w:val="22"/>
          <w:szCs w:val="22"/>
        </w:rPr>
      </w:pPr>
      <w:r w:rsidRPr="00CF2ADD">
        <w:rPr>
          <w:rFonts w:ascii="Arial" w:hAnsi="Arial" w:cs="Arial"/>
          <w:b/>
          <w:bCs/>
          <w:sz w:val="22"/>
          <w:szCs w:val="22"/>
        </w:rPr>
        <w:t xml:space="preserve">Supplemental Figure </w:t>
      </w:r>
      <w:r w:rsidR="00AC35D1">
        <w:rPr>
          <w:rFonts w:ascii="Arial" w:hAnsi="Arial" w:cs="Arial"/>
          <w:b/>
          <w:bCs/>
          <w:sz w:val="22"/>
          <w:szCs w:val="22"/>
        </w:rPr>
        <w:t>5</w:t>
      </w:r>
      <w:r w:rsidRPr="00CF2ADD">
        <w:rPr>
          <w:rFonts w:ascii="Arial" w:hAnsi="Arial" w:cs="Arial"/>
          <w:b/>
          <w:bCs/>
          <w:sz w:val="22"/>
          <w:szCs w:val="22"/>
        </w:rPr>
        <w:t xml:space="preserve">.  Dense </w:t>
      </w:r>
      <w:r>
        <w:rPr>
          <w:rFonts w:ascii="Arial" w:hAnsi="Arial" w:cs="Arial"/>
          <w:b/>
          <w:bCs/>
          <w:sz w:val="22"/>
          <w:szCs w:val="22"/>
        </w:rPr>
        <w:t>s</w:t>
      </w:r>
      <w:r w:rsidRPr="00CF2ADD">
        <w:rPr>
          <w:rFonts w:ascii="Arial" w:hAnsi="Arial" w:cs="Arial"/>
          <w:b/>
          <w:bCs/>
          <w:sz w:val="22"/>
          <w:szCs w:val="22"/>
        </w:rPr>
        <w:t xml:space="preserve">car </w:t>
      </w:r>
      <w:r>
        <w:rPr>
          <w:rFonts w:ascii="Arial" w:hAnsi="Arial" w:cs="Arial"/>
          <w:b/>
          <w:bCs/>
          <w:sz w:val="22"/>
          <w:szCs w:val="22"/>
        </w:rPr>
        <w:t>structural d</w:t>
      </w:r>
      <w:r w:rsidRPr="00CF2ADD">
        <w:rPr>
          <w:rFonts w:ascii="Arial" w:hAnsi="Arial" w:cs="Arial"/>
          <w:b/>
          <w:bCs/>
          <w:sz w:val="22"/>
          <w:szCs w:val="22"/>
        </w:rPr>
        <w:t>ata.</w:t>
      </w:r>
      <w:r>
        <w:rPr>
          <w:rFonts w:ascii="Arial" w:hAnsi="Arial" w:cs="Arial"/>
          <w:b/>
          <w:bCs/>
          <w:sz w:val="22"/>
          <w:szCs w:val="22"/>
        </w:rPr>
        <w:t xml:space="preserve">  </w:t>
      </w:r>
      <w:r>
        <w:rPr>
          <w:rFonts w:ascii="Arial" w:hAnsi="Arial" w:cs="Arial"/>
          <w:sz w:val="22"/>
          <w:szCs w:val="22"/>
        </w:rPr>
        <w:t xml:space="preserve">We excluded regions of dense scar as defined in Supplemental Figure 4 from our quantitative structural analyses due to the negligible amount of living muscle and nerve fibers detected in these regions, as shown qualitatively by immunofluorescence in 4 cleared infarcted hearts </w:t>
      </w:r>
      <w:r>
        <w:rPr>
          <w:rFonts w:ascii="Arial" w:hAnsi="Arial" w:cs="Arial"/>
          <w:b/>
          <w:bCs/>
          <w:sz w:val="22"/>
          <w:szCs w:val="22"/>
        </w:rPr>
        <w:t>(a-b)</w:t>
      </w:r>
      <w:r>
        <w:rPr>
          <w:rFonts w:ascii="Arial" w:hAnsi="Arial" w:cs="Arial"/>
          <w:sz w:val="22"/>
          <w:szCs w:val="22"/>
        </w:rPr>
        <w:t xml:space="preserve"> and quantitatively by automated nerve fiber detection </w:t>
      </w:r>
      <w:r>
        <w:rPr>
          <w:rFonts w:ascii="Arial" w:hAnsi="Arial" w:cs="Arial"/>
          <w:b/>
          <w:bCs/>
          <w:sz w:val="22"/>
          <w:szCs w:val="22"/>
        </w:rPr>
        <w:t>(d)</w:t>
      </w:r>
      <w:r>
        <w:rPr>
          <w:rFonts w:ascii="Arial" w:hAnsi="Arial" w:cs="Arial"/>
          <w:sz w:val="22"/>
          <w:szCs w:val="22"/>
        </w:rPr>
        <w:t xml:space="preserve">.  The relative predominance of </w:t>
      </w:r>
      <w:r w:rsidR="00D94967">
        <w:rPr>
          <w:rFonts w:ascii="Arial" w:hAnsi="Arial" w:cs="Arial"/>
          <w:sz w:val="22"/>
          <w:szCs w:val="22"/>
        </w:rPr>
        <w:t>“</w:t>
      </w:r>
      <w:r>
        <w:rPr>
          <w:rFonts w:ascii="Arial" w:hAnsi="Arial" w:cs="Arial"/>
          <w:sz w:val="22"/>
          <w:szCs w:val="22"/>
        </w:rPr>
        <w:t>small fibers</w:t>
      </w:r>
      <w:r w:rsidR="00D94967">
        <w:rPr>
          <w:rFonts w:ascii="Arial" w:hAnsi="Arial" w:cs="Arial"/>
          <w:sz w:val="22"/>
          <w:szCs w:val="22"/>
        </w:rPr>
        <w:t>”</w:t>
      </w:r>
      <w:r>
        <w:rPr>
          <w:rFonts w:ascii="Arial" w:hAnsi="Arial" w:cs="Arial"/>
          <w:sz w:val="22"/>
          <w:szCs w:val="22"/>
        </w:rPr>
        <w:t xml:space="preserve"> in dense scar </w:t>
      </w:r>
      <w:r>
        <w:rPr>
          <w:rFonts w:ascii="Arial" w:hAnsi="Arial" w:cs="Arial"/>
          <w:b/>
          <w:bCs/>
          <w:sz w:val="22"/>
          <w:szCs w:val="22"/>
        </w:rPr>
        <w:t>(e)</w:t>
      </w:r>
      <w:r>
        <w:rPr>
          <w:rFonts w:ascii="Arial" w:hAnsi="Arial" w:cs="Arial"/>
          <w:sz w:val="22"/>
          <w:szCs w:val="22"/>
        </w:rPr>
        <w:t xml:space="preserve"> </w:t>
      </w:r>
      <w:r w:rsidR="00D94967">
        <w:rPr>
          <w:rFonts w:ascii="Arial" w:hAnsi="Arial" w:cs="Arial"/>
          <w:sz w:val="22"/>
          <w:szCs w:val="22"/>
        </w:rPr>
        <w:t>possibly</w:t>
      </w:r>
      <w:r>
        <w:rPr>
          <w:rFonts w:ascii="Arial" w:hAnsi="Arial" w:cs="Arial"/>
          <w:sz w:val="22"/>
          <w:szCs w:val="22"/>
        </w:rPr>
        <w:t xml:space="preserve"> reflects detection of background</w:t>
      </w:r>
      <w:r w:rsidR="00F674B3">
        <w:rPr>
          <w:rFonts w:ascii="Arial" w:hAnsi="Arial" w:cs="Arial"/>
          <w:sz w:val="22"/>
          <w:szCs w:val="22"/>
        </w:rPr>
        <w:t xml:space="preserve"> or </w:t>
      </w:r>
      <w:r>
        <w:rPr>
          <w:rFonts w:ascii="Arial" w:hAnsi="Arial" w:cs="Arial"/>
          <w:sz w:val="22"/>
          <w:szCs w:val="22"/>
        </w:rPr>
        <w:t xml:space="preserve">artifactual signal.  Scale bars in </w:t>
      </w:r>
      <w:r>
        <w:rPr>
          <w:rFonts w:ascii="Arial" w:hAnsi="Arial" w:cs="Arial"/>
          <w:b/>
          <w:bCs/>
          <w:sz w:val="22"/>
          <w:szCs w:val="22"/>
        </w:rPr>
        <w:t xml:space="preserve">(a-c) </w:t>
      </w:r>
      <w:r>
        <w:rPr>
          <w:rFonts w:ascii="Arial" w:hAnsi="Arial" w:cs="Arial"/>
          <w:sz w:val="22"/>
          <w:szCs w:val="22"/>
        </w:rPr>
        <w:t>are 100</w:t>
      </w:r>
      <w:r w:rsidRPr="00F63BEC">
        <w:rPr>
          <w:rFonts w:ascii="Arial" w:hAnsi="Arial" w:cs="Arial"/>
          <w:sz w:val="22"/>
          <w:szCs w:val="22"/>
        </w:rPr>
        <w:t>µm</w:t>
      </w:r>
      <w:r>
        <w:rPr>
          <w:rFonts w:ascii="Arial" w:hAnsi="Arial" w:cs="Arial"/>
          <w:sz w:val="22"/>
          <w:szCs w:val="22"/>
        </w:rPr>
        <w:t>.</w:t>
      </w:r>
      <w:r w:rsidR="004B1283">
        <w:rPr>
          <w:rFonts w:ascii="Arial" w:hAnsi="Arial" w:cs="Arial"/>
          <w:sz w:val="22"/>
          <w:szCs w:val="22"/>
        </w:rPr>
        <w:t xml:space="preserve">  TH=tyrosine hydroxylase.  </w:t>
      </w:r>
      <w:proofErr w:type="spellStart"/>
      <w:r w:rsidR="004B1283">
        <w:rPr>
          <w:rFonts w:ascii="Arial" w:hAnsi="Arial" w:cs="Arial"/>
          <w:sz w:val="22"/>
          <w:szCs w:val="22"/>
        </w:rPr>
        <w:t>a.u</w:t>
      </w:r>
      <w:proofErr w:type="spellEnd"/>
      <w:r w:rsidR="004B1283">
        <w:rPr>
          <w:rFonts w:ascii="Arial" w:hAnsi="Arial" w:cs="Arial"/>
          <w:sz w:val="22"/>
          <w:szCs w:val="22"/>
        </w:rPr>
        <w:t>. = arbitrary units.</w:t>
      </w:r>
    </w:p>
    <w:p w14:paraId="55CCC903" w14:textId="79C4A270" w:rsidR="00DB0AA0" w:rsidRDefault="00DB0AA0" w:rsidP="00AB5103">
      <w:pPr>
        <w:rPr>
          <w:b/>
          <w:bCs/>
        </w:rPr>
      </w:pPr>
      <w:r>
        <w:rPr>
          <w:b/>
          <w:bCs/>
          <w:noProof/>
        </w:rPr>
        <w:lastRenderedPageBreak/>
        <w:drawing>
          <wp:inline distT="0" distB="0" distL="0" distR="0" wp14:anchorId="4FAA7F7D" wp14:editId="5AE9B51A">
            <wp:extent cx="8229600" cy="3342005"/>
            <wp:effectExtent l="0" t="0" r="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29600" cy="3342005"/>
                    </a:xfrm>
                    <a:prstGeom prst="rect">
                      <a:avLst/>
                    </a:prstGeom>
                  </pic:spPr>
                </pic:pic>
              </a:graphicData>
            </a:graphic>
          </wp:inline>
        </w:drawing>
      </w:r>
    </w:p>
    <w:p w14:paraId="2C484BF0" w14:textId="77777777" w:rsidR="00DB0AA0" w:rsidRDefault="00DB0AA0" w:rsidP="00DB0AA0">
      <w:pPr>
        <w:rPr>
          <w:rFonts w:ascii="Arial" w:hAnsi="Arial" w:cs="Arial"/>
          <w:b/>
          <w:bCs/>
          <w:sz w:val="22"/>
          <w:szCs w:val="22"/>
        </w:rPr>
      </w:pPr>
    </w:p>
    <w:p w14:paraId="6C95F37A" w14:textId="4B7A493A" w:rsidR="00DB0AA0" w:rsidRDefault="00DB0AA0" w:rsidP="00DB0AA0">
      <w:pPr>
        <w:rPr>
          <w:rFonts w:ascii="Arial" w:hAnsi="Arial" w:cs="Arial"/>
          <w:sz w:val="22"/>
          <w:szCs w:val="22"/>
        </w:rPr>
        <w:sectPr w:rsidR="00DB0AA0" w:rsidSect="00AB5103">
          <w:pgSz w:w="15840" w:h="12240" w:orient="landscape"/>
          <w:pgMar w:top="1440" w:right="1440" w:bottom="1440" w:left="1440" w:header="720" w:footer="720" w:gutter="0"/>
          <w:cols w:space="720"/>
          <w:docGrid w:linePitch="360"/>
        </w:sectPr>
      </w:pPr>
      <w:r>
        <w:rPr>
          <w:rFonts w:ascii="Arial" w:hAnsi="Arial" w:cs="Arial"/>
          <w:b/>
          <w:bCs/>
          <w:sz w:val="22"/>
          <w:szCs w:val="22"/>
        </w:rPr>
        <w:t xml:space="preserve">Supplemental Figure </w:t>
      </w:r>
      <w:r w:rsidR="00AC35D1">
        <w:rPr>
          <w:rFonts w:ascii="Arial" w:hAnsi="Arial" w:cs="Arial"/>
          <w:b/>
          <w:bCs/>
          <w:sz w:val="22"/>
          <w:szCs w:val="22"/>
        </w:rPr>
        <w:t>6</w:t>
      </w:r>
      <w:r>
        <w:rPr>
          <w:rFonts w:ascii="Arial" w:hAnsi="Arial" w:cs="Arial"/>
          <w:b/>
          <w:bCs/>
          <w:sz w:val="22"/>
          <w:szCs w:val="22"/>
        </w:rPr>
        <w:t xml:space="preserve">.  </w:t>
      </w:r>
      <w:r w:rsidRPr="00807786">
        <w:rPr>
          <w:rFonts w:ascii="Arial" w:hAnsi="Arial" w:cs="Arial"/>
          <w:b/>
          <w:bCs/>
          <w:sz w:val="22"/>
          <w:szCs w:val="22"/>
        </w:rPr>
        <w:t xml:space="preserve">Validating </w:t>
      </w:r>
      <w:r>
        <w:rPr>
          <w:rFonts w:ascii="Arial" w:hAnsi="Arial" w:cs="Arial"/>
          <w:b/>
          <w:bCs/>
          <w:sz w:val="22"/>
          <w:szCs w:val="22"/>
        </w:rPr>
        <w:t xml:space="preserve">choice of </w:t>
      </w:r>
      <w:r w:rsidRPr="00807786">
        <w:rPr>
          <w:rFonts w:ascii="Arial" w:hAnsi="Arial" w:cs="Arial"/>
          <w:b/>
          <w:bCs/>
          <w:sz w:val="22"/>
          <w:szCs w:val="22"/>
        </w:rPr>
        <w:t>pre</w:t>
      </w:r>
      <w:r>
        <w:rPr>
          <w:rFonts w:ascii="Arial" w:hAnsi="Arial" w:cs="Arial"/>
          <w:b/>
          <w:bCs/>
          <w:sz w:val="22"/>
          <w:szCs w:val="22"/>
        </w:rPr>
        <w:t>-</w:t>
      </w:r>
      <w:r w:rsidRPr="00807786">
        <w:rPr>
          <w:rFonts w:ascii="Arial" w:hAnsi="Arial" w:cs="Arial"/>
          <w:b/>
          <w:bCs/>
          <w:sz w:val="22"/>
          <w:szCs w:val="22"/>
        </w:rPr>
        <w:t xml:space="preserve"> and post</w:t>
      </w:r>
      <w:r>
        <w:rPr>
          <w:rFonts w:ascii="Arial" w:hAnsi="Arial" w:cs="Arial"/>
          <w:b/>
          <w:bCs/>
          <w:sz w:val="22"/>
          <w:szCs w:val="22"/>
        </w:rPr>
        <w:t>-</w:t>
      </w:r>
      <w:r w:rsidRPr="00807786">
        <w:rPr>
          <w:rFonts w:ascii="Arial" w:hAnsi="Arial" w:cs="Arial"/>
          <w:b/>
          <w:bCs/>
          <w:sz w:val="22"/>
          <w:szCs w:val="22"/>
        </w:rPr>
        <w:t xml:space="preserve"> tyramine time points</w:t>
      </w:r>
      <w:r>
        <w:rPr>
          <w:rFonts w:ascii="Arial" w:hAnsi="Arial" w:cs="Arial"/>
          <w:b/>
          <w:bCs/>
          <w:sz w:val="22"/>
          <w:szCs w:val="22"/>
        </w:rPr>
        <w:t xml:space="preserve"> for action potential duration (APD) analyses.</w:t>
      </w:r>
      <w:r>
        <w:rPr>
          <w:rFonts w:ascii="Arial" w:hAnsi="Arial" w:cs="Arial"/>
          <w:sz w:val="22"/>
          <w:szCs w:val="22"/>
        </w:rPr>
        <w:t xml:space="preserve">  To avoid potentially confounding </w:t>
      </w:r>
      <w:proofErr w:type="spellStart"/>
      <w:r>
        <w:rPr>
          <w:rFonts w:ascii="Arial" w:hAnsi="Arial" w:cs="Arial"/>
          <w:sz w:val="22"/>
          <w:szCs w:val="22"/>
        </w:rPr>
        <w:t>neuromodulatory</w:t>
      </w:r>
      <w:proofErr w:type="spellEnd"/>
      <w:r>
        <w:rPr>
          <w:rFonts w:ascii="Arial" w:hAnsi="Arial" w:cs="Arial"/>
          <w:sz w:val="22"/>
          <w:szCs w:val="22"/>
        </w:rPr>
        <w:t xml:space="preserve"> effects of pacing, we chose to analyze tyramine-mediated APD changes in sinus rhythm.  We found that in all our ventricular APD maps, there was a global increase in 80% of APD (APD</w:t>
      </w:r>
      <w:r>
        <w:rPr>
          <w:rFonts w:ascii="Arial" w:hAnsi="Arial" w:cs="Arial"/>
          <w:sz w:val="22"/>
          <w:szCs w:val="22"/>
          <w:vertAlign w:val="subscript"/>
        </w:rPr>
        <w:t>80</w:t>
      </w:r>
      <w:r>
        <w:rPr>
          <w:rFonts w:ascii="Arial" w:hAnsi="Arial" w:cs="Arial"/>
          <w:sz w:val="22"/>
          <w:szCs w:val="22"/>
        </w:rPr>
        <w:t xml:space="preserve">) prior to an increase in heart rate (HR), at approximately 1 minute after 5 </w:t>
      </w:r>
      <w:r w:rsidRPr="00F63BEC">
        <w:rPr>
          <w:rFonts w:ascii="Arial" w:hAnsi="Arial" w:cs="Arial"/>
          <w:sz w:val="22"/>
          <w:szCs w:val="22"/>
        </w:rPr>
        <w:t>µ</w:t>
      </w:r>
      <w:r>
        <w:rPr>
          <w:rFonts w:ascii="Arial" w:hAnsi="Arial" w:cs="Arial"/>
          <w:sz w:val="22"/>
          <w:szCs w:val="22"/>
        </w:rPr>
        <w:t xml:space="preserve">M tyramine infusion, with representative data shown in </w:t>
      </w:r>
      <w:r>
        <w:rPr>
          <w:rFonts w:ascii="Arial" w:hAnsi="Arial" w:cs="Arial"/>
          <w:b/>
          <w:bCs/>
          <w:sz w:val="22"/>
          <w:szCs w:val="22"/>
        </w:rPr>
        <w:t xml:space="preserve">(a) </w:t>
      </w:r>
      <w:r>
        <w:rPr>
          <w:rFonts w:ascii="Arial" w:hAnsi="Arial" w:cs="Arial"/>
          <w:sz w:val="22"/>
          <w:szCs w:val="22"/>
        </w:rPr>
        <w:t xml:space="preserve">and </w:t>
      </w:r>
      <w:r>
        <w:rPr>
          <w:rFonts w:ascii="Arial" w:hAnsi="Arial" w:cs="Arial"/>
          <w:b/>
          <w:bCs/>
          <w:sz w:val="22"/>
          <w:szCs w:val="22"/>
        </w:rPr>
        <w:t>(b)</w:t>
      </w:r>
      <w:r>
        <w:rPr>
          <w:rFonts w:ascii="Arial" w:hAnsi="Arial" w:cs="Arial"/>
          <w:sz w:val="22"/>
          <w:szCs w:val="22"/>
        </w:rPr>
        <w:t xml:space="preserve">.  This increase suggests that tyramine has a myocardial effect prior to its nodal effect and was statistically significant across all the sham hearts we mapped for this study </w:t>
      </w:r>
      <w:r>
        <w:rPr>
          <w:rFonts w:ascii="Arial" w:hAnsi="Arial" w:cs="Arial"/>
          <w:b/>
          <w:bCs/>
          <w:sz w:val="22"/>
          <w:szCs w:val="22"/>
        </w:rPr>
        <w:t xml:space="preserve">(c) </w:t>
      </w:r>
      <w:r>
        <w:rPr>
          <w:rFonts w:ascii="Arial" w:hAnsi="Arial" w:cs="Arial"/>
          <w:sz w:val="22"/>
          <w:szCs w:val="22"/>
        </w:rPr>
        <w:t>(Wilcoxon p=0.0312, n=6 mice).  Thus we defined pre- and post- tyramine timepoints of APD analyses as immediately before, and approximately 1 minute following, the start of tyramine infusion, just prior to HR increase.</w:t>
      </w:r>
    </w:p>
    <w:p w14:paraId="7D7F69F4" w14:textId="77777777" w:rsidR="006E030D" w:rsidRDefault="006E030D" w:rsidP="006E030D">
      <w:pPr>
        <w:rPr>
          <w:b/>
          <w:bCs/>
        </w:rPr>
      </w:pPr>
      <w:r>
        <w:rPr>
          <w:b/>
          <w:bCs/>
          <w:noProof/>
        </w:rPr>
        <w:lastRenderedPageBreak/>
        <w:drawing>
          <wp:inline distT="0" distB="0" distL="0" distR="0" wp14:anchorId="48BB0A2D" wp14:editId="4A824B32">
            <wp:extent cx="4770845" cy="7330190"/>
            <wp:effectExtent l="0" t="0" r="444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4363" cy="7350960"/>
                    </a:xfrm>
                    <a:prstGeom prst="rect">
                      <a:avLst/>
                    </a:prstGeom>
                  </pic:spPr>
                </pic:pic>
              </a:graphicData>
            </a:graphic>
          </wp:inline>
        </w:drawing>
      </w:r>
    </w:p>
    <w:p w14:paraId="5019A0B8" w14:textId="2440E541" w:rsidR="006E030D" w:rsidRDefault="006E030D" w:rsidP="00AC35D1">
      <w:pPr>
        <w:spacing w:before="240"/>
        <w:rPr>
          <w:rFonts w:ascii="Arial" w:hAnsi="Arial" w:cs="Arial"/>
          <w:b/>
          <w:bCs/>
          <w:sz w:val="22"/>
          <w:szCs w:val="22"/>
        </w:rPr>
        <w:sectPr w:rsidR="006E030D" w:rsidSect="006E030D">
          <w:pgSz w:w="12240" w:h="15840"/>
          <w:pgMar w:top="1440" w:right="1440" w:bottom="1440" w:left="1440" w:header="720" w:footer="720" w:gutter="0"/>
          <w:cols w:space="720"/>
          <w:docGrid w:linePitch="360"/>
        </w:sectPr>
      </w:pPr>
      <w:r w:rsidRPr="00F21EA8">
        <w:rPr>
          <w:rFonts w:ascii="Arial" w:hAnsi="Arial" w:cs="Arial"/>
          <w:b/>
          <w:bCs/>
          <w:sz w:val="22"/>
          <w:szCs w:val="22"/>
        </w:rPr>
        <w:t xml:space="preserve">Supplemental Figure </w:t>
      </w:r>
      <w:r w:rsidR="003D7A66">
        <w:rPr>
          <w:rFonts w:ascii="Arial" w:hAnsi="Arial" w:cs="Arial"/>
          <w:b/>
          <w:bCs/>
          <w:sz w:val="22"/>
          <w:szCs w:val="22"/>
        </w:rPr>
        <w:t>7</w:t>
      </w:r>
      <w:r w:rsidRPr="00F21EA8">
        <w:rPr>
          <w:rFonts w:ascii="Arial" w:hAnsi="Arial" w:cs="Arial"/>
          <w:b/>
          <w:bCs/>
          <w:sz w:val="22"/>
          <w:szCs w:val="22"/>
        </w:rPr>
        <w:t>.  Light penetration measurements to calculate</w:t>
      </w:r>
      <w:r>
        <w:rPr>
          <w:rFonts w:ascii="Arial" w:hAnsi="Arial" w:cs="Arial"/>
          <w:b/>
          <w:bCs/>
          <w:sz w:val="22"/>
          <w:szCs w:val="22"/>
        </w:rPr>
        <w:t xml:space="preserve"> epicardial</w:t>
      </w:r>
      <w:r w:rsidRPr="00F21EA8">
        <w:rPr>
          <w:rFonts w:ascii="Arial" w:hAnsi="Arial" w:cs="Arial"/>
          <w:b/>
          <w:bCs/>
          <w:sz w:val="22"/>
          <w:szCs w:val="22"/>
        </w:rPr>
        <w:t xml:space="preserve"> shell depth</w:t>
      </w:r>
      <w:r>
        <w:rPr>
          <w:b/>
          <w:bCs/>
        </w:rPr>
        <w:t xml:space="preserve">.  </w:t>
      </w:r>
      <w:r>
        <w:rPr>
          <w:rFonts w:ascii="Arial" w:hAnsi="Arial" w:cs="Arial"/>
          <w:sz w:val="22"/>
          <w:szCs w:val="22"/>
        </w:rPr>
        <w:t xml:space="preserve">To ensure structural image features were extracted from the same depth as optical action potential (AP) signals, we empirically determined the depth of AP signals from our optical mapping system by measuring light penetration through myocardial tissue slices of varying </w:t>
      </w:r>
      <w:r>
        <w:rPr>
          <w:rFonts w:ascii="Arial" w:hAnsi="Arial" w:cs="Arial"/>
          <w:sz w:val="22"/>
          <w:szCs w:val="22"/>
        </w:rPr>
        <w:lastRenderedPageBreak/>
        <w:t xml:space="preserve">thicknesses </w:t>
      </w:r>
      <w:r w:rsidRPr="00C17B73">
        <w:rPr>
          <w:rFonts w:ascii="Arial" w:hAnsi="Arial" w:cs="Arial"/>
          <w:b/>
          <w:bCs/>
          <w:sz w:val="22"/>
          <w:szCs w:val="22"/>
        </w:rPr>
        <w:t>(</w:t>
      </w:r>
      <w:r>
        <w:rPr>
          <w:rFonts w:ascii="Arial" w:hAnsi="Arial" w:cs="Arial"/>
          <w:b/>
          <w:bCs/>
          <w:sz w:val="22"/>
          <w:szCs w:val="22"/>
        </w:rPr>
        <w:t>a)</w:t>
      </w:r>
      <w:r>
        <w:rPr>
          <w:rFonts w:ascii="Arial" w:hAnsi="Arial" w:cs="Arial"/>
          <w:sz w:val="22"/>
          <w:szCs w:val="22"/>
        </w:rPr>
        <w:t xml:space="preserve">.  First, we plotted the relationship of different excitation light power settings to the detected signal and noise amplitude from 2 hearts </w:t>
      </w:r>
      <w:r>
        <w:rPr>
          <w:rFonts w:ascii="Arial" w:hAnsi="Arial" w:cs="Arial"/>
          <w:b/>
          <w:bCs/>
          <w:sz w:val="22"/>
          <w:szCs w:val="22"/>
        </w:rPr>
        <w:t>(b)</w:t>
      </w:r>
      <w:r>
        <w:rPr>
          <w:rFonts w:ascii="Arial" w:hAnsi="Arial" w:cs="Arial"/>
          <w:sz w:val="22"/>
          <w:szCs w:val="22"/>
        </w:rPr>
        <w:t xml:space="preserve">.  With this plot, we used exponential regression to determine the excitation light power at which the resulting signal amplitude is equal to the noise amplitude generated by the maximal light power setting.  Next, we measured the penetrating light power through normal </w:t>
      </w:r>
      <w:r>
        <w:rPr>
          <w:rFonts w:ascii="Arial" w:hAnsi="Arial" w:cs="Arial"/>
          <w:b/>
          <w:bCs/>
          <w:sz w:val="22"/>
          <w:szCs w:val="22"/>
        </w:rPr>
        <w:t>(c)</w:t>
      </w:r>
      <w:r>
        <w:rPr>
          <w:rFonts w:ascii="Arial" w:hAnsi="Arial" w:cs="Arial"/>
          <w:sz w:val="22"/>
          <w:szCs w:val="22"/>
        </w:rPr>
        <w:t xml:space="preserve"> and infarcted </w:t>
      </w:r>
      <w:r>
        <w:rPr>
          <w:rFonts w:ascii="Arial" w:hAnsi="Arial" w:cs="Arial"/>
          <w:b/>
          <w:bCs/>
          <w:sz w:val="22"/>
          <w:szCs w:val="22"/>
        </w:rPr>
        <w:t>(d)</w:t>
      </w:r>
      <w:r>
        <w:rPr>
          <w:rFonts w:ascii="Arial" w:hAnsi="Arial" w:cs="Arial"/>
          <w:sz w:val="22"/>
          <w:szCs w:val="22"/>
        </w:rPr>
        <w:t xml:space="preserve"> anterior LV tissue slices of different thicknesses, which displayed expected exponential decay curves per Beer’s Law.  Finally, we used exponential regression to calculate the tissue depth at which the light power calculated from </w:t>
      </w:r>
      <w:r>
        <w:rPr>
          <w:rFonts w:ascii="Arial" w:hAnsi="Arial" w:cs="Arial"/>
          <w:b/>
          <w:bCs/>
          <w:sz w:val="22"/>
          <w:szCs w:val="22"/>
        </w:rPr>
        <w:t>(b)</w:t>
      </w:r>
      <w:r>
        <w:rPr>
          <w:rFonts w:ascii="Arial" w:hAnsi="Arial" w:cs="Arial"/>
          <w:sz w:val="22"/>
          <w:szCs w:val="22"/>
        </w:rPr>
        <w:t xml:space="preserve"> occurs.  This was approximately 100</w:t>
      </w:r>
      <w:r w:rsidRPr="00F63BEC">
        <w:rPr>
          <w:rFonts w:ascii="Arial" w:hAnsi="Arial" w:cs="Arial"/>
          <w:sz w:val="22"/>
          <w:szCs w:val="22"/>
        </w:rPr>
        <w:t>µm</w:t>
      </w:r>
      <w:r>
        <w:rPr>
          <w:rFonts w:ascii="Arial" w:hAnsi="Arial" w:cs="Arial"/>
          <w:sz w:val="22"/>
          <w:szCs w:val="22"/>
        </w:rPr>
        <w:t xml:space="preserve"> deep, when correction is applied for tissue shrinkage during modified immunolabeling-enabled 3-dimensional imaging of solvent-cleared organs (</w:t>
      </w:r>
      <w:proofErr w:type="spellStart"/>
      <w:r>
        <w:rPr>
          <w:rFonts w:ascii="Arial" w:hAnsi="Arial" w:cs="Arial"/>
          <w:sz w:val="22"/>
          <w:szCs w:val="22"/>
        </w:rPr>
        <w:t>iDISCO</w:t>
      </w:r>
      <w:proofErr w:type="spellEnd"/>
      <w:r>
        <w:rPr>
          <w:rFonts w:ascii="Arial" w:hAnsi="Arial" w:cs="Arial"/>
          <w:sz w:val="22"/>
          <w:szCs w:val="22"/>
        </w:rPr>
        <w:t xml:space="preserve">).  Since this is the depth where the </w:t>
      </w:r>
      <w:r w:rsidR="007708D6">
        <w:rPr>
          <w:rFonts w:ascii="Arial" w:hAnsi="Arial" w:cs="Arial"/>
          <w:sz w:val="22"/>
          <w:szCs w:val="22"/>
        </w:rPr>
        <w:t xml:space="preserve">penetrating </w:t>
      </w:r>
      <w:r>
        <w:rPr>
          <w:rFonts w:ascii="Arial" w:hAnsi="Arial" w:cs="Arial"/>
          <w:sz w:val="22"/>
          <w:szCs w:val="22"/>
        </w:rPr>
        <w:t xml:space="preserve">light power can only generate a signal amplitude equal to the noise amplitude at the surface, we defined this as our structural shell depth.  </w:t>
      </w:r>
    </w:p>
    <w:p w14:paraId="2FFC33FB" w14:textId="3B2F56C8" w:rsidR="0002157B" w:rsidRPr="00F8786B" w:rsidRDefault="0002157B" w:rsidP="0002157B">
      <w:pPr>
        <w:rPr>
          <w:rFonts w:ascii="Arial" w:hAnsi="Arial" w:cs="Arial"/>
          <w:noProof/>
          <w:sz w:val="22"/>
          <w:szCs w:val="22"/>
        </w:rPr>
      </w:pPr>
      <w:r w:rsidRPr="00574FCE">
        <w:rPr>
          <w:rFonts w:ascii="Arial" w:hAnsi="Arial" w:cs="Arial"/>
          <w:b/>
          <w:bCs/>
          <w:noProof/>
          <w:sz w:val="22"/>
          <w:szCs w:val="22"/>
        </w:rPr>
        <w:lastRenderedPageBreak/>
        <w:t>Supplemental Movie 1.</w:t>
      </w:r>
      <w:r w:rsidR="00F8786B">
        <w:rPr>
          <w:rFonts w:ascii="Arial" w:hAnsi="Arial" w:cs="Arial"/>
          <w:b/>
          <w:bCs/>
          <w:noProof/>
          <w:sz w:val="22"/>
          <w:szCs w:val="22"/>
        </w:rPr>
        <w:t xml:space="preserve"> </w:t>
      </w:r>
      <w:r w:rsidRPr="00574FCE">
        <w:rPr>
          <w:rFonts w:ascii="Arial" w:hAnsi="Arial" w:cs="Arial"/>
          <w:b/>
          <w:bCs/>
          <w:noProof/>
          <w:sz w:val="22"/>
          <w:szCs w:val="22"/>
        </w:rPr>
        <w:t xml:space="preserve"> Dense scar with surviving myocytes mostly on endocardial side.</w:t>
      </w:r>
      <w:r w:rsidR="00F8786B">
        <w:rPr>
          <w:rFonts w:ascii="Arial" w:hAnsi="Arial" w:cs="Arial"/>
          <w:b/>
          <w:bCs/>
          <w:noProof/>
          <w:sz w:val="22"/>
          <w:szCs w:val="22"/>
        </w:rPr>
        <w:t xml:space="preserve">  </w:t>
      </w:r>
      <w:r w:rsidR="00523B4D">
        <w:rPr>
          <w:rFonts w:ascii="Arial" w:hAnsi="Arial" w:cs="Arial"/>
          <w:noProof/>
          <w:sz w:val="22"/>
          <w:szCs w:val="22"/>
        </w:rPr>
        <w:t xml:space="preserve">Cleared heart showing 3-dimensional dense scar structure.  </w:t>
      </w:r>
      <w:r w:rsidR="00F8786B">
        <w:rPr>
          <w:rFonts w:ascii="Arial" w:hAnsi="Arial" w:cs="Arial"/>
          <w:noProof/>
          <w:sz w:val="22"/>
          <w:szCs w:val="22"/>
        </w:rPr>
        <w:t>In addition to excluding structural data from dense scar regions, we also excluded optical mapping data, as most of the surviving myocytes in this region were on the endocardial surface and thus not contiguous with the epicardial shell we used for our quantitative analyses.</w:t>
      </w:r>
      <w:r w:rsidR="0047423C">
        <w:rPr>
          <w:rFonts w:ascii="Arial" w:hAnsi="Arial" w:cs="Arial"/>
          <w:noProof/>
          <w:sz w:val="22"/>
          <w:szCs w:val="22"/>
        </w:rPr>
        <w:t xml:space="preserve">  TH = tyrosine hydroxylase, NFH = neurofilament heavy</w:t>
      </w:r>
      <w:r w:rsidR="001124FE">
        <w:rPr>
          <w:rFonts w:ascii="Arial" w:hAnsi="Arial" w:cs="Arial"/>
          <w:noProof/>
          <w:sz w:val="22"/>
          <w:szCs w:val="22"/>
        </w:rPr>
        <w:t xml:space="preserve"> (</w:t>
      </w:r>
      <w:r w:rsidR="00BA2CF0">
        <w:rPr>
          <w:rFonts w:ascii="Arial" w:hAnsi="Arial" w:cs="Arial"/>
          <w:noProof/>
          <w:sz w:val="22"/>
          <w:szCs w:val="22"/>
        </w:rPr>
        <w:t xml:space="preserve">1:200, </w:t>
      </w:r>
      <w:r w:rsidR="001124FE">
        <w:rPr>
          <w:rFonts w:ascii="Arial" w:hAnsi="Arial" w:cs="Arial"/>
          <w:noProof/>
          <w:sz w:val="22"/>
          <w:szCs w:val="22"/>
        </w:rPr>
        <w:t>Sigma-Aldrich, AB5539)</w:t>
      </w:r>
      <w:r w:rsidR="0047423C">
        <w:rPr>
          <w:rFonts w:ascii="Arial" w:hAnsi="Arial" w:cs="Arial"/>
          <w:noProof/>
          <w:sz w:val="22"/>
          <w:szCs w:val="22"/>
        </w:rPr>
        <w:t>.</w:t>
      </w:r>
    </w:p>
    <w:p w14:paraId="7962EAB0" w14:textId="5F2F4255" w:rsidR="0002157B" w:rsidRDefault="00D907D3" w:rsidP="0002157B">
      <w:pPr>
        <w:rPr>
          <w:b/>
          <w:bCs/>
          <w:noProof/>
        </w:rPr>
      </w:pPr>
      <w:r w:rsidRPr="00166837">
        <w:rPr>
          <w:b/>
          <w:bCs/>
          <w:noProof/>
        </w:rPr>
        <mc:AlternateContent>
          <mc:Choice Requires="wps">
            <w:drawing>
              <wp:anchor distT="0" distB="0" distL="114300" distR="114300" simplePos="0" relativeHeight="251661312" behindDoc="0" locked="0" layoutInCell="1" allowOverlap="1" wp14:anchorId="2AE85CEB" wp14:editId="34895204">
                <wp:simplePos x="0" y="0"/>
                <wp:positionH relativeFrom="column">
                  <wp:posOffset>72000</wp:posOffset>
                </wp:positionH>
                <wp:positionV relativeFrom="paragraph">
                  <wp:posOffset>188071</wp:posOffset>
                </wp:positionV>
                <wp:extent cx="2635200" cy="1015200"/>
                <wp:effectExtent l="0" t="0" r="0" b="0"/>
                <wp:wrapNone/>
                <wp:docPr id="11" name="TextBox 10">
                  <a:extLst xmlns:a="http://schemas.openxmlformats.org/drawingml/2006/main">
                    <a:ext uri="{FF2B5EF4-FFF2-40B4-BE49-F238E27FC236}">
                      <a16:creationId xmlns:a16="http://schemas.microsoft.com/office/drawing/2014/main" id="{D219664E-3843-416D-958E-682354C36B8E}"/>
                    </a:ext>
                  </a:extLst>
                </wp:docPr>
                <wp:cNvGraphicFramePr/>
                <a:graphic xmlns:a="http://schemas.openxmlformats.org/drawingml/2006/main">
                  <a:graphicData uri="http://schemas.microsoft.com/office/word/2010/wordprocessingShape">
                    <wps:wsp>
                      <wps:cNvSpPr txBox="1"/>
                      <wps:spPr>
                        <a:xfrm>
                          <a:off x="0" y="0"/>
                          <a:ext cx="2635200" cy="1015200"/>
                        </a:xfrm>
                        <a:prstGeom prst="rect">
                          <a:avLst/>
                        </a:prstGeom>
                        <a:noFill/>
                      </wps:spPr>
                      <wps:txbx>
                        <w:txbxContent>
                          <w:p w14:paraId="44579682" w14:textId="3C8175D6" w:rsidR="0002157B" w:rsidRDefault="0002157B" w:rsidP="0002157B">
                            <w:r>
                              <w:rPr>
                                <w:rFonts w:hAnsi="Calibri"/>
                                <w:color w:val="00B050"/>
                                <w:kern w:val="24"/>
                                <w:sz w:val="36"/>
                                <w:szCs w:val="36"/>
                              </w:rPr>
                              <w:t>Muscle</w:t>
                            </w:r>
                            <w:r w:rsidR="00D907D3">
                              <w:rPr>
                                <w:rFonts w:hAnsi="Calibri"/>
                                <w:color w:val="00B050"/>
                                <w:kern w:val="24"/>
                                <w:sz w:val="36"/>
                                <w:szCs w:val="36"/>
                              </w:rPr>
                              <w:t xml:space="preserve"> autofluorescence</w:t>
                            </w:r>
                          </w:p>
                          <w:p w14:paraId="6F35C56D" w14:textId="77777777" w:rsidR="0002157B" w:rsidRDefault="0002157B" w:rsidP="0002157B">
                            <w:r>
                              <w:rPr>
                                <w:rFonts w:hAnsi="Calibri"/>
                                <w:color w:val="FF0000"/>
                                <w:kern w:val="24"/>
                                <w:sz w:val="36"/>
                                <w:szCs w:val="36"/>
                              </w:rPr>
                              <w:t>NFH</w:t>
                            </w:r>
                          </w:p>
                          <w:p w14:paraId="7CE3DC62" w14:textId="77777777" w:rsidR="0002157B" w:rsidRDefault="0002157B" w:rsidP="0002157B">
                            <w:r>
                              <w:rPr>
                                <w:rFonts w:hAnsi="Calibri"/>
                                <w:color w:val="FF00FF"/>
                                <w:kern w:val="24"/>
                                <w:sz w:val="36"/>
                                <w:szCs w:val="36"/>
                              </w:rPr>
                              <w:t>TH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AE85CEB" id="_x0000_t202" coordsize="21600,21600" o:spt="202" path="m,l,21600r21600,l21600,xe">
                <v:stroke joinstyle="miter"/>
                <v:path gradientshapeok="t" o:connecttype="rect"/>
              </v:shapetype>
              <v:shape id="TextBox 10" o:spid="_x0000_s1026" type="#_x0000_t202" style="position:absolute;margin-left:5.65pt;margin-top:14.8pt;width:207.5pt;height:7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" filled="f" stroked="f">
                <v:textbox>
                  <w:txbxContent>
                    <w:p w14:paraId="44579682" w14:textId="3C8175D6" w:rsidR="0002157B" w:rsidRDefault="0002157B" w:rsidP="0002157B">
                      <w:r>
                        <w:rPr>
                          <w:rFonts w:hAnsi="Calibri"/>
                          <w:color w:val="00B050"/>
                          <w:kern w:val="24"/>
                          <w:sz w:val="36"/>
                          <w:szCs w:val="36"/>
                        </w:rPr>
                        <w:t>Muscle</w:t>
                      </w:r>
                      <w:r w:rsidR="00D907D3">
                        <w:rPr>
                          <w:rFonts w:hAnsi="Calibri"/>
                          <w:color w:val="00B050"/>
                          <w:kern w:val="24"/>
                          <w:sz w:val="36"/>
                          <w:szCs w:val="36"/>
                        </w:rPr>
                        <w:t xml:space="preserve"> autofluorescence</w:t>
                      </w:r>
                    </w:p>
                    <w:p w14:paraId="6F35C56D" w14:textId="77777777" w:rsidR="0002157B" w:rsidRDefault="0002157B" w:rsidP="0002157B">
                      <w:r>
                        <w:rPr>
                          <w:rFonts w:hAnsi="Calibri"/>
                          <w:color w:val="FF0000"/>
                          <w:kern w:val="24"/>
                          <w:sz w:val="36"/>
                          <w:szCs w:val="36"/>
                        </w:rPr>
                        <w:t>NFH</w:t>
                      </w:r>
                    </w:p>
                    <w:p w14:paraId="7CE3DC62" w14:textId="77777777" w:rsidR="0002157B" w:rsidRDefault="0002157B" w:rsidP="0002157B">
                      <w:r>
                        <w:rPr>
                          <w:rFonts w:hAnsi="Calibri"/>
                          <w:color w:val="FF00FF"/>
                          <w:kern w:val="24"/>
                          <w:sz w:val="36"/>
                          <w:szCs w:val="36"/>
                        </w:rPr>
                        <w:t>TH</w:t>
                      </w:r>
                    </w:p>
                  </w:txbxContent>
                </v:textbox>
              </v:shape>
            </w:pict>
          </mc:Fallback>
        </mc:AlternateContent>
      </w:r>
    </w:p>
    <w:p w14:paraId="62D25F37" w14:textId="611D0B89" w:rsidR="0002157B" w:rsidRPr="009720D5" w:rsidRDefault="0002157B" w:rsidP="0002157B">
      <w:pPr>
        <w:rPr>
          <w:b/>
          <w:bCs/>
          <w:noProof/>
        </w:rPr>
      </w:pPr>
      <w:r w:rsidRPr="00166837">
        <w:rPr>
          <w:b/>
          <w:bCs/>
          <w:noProof/>
        </w:rPr>
        <w:drawing>
          <wp:anchor distT="0" distB="0" distL="114300" distR="114300" simplePos="0" relativeHeight="251659264" behindDoc="0" locked="0" layoutInCell="1" allowOverlap="1" wp14:anchorId="73310BAE" wp14:editId="3B9A169C">
            <wp:simplePos x="0" y="0"/>
            <wp:positionH relativeFrom="column">
              <wp:posOffset>69850</wp:posOffset>
            </wp:positionH>
            <wp:positionV relativeFrom="paragraph">
              <wp:posOffset>-635</wp:posOffset>
            </wp:positionV>
            <wp:extent cx="4983508" cy="5968721"/>
            <wp:effectExtent l="0" t="0" r="0" b="635"/>
            <wp:wrapNone/>
            <wp:docPr id="8" name="MI29_Infarct" descr="A leaf on a black background&#10;&#10;Description automatically generated with medium confidence">
              <a:hlinkClick xmlns:a="http://schemas.openxmlformats.org/drawingml/2006/main" r:id="" action="ppaction://media"/>
              <a:extLst xmlns:a="http://schemas.openxmlformats.org/drawingml/2006/main">
                <a:ext uri="{FF2B5EF4-FFF2-40B4-BE49-F238E27FC236}">
                  <a16:creationId xmlns:a16="http://schemas.microsoft.com/office/drawing/2014/main" id="{1FF84021-8463-4B10-BC46-1E1B8E39FA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29_Infarct" descr="A leaf on a black background&#10;&#10;Description automatically generated with medium confidence">
                      <a:hlinkClick r:id="" action="ppaction://media"/>
                      <a:extLst>
                        <a:ext uri="{FF2B5EF4-FFF2-40B4-BE49-F238E27FC236}">
                          <a16:creationId xmlns:a16="http://schemas.microsoft.com/office/drawing/2014/main" id="{1FF84021-8463-4B10-BC46-1E1B8E39FA0C}"/>
                        </a:ext>
                      </a:extLst>
                    </pic:cNvPr>
                    <pic:cNvPicPr>
                      <a:picLocks noChangeAspect="1"/>
                    </pic:cNvPicPr>
                  </pic:nvPicPr>
                  <pic:blipFill rotWithShape="1">
                    <a:blip r:embed="rId16"/>
                    <a:srcRect l="30608" r="32409" b="1311"/>
                    <a:stretch/>
                  </pic:blipFill>
                  <pic:spPr>
                    <a:xfrm>
                      <a:off x="0" y="0"/>
                      <a:ext cx="4983508" cy="5968721"/>
                    </a:xfrm>
                    <a:prstGeom prst="rect">
                      <a:avLst/>
                    </a:prstGeom>
                  </pic:spPr>
                </pic:pic>
              </a:graphicData>
            </a:graphic>
          </wp:anchor>
        </w:drawing>
      </w:r>
    </w:p>
    <w:p w14:paraId="3B9BB5CB" w14:textId="32505E70" w:rsidR="009A14AD" w:rsidRDefault="00D907D3">
      <w:r w:rsidRPr="00166837">
        <w:rPr>
          <w:b/>
          <w:bCs/>
          <w:noProof/>
        </w:rPr>
        <mc:AlternateContent>
          <mc:Choice Requires="wps">
            <w:drawing>
              <wp:anchor distT="0" distB="0" distL="114300" distR="114300" simplePos="0" relativeHeight="251660288" behindDoc="0" locked="0" layoutInCell="1" allowOverlap="1" wp14:anchorId="21623704" wp14:editId="6D789B67">
                <wp:simplePos x="0" y="0"/>
                <wp:positionH relativeFrom="column">
                  <wp:posOffset>72000</wp:posOffset>
                </wp:positionH>
                <wp:positionV relativeFrom="paragraph">
                  <wp:posOffset>5310155</wp:posOffset>
                </wp:positionV>
                <wp:extent cx="3844962" cy="461665"/>
                <wp:effectExtent l="0" t="0" r="0" b="0"/>
                <wp:wrapNone/>
                <wp:docPr id="6" name="TextBox 6"/>
                <wp:cNvGraphicFramePr/>
                <a:graphic xmlns:a="http://schemas.openxmlformats.org/drawingml/2006/main">
                  <a:graphicData uri="http://schemas.microsoft.com/office/word/2010/wordprocessingShape">
                    <wps:wsp>
                      <wps:cNvSpPr txBox="1"/>
                      <wps:spPr>
                        <a:xfrm>
                          <a:off x="0" y="0"/>
                          <a:ext cx="3844962" cy="461665"/>
                        </a:xfrm>
                        <a:prstGeom prst="rect">
                          <a:avLst/>
                        </a:prstGeom>
                        <a:noFill/>
                      </wps:spPr>
                      <wps:txbx>
                        <w:txbxContent>
                          <w:p w14:paraId="5EC4FA19" w14:textId="77777777" w:rsidR="0002157B" w:rsidRDefault="0002157B" w:rsidP="0002157B">
                            <w:r>
                              <w:rPr>
                                <w:rFonts w:hAnsi="Calibri"/>
                                <w:color w:val="FFFFFF" w:themeColor="background1"/>
                                <w:kern w:val="24"/>
                              </w:rPr>
                              <w:t>Left coronary territory infarct of mouse heart. Surviving myocytes in the infarct and border zone.</w:t>
                            </w:r>
                          </w:p>
                        </w:txbxContent>
                      </wps:txbx>
                      <wps:bodyPr wrap="square" rtlCol="0">
                        <a:spAutoFit/>
                      </wps:bodyPr>
                    </wps:wsp>
                  </a:graphicData>
                </a:graphic>
              </wp:anchor>
            </w:drawing>
          </mc:Choice>
          <mc:Fallback>
            <w:pict>
              <v:shape w14:anchorId="21623704" id="TextBox 6" o:spid="_x0000_s1027" type="#_x0000_t202" style="position:absolute;margin-left:5.65pt;margin-top:418.1pt;width:302.75pt;height:3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" filled="f" stroked="f">
                <v:textbox style="mso-fit-shape-to-text:t">
                  <w:txbxContent>
                    <w:p w14:paraId="5EC4FA19" w14:textId="77777777" w:rsidR="0002157B" w:rsidRDefault="0002157B" w:rsidP="0002157B">
                      <w:r>
                        <w:rPr>
                          <w:rFonts w:hAnsi="Calibri"/>
                          <w:color w:val="FFFFFF" w:themeColor="background1"/>
                          <w:kern w:val="24"/>
                        </w:rPr>
                        <w:t>Left coronary territory infarct of mouse heart. Surviving myocytes in the infarct and border zone.</w:t>
                      </w:r>
                    </w:p>
                  </w:txbxContent>
                </v:textbox>
              </v:shape>
            </w:pict>
          </mc:Fallback>
        </mc:AlternateContent>
      </w:r>
    </w:p>
    <w:sectPr w:rsidR="009A14AD" w:rsidSect="00E145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0D40C" w14:textId="77777777" w:rsidR="0096006F" w:rsidRDefault="0096006F" w:rsidP="002451F2">
      <w:r>
        <w:separator/>
      </w:r>
    </w:p>
  </w:endnote>
  <w:endnote w:type="continuationSeparator" w:id="0">
    <w:p w14:paraId="07E32594" w14:textId="77777777" w:rsidR="0096006F" w:rsidRDefault="0096006F" w:rsidP="0024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5303914"/>
      <w:docPartObj>
        <w:docPartGallery w:val="Page Numbers (Bottom of Page)"/>
        <w:docPartUnique/>
      </w:docPartObj>
    </w:sdtPr>
    <w:sdtEndPr>
      <w:rPr>
        <w:rStyle w:val="PageNumber"/>
      </w:rPr>
    </w:sdtEndPr>
    <w:sdtContent>
      <w:p w14:paraId="55717825" w14:textId="10597A7C" w:rsidR="002451F2" w:rsidRDefault="002451F2" w:rsidP="00F811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34B6FA" w14:textId="77777777" w:rsidR="002451F2" w:rsidRDefault="002451F2" w:rsidP="002451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74762979"/>
      <w:docPartObj>
        <w:docPartGallery w:val="Page Numbers (Bottom of Page)"/>
        <w:docPartUnique/>
      </w:docPartObj>
    </w:sdtPr>
    <w:sdtEndPr>
      <w:rPr>
        <w:rStyle w:val="PageNumber"/>
        <w:rFonts w:ascii="Arial" w:hAnsi="Arial" w:cs="Arial"/>
        <w:sz w:val="22"/>
        <w:szCs w:val="22"/>
      </w:rPr>
    </w:sdtEndPr>
    <w:sdtContent>
      <w:p w14:paraId="1B152FC8" w14:textId="16A62175" w:rsidR="002451F2" w:rsidRPr="002451F2" w:rsidRDefault="002451F2" w:rsidP="00F8119C">
        <w:pPr>
          <w:pStyle w:val="Footer"/>
          <w:framePr w:wrap="none" w:vAnchor="text" w:hAnchor="margin" w:xAlign="right" w:y="1"/>
          <w:rPr>
            <w:rStyle w:val="PageNumber"/>
            <w:rFonts w:ascii="Arial" w:hAnsi="Arial" w:cs="Arial"/>
            <w:sz w:val="22"/>
            <w:szCs w:val="22"/>
          </w:rPr>
        </w:pPr>
        <w:r w:rsidRPr="002451F2">
          <w:rPr>
            <w:rStyle w:val="PageNumber"/>
            <w:rFonts w:ascii="Arial" w:hAnsi="Arial" w:cs="Arial"/>
            <w:sz w:val="22"/>
            <w:szCs w:val="22"/>
          </w:rPr>
          <w:fldChar w:fldCharType="begin"/>
        </w:r>
        <w:r w:rsidRPr="002451F2">
          <w:rPr>
            <w:rStyle w:val="PageNumber"/>
            <w:rFonts w:ascii="Arial" w:hAnsi="Arial" w:cs="Arial"/>
            <w:sz w:val="22"/>
            <w:szCs w:val="22"/>
          </w:rPr>
          <w:instrText xml:space="preserve"> PAGE </w:instrText>
        </w:r>
        <w:r w:rsidRPr="002451F2">
          <w:rPr>
            <w:rStyle w:val="PageNumber"/>
            <w:rFonts w:ascii="Arial" w:hAnsi="Arial" w:cs="Arial"/>
            <w:sz w:val="22"/>
            <w:szCs w:val="22"/>
          </w:rPr>
          <w:fldChar w:fldCharType="separate"/>
        </w:r>
        <w:r w:rsidRPr="002451F2">
          <w:rPr>
            <w:rStyle w:val="PageNumber"/>
            <w:rFonts w:ascii="Arial" w:hAnsi="Arial" w:cs="Arial"/>
            <w:noProof/>
            <w:sz w:val="22"/>
            <w:szCs w:val="22"/>
          </w:rPr>
          <w:t>10</w:t>
        </w:r>
        <w:r w:rsidRPr="002451F2">
          <w:rPr>
            <w:rStyle w:val="PageNumber"/>
            <w:rFonts w:ascii="Arial" w:hAnsi="Arial" w:cs="Arial"/>
            <w:sz w:val="22"/>
            <w:szCs w:val="22"/>
          </w:rPr>
          <w:fldChar w:fldCharType="end"/>
        </w:r>
      </w:p>
    </w:sdtContent>
  </w:sdt>
  <w:p w14:paraId="120D4185" w14:textId="77777777" w:rsidR="002451F2" w:rsidRPr="002451F2" w:rsidRDefault="002451F2" w:rsidP="002451F2">
    <w:pPr>
      <w:pStyle w:val="Footer"/>
      <w:ind w:right="360"/>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751E1" w14:textId="77777777" w:rsidR="0096006F" w:rsidRDefault="0096006F" w:rsidP="002451F2">
      <w:r>
        <w:separator/>
      </w:r>
    </w:p>
  </w:footnote>
  <w:footnote w:type="continuationSeparator" w:id="0">
    <w:p w14:paraId="0F586CE5" w14:textId="77777777" w:rsidR="0096006F" w:rsidRDefault="0096006F" w:rsidP="00245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36D43"/>
    <w:multiLevelType w:val="hybridMultilevel"/>
    <w:tmpl w:val="CDF859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707232"/>
    <w:multiLevelType w:val="hybridMultilevel"/>
    <w:tmpl w:val="49C6ABA2"/>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7B"/>
    <w:rsid w:val="0002157B"/>
    <w:rsid w:val="00035186"/>
    <w:rsid w:val="00050E05"/>
    <w:rsid w:val="00051A52"/>
    <w:rsid w:val="0007569B"/>
    <w:rsid w:val="00091977"/>
    <w:rsid w:val="000C7F50"/>
    <w:rsid w:val="000E51BA"/>
    <w:rsid w:val="00105225"/>
    <w:rsid w:val="00107425"/>
    <w:rsid w:val="001124FE"/>
    <w:rsid w:val="001641F6"/>
    <w:rsid w:val="00167CCD"/>
    <w:rsid w:val="00181C10"/>
    <w:rsid w:val="001949E3"/>
    <w:rsid w:val="001D3D1B"/>
    <w:rsid w:val="00217662"/>
    <w:rsid w:val="00220E68"/>
    <w:rsid w:val="00233E45"/>
    <w:rsid w:val="002451F2"/>
    <w:rsid w:val="00275EB6"/>
    <w:rsid w:val="00293D32"/>
    <w:rsid w:val="002C40A6"/>
    <w:rsid w:val="00363DDD"/>
    <w:rsid w:val="003732E9"/>
    <w:rsid w:val="003B317B"/>
    <w:rsid w:val="003D7A66"/>
    <w:rsid w:val="0043129A"/>
    <w:rsid w:val="0047423C"/>
    <w:rsid w:val="004B1283"/>
    <w:rsid w:val="00500715"/>
    <w:rsid w:val="00510784"/>
    <w:rsid w:val="00523B4D"/>
    <w:rsid w:val="0053213B"/>
    <w:rsid w:val="005524C0"/>
    <w:rsid w:val="00574FCE"/>
    <w:rsid w:val="0058710F"/>
    <w:rsid w:val="005B403A"/>
    <w:rsid w:val="005E1074"/>
    <w:rsid w:val="005E26AB"/>
    <w:rsid w:val="006022B9"/>
    <w:rsid w:val="006466D6"/>
    <w:rsid w:val="006608DA"/>
    <w:rsid w:val="006815FB"/>
    <w:rsid w:val="006A46B5"/>
    <w:rsid w:val="006B7092"/>
    <w:rsid w:val="006E030D"/>
    <w:rsid w:val="006F141F"/>
    <w:rsid w:val="007108AE"/>
    <w:rsid w:val="0071194F"/>
    <w:rsid w:val="0073098C"/>
    <w:rsid w:val="007708D6"/>
    <w:rsid w:val="007A51C1"/>
    <w:rsid w:val="007B5D04"/>
    <w:rsid w:val="007C0052"/>
    <w:rsid w:val="00807786"/>
    <w:rsid w:val="00821BD3"/>
    <w:rsid w:val="00832940"/>
    <w:rsid w:val="00860E12"/>
    <w:rsid w:val="00881669"/>
    <w:rsid w:val="008E5ACD"/>
    <w:rsid w:val="00910AA0"/>
    <w:rsid w:val="0092072B"/>
    <w:rsid w:val="0095332A"/>
    <w:rsid w:val="0096006F"/>
    <w:rsid w:val="009656AB"/>
    <w:rsid w:val="009E428C"/>
    <w:rsid w:val="009F0E97"/>
    <w:rsid w:val="00A0408D"/>
    <w:rsid w:val="00A15D64"/>
    <w:rsid w:val="00A27566"/>
    <w:rsid w:val="00A35409"/>
    <w:rsid w:val="00AA2724"/>
    <w:rsid w:val="00AB5103"/>
    <w:rsid w:val="00AC35D1"/>
    <w:rsid w:val="00B23B51"/>
    <w:rsid w:val="00B577D3"/>
    <w:rsid w:val="00BA2CF0"/>
    <w:rsid w:val="00BB13CF"/>
    <w:rsid w:val="00BC237E"/>
    <w:rsid w:val="00BC2BF2"/>
    <w:rsid w:val="00BD1E2A"/>
    <w:rsid w:val="00C17B73"/>
    <w:rsid w:val="00C57A90"/>
    <w:rsid w:val="00C610E3"/>
    <w:rsid w:val="00C76855"/>
    <w:rsid w:val="00C81845"/>
    <w:rsid w:val="00C96404"/>
    <w:rsid w:val="00CC4159"/>
    <w:rsid w:val="00CF2ADD"/>
    <w:rsid w:val="00D07A91"/>
    <w:rsid w:val="00D10737"/>
    <w:rsid w:val="00D3367A"/>
    <w:rsid w:val="00D50572"/>
    <w:rsid w:val="00D67D4D"/>
    <w:rsid w:val="00D76C12"/>
    <w:rsid w:val="00D907D3"/>
    <w:rsid w:val="00D94967"/>
    <w:rsid w:val="00DB0AA0"/>
    <w:rsid w:val="00E02523"/>
    <w:rsid w:val="00E145C3"/>
    <w:rsid w:val="00E14CAF"/>
    <w:rsid w:val="00E724EB"/>
    <w:rsid w:val="00EC60EF"/>
    <w:rsid w:val="00EF2C5F"/>
    <w:rsid w:val="00EF5589"/>
    <w:rsid w:val="00F12876"/>
    <w:rsid w:val="00F21EA8"/>
    <w:rsid w:val="00F25C87"/>
    <w:rsid w:val="00F60DEE"/>
    <w:rsid w:val="00F63BEC"/>
    <w:rsid w:val="00F674B3"/>
    <w:rsid w:val="00F722F2"/>
    <w:rsid w:val="00F8786B"/>
    <w:rsid w:val="00FB44A9"/>
    <w:rsid w:val="00FD7173"/>
    <w:rsid w:val="00FE4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ACB9"/>
  <w15:chartTrackingRefBased/>
  <w15:docId w15:val="{63720344-0F7C-9B42-BBE0-044F21D4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5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57B"/>
    <w:pPr>
      <w:ind w:left="720"/>
      <w:contextualSpacing/>
    </w:pPr>
  </w:style>
  <w:style w:type="paragraph" w:styleId="BalloonText">
    <w:name w:val="Balloon Text"/>
    <w:basedOn w:val="Normal"/>
    <w:link w:val="BalloonTextChar"/>
    <w:uiPriority w:val="99"/>
    <w:semiHidden/>
    <w:unhideWhenUsed/>
    <w:rsid w:val="0002157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157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C60EF"/>
    <w:rPr>
      <w:sz w:val="16"/>
      <w:szCs w:val="16"/>
    </w:rPr>
  </w:style>
  <w:style w:type="paragraph" w:styleId="CommentText">
    <w:name w:val="annotation text"/>
    <w:basedOn w:val="Normal"/>
    <w:link w:val="CommentTextChar"/>
    <w:uiPriority w:val="99"/>
    <w:semiHidden/>
    <w:unhideWhenUsed/>
    <w:rsid w:val="00EC60EF"/>
    <w:rPr>
      <w:sz w:val="20"/>
      <w:szCs w:val="20"/>
    </w:rPr>
  </w:style>
  <w:style w:type="character" w:customStyle="1" w:styleId="CommentTextChar">
    <w:name w:val="Comment Text Char"/>
    <w:basedOn w:val="DefaultParagraphFont"/>
    <w:link w:val="CommentText"/>
    <w:uiPriority w:val="99"/>
    <w:semiHidden/>
    <w:rsid w:val="00EC60EF"/>
    <w:rPr>
      <w:sz w:val="20"/>
      <w:szCs w:val="20"/>
    </w:rPr>
  </w:style>
  <w:style w:type="paragraph" w:styleId="CommentSubject">
    <w:name w:val="annotation subject"/>
    <w:basedOn w:val="CommentText"/>
    <w:next w:val="CommentText"/>
    <w:link w:val="CommentSubjectChar"/>
    <w:uiPriority w:val="99"/>
    <w:semiHidden/>
    <w:unhideWhenUsed/>
    <w:rsid w:val="00EC60EF"/>
    <w:rPr>
      <w:b/>
      <w:bCs/>
    </w:rPr>
  </w:style>
  <w:style w:type="character" w:customStyle="1" w:styleId="CommentSubjectChar">
    <w:name w:val="Comment Subject Char"/>
    <w:basedOn w:val="CommentTextChar"/>
    <w:link w:val="CommentSubject"/>
    <w:uiPriority w:val="99"/>
    <w:semiHidden/>
    <w:rsid w:val="00EC60EF"/>
    <w:rPr>
      <w:b/>
      <w:bCs/>
      <w:sz w:val="20"/>
      <w:szCs w:val="20"/>
    </w:rPr>
  </w:style>
  <w:style w:type="paragraph" w:styleId="Header">
    <w:name w:val="header"/>
    <w:basedOn w:val="Normal"/>
    <w:link w:val="HeaderChar"/>
    <w:uiPriority w:val="99"/>
    <w:unhideWhenUsed/>
    <w:rsid w:val="002451F2"/>
    <w:pPr>
      <w:tabs>
        <w:tab w:val="center" w:pos="4680"/>
        <w:tab w:val="right" w:pos="9360"/>
      </w:tabs>
    </w:pPr>
  </w:style>
  <w:style w:type="character" w:customStyle="1" w:styleId="HeaderChar">
    <w:name w:val="Header Char"/>
    <w:basedOn w:val="DefaultParagraphFont"/>
    <w:link w:val="Header"/>
    <w:uiPriority w:val="99"/>
    <w:rsid w:val="002451F2"/>
  </w:style>
  <w:style w:type="paragraph" w:styleId="Footer">
    <w:name w:val="footer"/>
    <w:basedOn w:val="Normal"/>
    <w:link w:val="FooterChar"/>
    <w:uiPriority w:val="99"/>
    <w:unhideWhenUsed/>
    <w:rsid w:val="002451F2"/>
    <w:pPr>
      <w:tabs>
        <w:tab w:val="center" w:pos="4680"/>
        <w:tab w:val="right" w:pos="9360"/>
      </w:tabs>
    </w:pPr>
  </w:style>
  <w:style w:type="character" w:customStyle="1" w:styleId="FooterChar">
    <w:name w:val="Footer Char"/>
    <w:basedOn w:val="DefaultParagraphFont"/>
    <w:link w:val="Footer"/>
    <w:uiPriority w:val="99"/>
    <w:rsid w:val="002451F2"/>
  </w:style>
  <w:style w:type="character" w:styleId="PageNumber">
    <w:name w:val="page number"/>
    <w:basedOn w:val="DefaultParagraphFont"/>
    <w:uiPriority w:val="99"/>
    <w:semiHidden/>
    <w:unhideWhenUsed/>
    <w:rsid w:val="00245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789009">
      <w:bodyDiv w:val="1"/>
      <w:marLeft w:val="0"/>
      <w:marRight w:val="0"/>
      <w:marTop w:val="0"/>
      <w:marBottom w:val="0"/>
      <w:divBdr>
        <w:top w:val="none" w:sz="0" w:space="0" w:color="auto"/>
        <w:left w:val="none" w:sz="0" w:space="0" w:color="auto"/>
        <w:bottom w:val="none" w:sz="0" w:space="0" w:color="auto"/>
        <w:right w:val="none" w:sz="0" w:space="0" w:color="auto"/>
      </w:divBdr>
    </w:div>
    <w:div w:id="836267657">
      <w:bodyDiv w:val="1"/>
      <w:marLeft w:val="0"/>
      <w:marRight w:val="0"/>
      <w:marTop w:val="0"/>
      <w:marBottom w:val="0"/>
      <w:divBdr>
        <w:top w:val="none" w:sz="0" w:space="0" w:color="auto"/>
        <w:left w:val="none" w:sz="0" w:space="0" w:color="auto"/>
        <w:bottom w:val="none" w:sz="0" w:space="0" w:color="auto"/>
        <w:right w:val="none" w:sz="0" w:space="0" w:color="auto"/>
      </w:divBdr>
    </w:div>
    <w:div w:id="161181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10</Pages>
  <Words>991</Words>
  <Characters>5958</Characters>
  <Application>Microsoft Office Word</Application>
  <DocSecurity>0</DocSecurity>
  <Lines>96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 Zhu</dc:creator>
  <cp:keywords/>
  <dc:description/>
  <cp:lastModifiedBy>Ching Zhu</cp:lastModifiedBy>
  <cp:revision>109</cp:revision>
  <dcterms:created xsi:type="dcterms:W3CDTF">2021-04-20T20:36:00Z</dcterms:created>
  <dcterms:modified xsi:type="dcterms:W3CDTF">2021-05-19T14:47:00Z</dcterms:modified>
</cp:coreProperties>
</file>