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C7F7CF" w14:textId="08CCBE8C" w:rsidR="00FA381C" w:rsidRPr="00B03D69" w:rsidRDefault="00FA381C" w:rsidP="00FA381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B03D69">
        <w:rPr>
          <w:rFonts w:ascii="Times New Roman" w:hAnsi="Times New Roman" w:cs="Times New Roman"/>
          <w:b/>
          <w:bCs/>
          <w:sz w:val="22"/>
          <w:szCs w:val="22"/>
        </w:rPr>
        <w:t>Additional file 1</w:t>
      </w:r>
    </w:p>
    <w:p w14:paraId="007A9493" w14:textId="7AC41651" w:rsidR="00FA381C" w:rsidRPr="00B03D69" w:rsidRDefault="00FA381C" w:rsidP="00FA381C">
      <w:pPr>
        <w:rPr>
          <w:rFonts w:ascii="Times New Roman" w:hAnsi="Times New Roman" w:cs="Times New Roman"/>
          <w:sz w:val="22"/>
          <w:szCs w:val="22"/>
        </w:rPr>
      </w:pPr>
      <w:r w:rsidRPr="00B03D69">
        <w:rPr>
          <w:rFonts w:ascii="Times New Roman" w:eastAsia="Aptos" w:hAnsi="Times New Roman" w:cs="Times New Roman"/>
          <w:sz w:val="22"/>
          <w:szCs w:val="22"/>
        </w:rPr>
        <w:t xml:space="preserve">The </w:t>
      </w:r>
      <w:r w:rsidRPr="00B03D69">
        <w:rPr>
          <w:rFonts w:ascii="Times New Roman" w:hAnsi="Times New Roman" w:cs="Times New Roman"/>
          <w:sz w:val="22"/>
          <w:szCs w:val="22"/>
        </w:rPr>
        <w:t xml:space="preserve">analysis </w:t>
      </w:r>
      <w:r w:rsidRPr="00B03D69">
        <w:rPr>
          <w:rFonts w:ascii="Times New Roman" w:eastAsia="Aptos" w:hAnsi="Times New Roman" w:cs="Times New Roman"/>
          <w:sz w:val="22"/>
          <w:szCs w:val="22"/>
        </w:rPr>
        <w:t xml:space="preserve">was </w:t>
      </w:r>
      <w:r w:rsidRPr="00B03D69">
        <w:rPr>
          <w:rFonts w:ascii="Times New Roman" w:hAnsi="Times New Roman" w:cs="Times New Roman"/>
          <w:sz w:val="22"/>
          <w:szCs w:val="22"/>
        </w:rPr>
        <w:t xml:space="preserve">conducted on 1542 patients (490 without hypocalcemia; 1062 with hypocalcemia) </w:t>
      </w:r>
      <w:r w:rsidRPr="00B03D69">
        <w:rPr>
          <w:rFonts w:ascii="Times New Roman" w:eastAsia="Aptos" w:hAnsi="Times New Roman" w:cs="Times New Roman"/>
          <w:sz w:val="22"/>
          <w:szCs w:val="22"/>
        </w:rPr>
        <w:t xml:space="preserve">who were </w:t>
      </w:r>
      <w:r w:rsidRPr="00B03D69">
        <w:rPr>
          <w:rFonts w:ascii="Times New Roman" w:hAnsi="Times New Roman" w:cs="Times New Roman"/>
          <w:sz w:val="22"/>
          <w:szCs w:val="22"/>
        </w:rPr>
        <w:t xml:space="preserve">transfused </w:t>
      </w:r>
      <w:r w:rsidRPr="00B03D69">
        <w:rPr>
          <w:rFonts w:ascii="Times New Roman" w:eastAsia="Aptos" w:hAnsi="Times New Roman" w:cs="Times New Roman"/>
          <w:sz w:val="22"/>
          <w:szCs w:val="22"/>
        </w:rPr>
        <w:t>with</w:t>
      </w:r>
      <w:r w:rsidRPr="00B03D69">
        <w:rPr>
          <w:rFonts w:ascii="Times New Roman" w:hAnsi="Times New Roman" w:cs="Times New Roman"/>
          <w:sz w:val="22"/>
          <w:szCs w:val="22"/>
        </w:rPr>
        <w:t xml:space="preserve"> more than 4 packed </w:t>
      </w:r>
      <w:r w:rsidRPr="00B03D69">
        <w:rPr>
          <w:rFonts w:ascii="Times New Roman" w:eastAsia="Aptos" w:hAnsi="Times New Roman" w:cs="Times New Roman"/>
          <w:sz w:val="22"/>
          <w:szCs w:val="22"/>
        </w:rPr>
        <w:t>RBCs</w:t>
      </w:r>
      <w:r w:rsidRPr="00B03D69">
        <w:rPr>
          <w:rFonts w:ascii="Times New Roman" w:hAnsi="Times New Roman" w:cs="Times New Roman"/>
          <w:sz w:val="22"/>
          <w:szCs w:val="22"/>
        </w:rPr>
        <w:t xml:space="preserve"> during the overall study period.</w:t>
      </w:r>
    </w:p>
    <w:p w14:paraId="79A26CBE" w14:textId="77777777" w:rsidR="00FA381C" w:rsidRPr="00B03D69" w:rsidRDefault="00FA381C" w:rsidP="00FA381C">
      <w:pPr>
        <w:rPr>
          <w:rFonts w:ascii="Times New Roman" w:hAnsi="Times New Roman" w:cs="Times New Roman"/>
          <w:sz w:val="22"/>
          <w:szCs w:val="22"/>
        </w:rPr>
      </w:pPr>
    </w:p>
    <w:p w14:paraId="6732AEB5" w14:textId="77777777" w:rsidR="00FA381C" w:rsidRPr="00B03D69" w:rsidRDefault="00FA381C" w:rsidP="00FA381C">
      <w:pPr>
        <w:rPr>
          <w:rFonts w:ascii="Times New Roman" w:hAnsi="Times New Roman" w:cs="Times New Roman"/>
          <w:sz w:val="22"/>
          <w:szCs w:val="22"/>
        </w:rPr>
      </w:pPr>
      <w:r w:rsidRPr="00B03D69">
        <w:rPr>
          <w:rFonts w:ascii="Times New Roman" w:hAnsi="Times New Roman" w:cs="Times New Roman"/>
          <w:b/>
          <w:bCs/>
          <w:sz w:val="22"/>
          <w:szCs w:val="22"/>
        </w:rPr>
        <w:t>Figure S1</w:t>
      </w:r>
      <w:r w:rsidRPr="00B03D69">
        <w:rPr>
          <w:rFonts w:ascii="Times New Roman" w:hAnsi="Times New Roman" w:cs="Times New Roman"/>
          <w:sz w:val="22"/>
          <w:szCs w:val="22"/>
        </w:rPr>
        <w:t xml:space="preserve"> ROC curves comparing lethal triad and lethal diamond for 24-hour mortality</w:t>
      </w:r>
    </w:p>
    <w:p w14:paraId="1E653A89" w14:textId="6F08AAE2" w:rsidR="00FA381C" w:rsidRDefault="00C305BF" w:rsidP="00FA381C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A783147" wp14:editId="2E55FB69">
            <wp:extent cx="2683130" cy="2299867"/>
            <wp:effectExtent l="0" t="0" r="0" b="0"/>
            <wp:docPr id="1650684259" name="Image 1" descr="Une image contenant texte, ligne, Tracé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684259" name="Image 1" descr="Une image contenant texte, ligne, Tracé, capture d’écran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1559" cy="231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A8741" w14:textId="06EBE911" w:rsidR="00FA381C" w:rsidRPr="00706865" w:rsidRDefault="00FA381C" w:rsidP="00FA381C">
      <w:pPr>
        <w:rPr>
          <w:rFonts w:ascii="Times New Roman" w:hAnsi="Times New Roman" w:cs="Times New Roman"/>
          <w:sz w:val="20"/>
          <w:szCs w:val="20"/>
        </w:rPr>
      </w:pPr>
      <w:r w:rsidRPr="00706865">
        <w:rPr>
          <w:rFonts w:ascii="Times New Roman" w:hAnsi="Times New Roman" w:cs="Times New Roman"/>
          <w:sz w:val="18"/>
          <w:szCs w:val="18"/>
        </w:rPr>
        <w:t xml:space="preserve">The areas under the </w:t>
      </w:r>
      <w:r w:rsidRPr="00706865">
        <w:rPr>
          <w:rFonts w:ascii="Times New Roman" w:eastAsia="Aptos" w:hAnsi="Times New Roman" w:cs="Times New Roman"/>
          <w:sz w:val="18"/>
          <w:szCs w:val="18"/>
        </w:rPr>
        <w:t>curve (AUCs</w:t>
      </w:r>
      <w:r w:rsidRPr="00706865">
        <w:rPr>
          <w:rFonts w:ascii="Times New Roman" w:hAnsi="Times New Roman" w:cs="Times New Roman"/>
          <w:sz w:val="18"/>
          <w:szCs w:val="18"/>
        </w:rPr>
        <w:t>) of these indicators were 0.71</w:t>
      </w:r>
      <w:r w:rsidR="00C305BF">
        <w:rPr>
          <w:rFonts w:ascii="Times New Roman" w:hAnsi="Times New Roman" w:cs="Times New Roman"/>
          <w:sz w:val="18"/>
          <w:szCs w:val="18"/>
        </w:rPr>
        <w:t xml:space="preserve"> (95% </w:t>
      </w:r>
      <w:r w:rsidR="00AB504F">
        <w:rPr>
          <w:rFonts w:ascii="Times New Roman" w:hAnsi="Times New Roman" w:cs="Times New Roman"/>
          <w:sz w:val="18"/>
          <w:szCs w:val="18"/>
        </w:rPr>
        <w:t>Confidence Interval (</w:t>
      </w:r>
      <w:r w:rsidR="00C305BF">
        <w:rPr>
          <w:rFonts w:ascii="Times New Roman" w:hAnsi="Times New Roman" w:cs="Times New Roman"/>
          <w:sz w:val="18"/>
          <w:szCs w:val="18"/>
        </w:rPr>
        <w:t>CI</w:t>
      </w:r>
      <w:r w:rsidR="00AB504F">
        <w:rPr>
          <w:rFonts w:ascii="Times New Roman" w:hAnsi="Times New Roman" w:cs="Times New Roman"/>
          <w:sz w:val="18"/>
          <w:szCs w:val="18"/>
        </w:rPr>
        <w:t>)</w:t>
      </w:r>
      <w:r w:rsidR="00C305BF">
        <w:rPr>
          <w:rFonts w:ascii="Times New Roman" w:hAnsi="Times New Roman" w:cs="Times New Roman"/>
          <w:sz w:val="18"/>
          <w:szCs w:val="18"/>
        </w:rPr>
        <w:t xml:space="preserve"> 0.68-0.74)</w:t>
      </w:r>
      <w:r w:rsidRPr="00706865">
        <w:rPr>
          <w:rFonts w:ascii="Times New Roman" w:hAnsi="Times New Roman" w:cs="Times New Roman"/>
          <w:sz w:val="18"/>
          <w:szCs w:val="18"/>
        </w:rPr>
        <w:t xml:space="preserve"> and 0.7</w:t>
      </w:r>
      <w:r w:rsidR="00C305BF">
        <w:rPr>
          <w:rFonts w:ascii="Times New Roman" w:hAnsi="Times New Roman" w:cs="Times New Roman"/>
          <w:sz w:val="18"/>
          <w:szCs w:val="18"/>
        </w:rPr>
        <w:t xml:space="preserve"> (95% CI 0.67-0.73)</w:t>
      </w:r>
      <w:r w:rsidRPr="00706865">
        <w:rPr>
          <w:rFonts w:ascii="Times New Roman" w:hAnsi="Times New Roman" w:cs="Times New Roman"/>
          <w:sz w:val="18"/>
          <w:szCs w:val="18"/>
        </w:rPr>
        <w:t>, respectively (p=0.37)</w:t>
      </w:r>
      <w:r w:rsidRPr="00706865">
        <w:rPr>
          <w:rFonts w:ascii="Times New Roman" w:eastAsia="Aptos" w:hAnsi="Times New Roman" w:cs="Times New Roman"/>
          <w:sz w:val="18"/>
          <w:szCs w:val="18"/>
        </w:rPr>
        <w:t>.</w:t>
      </w:r>
    </w:p>
    <w:p w14:paraId="3723A72C" w14:textId="77777777" w:rsidR="00FA381C" w:rsidRDefault="00FA381C" w:rsidP="00FA381C">
      <w:pPr>
        <w:rPr>
          <w:rFonts w:ascii="Times New Roman" w:hAnsi="Times New Roman" w:cs="Times New Roman"/>
          <w:sz w:val="22"/>
          <w:szCs w:val="22"/>
        </w:rPr>
      </w:pPr>
    </w:p>
    <w:p w14:paraId="0B9ECD11" w14:textId="2E92C0F6" w:rsidR="00FA381C" w:rsidRDefault="00FA381C" w:rsidP="00FA381C">
      <w:pPr>
        <w:rPr>
          <w:rFonts w:ascii="Times New Roman" w:hAnsi="Times New Roman" w:cs="Times New Roman"/>
          <w:bCs/>
          <w:iCs/>
          <w:sz w:val="22"/>
          <w:szCs w:val="22"/>
        </w:rPr>
      </w:pPr>
      <w:r w:rsidRPr="006E6898">
        <w:rPr>
          <w:rFonts w:ascii="Times New Roman" w:hAnsi="Times New Roman" w:cs="Times New Roman"/>
          <w:b/>
          <w:iCs/>
          <w:sz w:val="22"/>
          <w:szCs w:val="22"/>
        </w:rPr>
        <w:t>Table S1</w:t>
      </w:r>
      <w:r w:rsidRPr="005E1E23">
        <w:rPr>
          <w:rFonts w:ascii="Times New Roman" w:hAnsi="Times New Roman" w:cs="Times New Roman"/>
          <w:bCs/>
          <w:iCs/>
          <w:sz w:val="22"/>
          <w:szCs w:val="22"/>
        </w:rPr>
        <w:t xml:space="preserve"> Analysis of 24-hour mortality according to the number of lethal diamond and lethal triad elements present</w:t>
      </w:r>
    </w:p>
    <w:p w14:paraId="41D1CF8A" w14:textId="77777777" w:rsidR="00706865" w:rsidRPr="002E31C9" w:rsidRDefault="00706865" w:rsidP="00FA381C">
      <w:pPr>
        <w:rPr>
          <w:rFonts w:ascii="Times New Roman" w:hAnsi="Times New Roman" w:cs="Times New Roman"/>
          <w:bCs/>
          <w:iCs/>
          <w:sz w:val="22"/>
          <w:szCs w:val="22"/>
        </w:rPr>
      </w:pPr>
    </w:p>
    <w:tbl>
      <w:tblPr>
        <w:tblW w:w="8789" w:type="dxa"/>
        <w:tblLayout w:type="fixed"/>
        <w:tblLook w:val="0420" w:firstRow="1" w:lastRow="0" w:firstColumn="0" w:lastColumn="0" w:noHBand="0" w:noVBand="1"/>
      </w:tblPr>
      <w:tblGrid>
        <w:gridCol w:w="2268"/>
        <w:gridCol w:w="1417"/>
        <w:gridCol w:w="710"/>
        <w:gridCol w:w="708"/>
        <w:gridCol w:w="851"/>
        <w:gridCol w:w="992"/>
        <w:gridCol w:w="992"/>
        <w:gridCol w:w="851"/>
      </w:tblGrid>
      <w:tr w:rsidR="00FA381C" w14:paraId="69B76D1A" w14:textId="77777777" w:rsidTr="00554CAE">
        <w:trPr>
          <w:tblHeader/>
        </w:trPr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DC4A3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D9BA7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Characteristic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90180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B6F4E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9DB14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65CA4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CD945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7EFCD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p value</w:t>
            </w: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</w:p>
        </w:tc>
      </w:tr>
      <w:tr w:rsidR="00FA381C" w14:paraId="6A452A64" w14:textId="77777777" w:rsidTr="00554CAE"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17249" w14:textId="77777777" w:rsidR="00FA381C" w:rsidRPr="00580248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58024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Death according to the Lethal Diamond score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A2D51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24-hour mortality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94B40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 (3.0)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8B363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5 (3.0)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6AE57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28 (7.9)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AFD1F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75 (15.4)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D6CFA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126 (30.1)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A622C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FA381C" w14:paraId="6965EDAE" w14:textId="77777777" w:rsidTr="00554CAE"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783AA2" w14:textId="77777777" w:rsidR="00FA381C" w:rsidRPr="00580248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58024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Death according to the Lethal Triad score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E3FCD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24-hour mortality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28B7E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 (1.6)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E2987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12 (3.5)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C0831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65 (13.0)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32C12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157 (28.2)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E9A70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783BE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FA381C" w14:paraId="196B6CD2" w14:textId="77777777" w:rsidTr="00554CAE">
        <w:tc>
          <w:tcPr>
            <w:tcW w:w="8789" w:type="dxa"/>
            <w:gridSpan w:val="8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C2E5D" w14:textId="77777777" w:rsidR="00FA381C" w:rsidRPr="00E7295B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  <w:r w:rsidRPr="00E7295B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Pearson's Chi-squared test</w:t>
            </w:r>
          </w:p>
        </w:tc>
      </w:tr>
    </w:tbl>
    <w:p w14:paraId="100FD587" w14:textId="77777777" w:rsidR="00706865" w:rsidRDefault="00706865" w:rsidP="00FA381C">
      <w:pPr>
        <w:rPr>
          <w:rFonts w:ascii="Times New Roman" w:hAnsi="Times New Roman" w:cs="Times New Roman"/>
          <w:sz w:val="20"/>
          <w:szCs w:val="20"/>
        </w:rPr>
      </w:pPr>
    </w:p>
    <w:p w14:paraId="61CB0EF1" w14:textId="77777777" w:rsidR="00FA381C" w:rsidRPr="00B03D69" w:rsidRDefault="00FA381C" w:rsidP="00706865">
      <w:pPr>
        <w:jc w:val="both"/>
        <w:rPr>
          <w:rFonts w:ascii="Times New Roman" w:hAnsi="Times New Roman" w:cs="Times New Roman"/>
          <w:sz w:val="20"/>
          <w:szCs w:val="20"/>
        </w:rPr>
      </w:pPr>
      <w:r w:rsidRPr="00B03D69">
        <w:rPr>
          <w:rFonts w:ascii="Times New Roman" w:hAnsi="Times New Roman" w:cs="Times New Roman"/>
          <w:sz w:val="21"/>
          <w:szCs w:val="21"/>
        </w:rPr>
        <w:t xml:space="preserve">The strength of the association between mortality and the lethal triad (Cramer's V=0.28) was not </w:t>
      </w:r>
      <w:r w:rsidRPr="00B03D69">
        <w:rPr>
          <w:rFonts w:ascii="Times New Roman" w:eastAsia="Aptos" w:hAnsi="Times New Roman" w:cs="Times New Roman"/>
          <w:sz w:val="21"/>
          <w:szCs w:val="21"/>
        </w:rPr>
        <w:t>significantly</w:t>
      </w:r>
      <w:r w:rsidRPr="00B03D69">
        <w:rPr>
          <w:rFonts w:ascii="Times New Roman" w:hAnsi="Times New Roman" w:cs="Times New Roman"/>
          <w:sz w:val="21"/>
          <w:szCs w:val="21"/>
        </w:rPr>
        <w:t xml:space="preserve"> different from that between mortality and the lethal diamond (Cramer's V=0.27), with both showing a moderate association (0.</w:t>
      </w:r>
      <w:r w:rsidRPr="00B03D69">
        <w:rPr>
          <w:rFonts w:ascii="Times New Roman" w:eastAsia="Aptos" w:hAnsi="Times New Roman" w:cs="Times New Roman"/>
          <w:sz w:val="21"/>
          <w:szCs w:val="21"/>
        </w:rPr>
        <w:t>20–0</w:t>
      </w:r>
      <w:r w:rsidRPr="00B03D69">
        <w:rPr>
          <w:rFonts w:ascii="Times New Roman" w:hAnsi="Times New Roman" w:cs="Times New Roman"/>
          <w:sz w:val="21"/>
          <w:szCs w:val="21"/>
        </w:rPr>
        <w:t>.30 range).</w:t>
      </w:r>
    </w:p>
    <w:p w14:paraId="460916D5" w14:textId="77777777" w:rsidR="00FA381C" w:rsidRDefault="00FA381C" w:rsidP="00FA381C">
      <w:pPr>
        <w:rPr>
          <w:rFonts w:ascii="Times New Roman" w:hAnsi="Times New Roman" w:cs="Times New Roman"/>
          <w:sz w:val="22"/>
          <w:szCs w:val="22"/>
        </w:rPr>
      </w:pPr>
    </w:p>
    <w:p w14:paraId="775A18B5" w14:textId="2C6308FD" w:rsidR="00706865" w:rsidRPr="00B03D69" w:rsidRDefault="00FA381C" w:rsidP="00FA381C">
      <w:pPr>
        <w:rPr>
          <w:rFonts w:ascii="Times New Roman" w:hAnsi="Times New Roman" w:cs="Times New Roman"/>
          <w:bCs/>
          <w:iCs/>
          <w:sz w:val="22"/>
          <w:szCs w:val="22"/>
        </w:rPr>
      </w:pPr>
      <w:r w:rsidRPr="00B03D69">
        <w:rPr>
          <w:rFonts w:ascii="Times New Roman" w:hAnsi="Times New Roman" w:cs="Times New Roman"/>
          <w:b/>
          <w:bCs/>
          <w:sz w:val="22"/>
          <w:szCs w:val="22"/>
        </w:rPr>
        <w:t>Table S2</w:t>
      </w:r>
      <w:r w:rsidRPr="00B03D69">
        <w:rPr>
          <w:rFonts w:ascii="Times New Roman" w:hAnsi="Times New Roman" w:cs="Times New Roman"/>
          <w:bCs/>
          <w:iCs/>
          <w:sz w:val="22"/>
          <w:szCs w:val="22"/>
        </w:rPr>
        <w:t xml:space="preserve"> Results of univariate and multivariable analyses for 24-hour mortality considering only the lethal diamond variables</w:t>
      </w:r>
    </w:p>
    <w:tbl>
      <w:tblPr>
        <w:tblW w:w="9781" w:type="dxa"/>
        <w:tblLayout w:type="fixed"/>
        <w:tblLook w:val="0420" w:firstRow="1" w:lastRow="0" w:firstColumn="0" w:lastColumn="0" w:noHBand="0" w:noVBand="1"/>
      </w:tblPr>
      <w:tblGrid>
        <w:gridCol w:w="1276"/>
        <w:gridCol w:w="1276"/>
        <w:gridCol w:w="1276"/>
        <w:gridCol w:w="708"/>
        <w:gridCol w:w="1418"/>
        <w:gridCol w:w="850"/>
        <w:gridCol w:w="993"/>
        <w:gridCol w:w="1134"/>
        <w:gridCol w:w="850"/>
      </w:tblGrid>
      <w:tr w:rsidR="00FA381C" w14:paraId="0B873F00" w14:textId="77777777" w:rsidTr="00706865">
        <w:trPr>
          <w:tblHeader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C181B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579D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24-hour mortality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FB8CB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Bivariate analysis</w:t>
            </w:r>
          </w:p>
        </w:tc>
        <w:tc>
          <w:tcPr>
            <w:tcW w:w="297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12A7A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Multivariable analysis</w:t>
            </w:r>
          </w:p>
        </w:tc>
      </w:tr>
      <w:tr w:rsidR="00FA381C" w14:paraId="37801A84" w14:textId="77777777" w:rsidTr="00706865">
        <w:trPr>
          <w:tblHeader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888AB6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Characteristic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E4C4C" w14:textId="4A7F5D15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 xml:space="preserve">No  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br/>
              <w:t>N = 1227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1D3D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 xml:space="preserve">Yes  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br/>
              <w:t>N = 235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84C27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OR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E2972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95% CI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8B383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B6BCD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OR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36EB1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95% CI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A4043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40" w:after="4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p value</w:t>
            </w:r>
          </w:p>
        </w:tc>
      </w:tr>
      <w:tr w:rsidR="00FA381C" w14:paraId="3C1CFBA5" w14:textId="77777777" w:rsidTr="00706865"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61212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Hypocalcemia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0076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826 (67.3)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872C7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177 (75.3)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801E8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1.48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DCAF2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1.08, 2.05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F5916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9A385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2E8FA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0.81, 1.59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0997B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0.5</w:t>
            </w:r>
          </w:p>
        </w:tc>
      </w:tr>
      <w:tr w:rsidR="00FA381C" w14:paraId="5D1453A2" w14:textId="77777777" w:rsidTr="0070686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EBB70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Coagulopathy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99100" w14:textId="1322BB95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1111 (90.5)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C9AA0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233 (99.1)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495A3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D59D2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3.83, 74.0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B8B5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CFEA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5.47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1AD6C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1.67, 33.7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6EBE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0.019</w:t>
            </w:r>
          </w:p>
        </w:tc>
      </w:tr>
      <w:tr w:rsidR="00FA381C" w14:paraId="07082F8A" w14:textId="77777777" w:rsidTr="0070686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94477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Acidosis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48888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652 (53.1)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6BA9F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211 (89.8)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25149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7.75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52A2D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5.11, 12.3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FACDA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235A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40CC8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4.03, 9.85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B53BD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FA381C" w14:paraId="4A973D55" w14:textId="77777777" w:rsidTr="0070686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4653F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Hypothermia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D10DC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636 (51.8)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C7BC6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169 (71.9)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52914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5CF69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1.76, 3.25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2E5C2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50BA3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C1C9F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1.19, 2.26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2C046" w14:textId="77777777" w:rsidR="00FA381C" w:rsidRPr="006E6898" w:rsidRDefault="00FA381C" w:rsidP="00706865">
            <w:pPr>
              <w:pBdr>
                <w:top w:val="nil"/>
                <w:left w:val="nil"/>
                <w:bottom w:val="nil"/>
                <w:right w:val="nil"/>
              </w:pBdr>
              <w:spacing w:before="100" w:after="100" w:line="276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FA381C" w14:paraId="7BDBC360" w14:textId="77777777" w:rsidTr="00706865">
        <w:tc>
          <w:tcPr>
            <w:tcW w:w="9781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8C21E" w14:textId="77777777" w:rsidR="00FA381C" w:rsidRPr="006E6898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n (%)</w:t>
            </w:r>
          </w:p>
        </w:tc>
      </w:tr>
      <w:tr w:rsidR="00FA381C" w14:paraId="7DA2C0C1" w14:textId="77777777" w:rsidTr="00706865">
        <w:tc>
          <w:tcPr>
            <w:tcW w:w="97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328D8" w14:textId="77777777" w:rsidR="00FA381C" w:rsidRPr="006E6898" w:rsidRDefault="00FA381C" w:rsidP="00554CAE">
            <w:pPr>
              <w:pBdr>
                <w:top w:val="nil"/>
                <w:left w:val="nil"/>
                <w:bottom w:val="nil"/>
                <w:right w:val="nil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  <w:r w:rsidRPr="006E6898">
              <w:rPr>
                <w:rFonts w:ascii="Times New Roman" w:eastAsia="Helvetica" w:hAnsi="Times New Roman" w:cs="Times New Roman"/>
                <w:color w:val="000000"/>
                <w:sz w:val="16"/>
                <w:szCs w:val="16"/>
              </w:rPr>
              <w:t>OR = Odds Ratio, CI = Confidence Interval</w:t>
            </w:r>
          </w:p>
        </w:tc>
      </w:tr>
    </w:tbl>
    <w:p w14:paraId="48E564E3" w14:textId="77777777" w:rsidR="0003120F" w:rsidRDefault="0003120F"/>
    <w:sectPr w:rsidR="0003120F" w:rsidSect="0075650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81C"/>
    <w:rsid w:val="0003120F"/>
    <w:rsid w:val="002842E2"/>
    <w:rsid w:val="00485E80"/>
    <w:rsid w:val="004F71A4"/>
    <w:rsid w:val="00706865"/>
    <w:rsid w:val="00756506"/>
    <w:rsid w:val="00AB504F"/>
    <w:rsid w:val="00AD3325"/>
    <w:rsid w:val="00B03D69"/>
    <w:rsid w:val="00C150AF"/>
    <w:rsid w:val="00C305BF"/>
    <w:rsid w:val="00EF6AB5"/>
    <w:rsid w:val="00F00759"/>
    <w:rsid w:val="00FA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E2C87B"/>
  <w15:chartTrackingRefBased/>
  <w15:docId w15:val="{F1F3AAA7-8759-FC41-9A46-A37226F3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81C"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FA38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A38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A38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A38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A38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A38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lang w:val="fr-FR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A38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lang w:val="fr-FR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A38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lang w:val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A381C"/>
    <w:pPr>
      <w:keepNext/>
      <w:keepLines/>
      <w:outlineLvl w:val="8"/>
    </w:pPr>
    <w:rPr>
      <w:rFonts w:eastAsiaTheme="majorEastAsia" w:cstheme="majorBidi"/>
      <w:color w:val="272727" w:themeColor="text1" w:themeTint="D8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A38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A38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A38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A381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A381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A381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A381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A381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A381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A38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character" w:customStyle="1" w:styleId="TitreCar">
    <w:name w:val="Titre Car"/>
    <w:basedOn w:val="Policepardfaut"/>
    <w:link w:val="Titre"/>
    <w:uiPriority w:val="10"/>
    <w:rsid w:val="00FA38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A381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character" w:customStyle="1" w:styleId="Sous-titreCar">
    <w:name w:val="Sous-titre Car"/>
    <w:basedOn w:val="Policepardfaut"/>
    <w:link w:val="Sous-titre"/>
    <w:uiPriority w:val="11"/>
    <w:rsid w:val="00FA38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A381C"/>
    <w:pPr>
      <w:spacing w:before="160" w:after="160"/>
      <w:jc w:val="center"/>
    </w:pPr>
    <w:rPr>
      <w:i/>
      <w:iCs/>
      <w:color w:val="404040" w:themeColor="text1" w:themeTint="BF"/>
      <w:lang w:val="fr-FR"/>
    </w:rPr>
  </w:style>
  <w:style w:type="character" w:customStyle="1" w:styleId="CitationCar">
    <w:name w:val="Citation Car"/>
    <w:basedOn w:val="Policepardfaut"/>
    <w:link w:val="Citation"/>
    <w:uiPriority w:val="29"/>
    <w:rsid w:val="00FA381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A381C"/>
    <w:pPr>
      <w:ind w:left="720"/>
      <w:contextualSpacing/>
    </w:pPr>
    <w:rPr>
      <w:lang w:val="fr-FR"/>
    </w:rPr>
  </w:style>
  <w:style w:type="character" w:styleId="Accentuationintense">
    <w:name w:val="Intense Emphasis"/>
    <w:basedOn w:val="Policepardfaut"/>
    <w:uiPriority w:val="21"/>
    <w:qFormat/>
    <w:rsid w:val="00FA381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A38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A381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A38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Dupuy</dc:creator>
  <cp:keywords/>
  <dc:description/>
  <cp:lastModifiedBy>Charles DUPUY</cp:lastModifiedBy>
  <cp:revision>5</cp:revision>
  <dcterms:created xsi:type="dcterms:W3CDTF">2024-10-17T11:48:00Z</dcterms:created>
  <dcterms:modified xsi:type="dcterms:W3CDTF">2024-11-11T18:17:00Z</dcterms:modified>
</cp:coreProperties>
</file>