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0696A" w14:textId="77229D56" w:rsidR="007803C9" w:rsidRPr="00B27134" w:rsidRDefault="004C2F6E" w:rsidP="007B408F">
      <w:pPr>
        <w:pStyle w:val="Heading1"/>
        <w:spacing w:line="480" w:lineRule="auto"/>
        <w:jc w:val="center"/>
        <w:rPr>
          <w:rFonts w:ascii="Times New Roman" w:hAnsi="Times New Roman" w:cs="Times New Roman"/>
          <w:b/>
          <w:color w:val="auto"/>
          <w:sz w:val="48"/>
          <w:szCs w:val="48"/>
        </w:rPr>
      </w:pPr>
      <w:r w:rsidRPr="00B27134">
        <w:rPr>
          <w:rFonts w:ascii="Times New Roman" w:hAnsi="Times New Roman" w:cs="Times New Roman"/>
          <w:b/>
          <w:color w:val="auto"/>
          <w:sz w:val="48"/>
          <w:szCs w:val="48"/>
        </w:rPr>
        <w:t xml:space="preserve">Supplementary </w:t>
      </w:r>
      <w:r w:rsidR="00B27134" w:rsidRPr="00B27134">
        <w:rPr>
          <w:rFonts w:ascii="Times New Roman" w:hAnsi="Times New Roman" w:cs="Times New Roman"/>
          <w:b/>
          <w:color w:val="auto"/>
          <w:sz w:val="48"/>
          <w:szCs w:val="48"/>
        </w:rPr>
        <w:t>M</w:t>
      </w:r>
      <w:r w:rsidRPr="00B27134">
        <w:rPr>
          <w:rFonts w:ascii="Times New Roman" w:hAnsi="Times New Roman" w:cs="Times New Roman"/>
          <w:b/>
          <w:color w:val="auto"/>
          <w:sz w:val="48"/>
          <w:szCs w:val="48"/>
        </w:rPr>
        <w:t>aterial</w:t>
      </w:r>
    </w:p>
    <w:p w14:paraId="67265E09" w14:textId="63D2F610" w:rsidR="00556572" w:rsidRPr="007B408F" w:rsidRDefault="00556572" w:rsidP="007B408F">
      <w:pPr>
        <w:pStyle w:val="Heading1"/>
        <w:spacing w:line="480" w:lineRule="auto"/>
        <w:rPr>
          <w:rFonts w:ascii="Times New Roman" w:hAnsi="Times New Roman" w:cs="Times New Roman"/>
          <w:b/>
          <w:color w:val="auto"/>
          <w:sz w:val="48"/>
          <w:szCs w:val="48"/>
        </w:rPr>
      </w:pPr>
      <w:r w:rsidRPr="00556572">
        <w:rPr>
          <w:rFonts w:ascii="Times New Roman" w:hAnsi="Times New Roman" w:cs="Times New Roman"/>
          <w:b/>
          <w:color w:val="auto"/>
          <w:sz w:val="48"/>
          <w:szCs w:val="48"/>
        </w:rPr>
        <w:t>Supplementary Tables legends</w:t>
      </w:r>
      <w:r w:rsidR="005E2997">
        <w:rPr>
          <w:rFonts w:ascii="Times New Roman" w:hAnsi="Times New Roman" w:cs="Times New Roman"/>
          <w:b/>
          <w:color w:val="auto"/>
          <w:sz w:val="48"/>
          <w:szCs w:val="48"/>
        </w:rPr>
        <w:t xml:space="preserve"> </w:t>
      </w:r>
    </w:p>
    <w:p w14:paraId="3F1A27AF" w14:textId="7561159E" w:rsidR="005E2997" w:rsidRPr="005E2997" w:rsidRDefault="00556572" w:rsidP="007B408F">
      <w:pPr>
        <w:spacing w:line="480" w:lineRule="auto"/>
        <w:rPr>
          <w:rFonts w:ascii="Arial" w:hAnsi="Arial" w:cs="Arial"/>
          <w:b/>
        </w:rPr>
      </w:pPr>
      <w:r w:rsidRPr="00556572">
        <w:rPr>
          <w:rFonts w:ascii="Arial" w:hAnsi="Arial" w:cs="Arial"/>
          <w:b/>
        </w:rPr>
        <w:t xml:space="preserve">Supplementary Table 1: List of amino acid residues overlapping with paralogous (likely)-pathogenic variants from </w:t>
      </w:r>
      <w:proofErr w:type="spellStart"/>
      <w:r w:rsidRPr="00556572">
        <w:rPr>
          <w:rFonts w:ascii="Arial" w:hAnsi="Arial" w:cs="Arial"/>
          <w:b/>
        </w:rPr>
        <w:t>ClinVar</w:t>
      </w:r>
      <w:proofErr w:type="spellEnd"/>
      <w:r w:rsidRPr="00556572">
        <w:rPr>
          <w:rFonts w:ascii="Arial" w:hAnsi="Arial" w:cs="Arial"/>
          <w:b/>
        </w:rPr>
        <w:t xml:space="preserve"> or HGMD databases. </w:t>
      </w:r>
      <w:r>
        <w:rPr>
          <w:rFonts w:ascii="Arial" w:hAnsi="Arial" w:cs="Arial"/>
        </w:rPr>
        <w:t xml:space="preserve">For each </w:t>
      </w:r>
      <w:r w:rsidR="005E2997">
        <w:rPr>
          <w:rFonts w:ascii="Arial" w:hAnsi="Arial" w:cs="Arial"/>
        </w:rPr>
        <w:t xml:space="preserve">residue the </w:t>
      </w:r>
      <w:r>
        <w:rPr>
          <w:rFonts w:ascii="Arial" w:hAnsi="Arial" w:cs="Arial"/>
        </w:rPr>
        <w:t>table display</w:t>
      </w:r>
      <w:r w:rsidR="005E2997">
        <w:rPr>
          <w:rFonts w:ascii="Arial" w:hAnsi="Arial" w:cs="Arial"/>
        </w:rPr>
        <w:t>s all conserved</w:t>
      </w:r>
      <w:r>
        <w:rPr>
          <w:rFonts w:ascii="Arial" w:hAnsi="Arial" w:cs="Arial"/>
        </w:rPr>
        <w:t xml:space="preserve"> missense variants in paralogous genes that have been previously annotated as (likely)-pathogenic in the </w:t>
      </w:r>
      <w:proofErr w:type="spellStart"/>
      <w:r>
        <w:rPr>
          <w:rFonts w:ascii="Arial" w:hAnsi="Arial" w:cs="Arial"/>
        </w:rPr>
        <w:t>ClinVar</w:t>
      </w:r>
      <w:proofErr w:type="spellEnd"/>
      <w:r>
        <w:rPr>
          <w:rFonts w:ascii="Arial" w:hAnsi="Arial" w:cs="Arial"/>
        </w:rPr>
        <w:t xml:space="preserve"> or HGMD database. If for a target residue multiple variant are found they are separated by a semicolon.</w:t>
      </w:r>
      <w:r>
        <w:rPr>
          <w:rFonts w:ascii="Arial" w:hAnsi="Arial" w:cs="Arial"/>
        </w:rPr>
        <w:br/>
      </w:r>
    </w:p>
    <w:p w14:paraId="45EC373C" w14:textId="147C5AC4" w:rsidR="00556572" w:rsidRPr="005E2997" w:rsidRDefault="005E2997" w:rsidP="007B408F">
      <w:pPr>
        <w:spacing w:line="480" w:lineRule="auto"/>
        <w:rPr>
          <w:rFonts w:ascii="Arial" w:hAnsi="Arial" w:cs="Arial"/>
        </w:rPr>
      </w:pPr>
      <w:r w:rsidRPr="005E2997">
        <w:rPr>
          <w:rFonts w:ascii="Arial" w:hAnsi="Arial" w:cs="Arial"/>
          <w:b/>
        </w:rPr>
        <w:t xml:space="preserve">Supplementary Table 2: </w:t>
      </w:r>
      <w:r w:rsidR="00DF4786" w:rsidRPr="00DF4786">
        <w:rPr>
          <w:rFonts w:ascii="Arial" w:hAnsi="Arial" w:cs="Arial"/>
          <w:b/>
        </w:rPr>
        <w:t xml:space="preserve">List of patients from literature with 22 distinct phenotypes associated with genetic </w:t>
      </w:r>
      <w:r w:rsidR="00DF4786">
        <w:rPr>
          <w:rFonts w:ascii="Arial" w:hAnsi="Arial" w:cs="Arial"/>
          <w:b/>
        </w:rPr>
        <w:t>variants</w:t>
      </w:r>
      <w:r w:rsidR="00DF4786" w:rsidRPr="00DF4786">
        <w:rPr>
          <w:rFonts w:ascii="Arial" w:hAnsi="Arial" w:cs="Arial"/>
          <w:b/>
        </w:rPr>
        <w:t xml:space="preserve"> in voltage-gated sodium channels.</w:t>
      </w:r>
    </w:p>
    <w:p w14:paraId="6F177699" w14:textId="71DC0717" w:rsidR="00B27134" w:rsidRPr="007B408F" w:rsidRDefault="007B408F" w:rsidP="007B408F">
      <w:pPr>
        <w:rPr>
          <w:rFonts w:ascii="Times New Roman" w:eastAsiaTheme="majorEastAsia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br w:type="page"/>
      </w:r>
      <w:r w:rsidR="00B27134" w:rsidRPr="00B81669">
        <w:rPr>
          <w:rFonts w:ascii="Times New Roman" w:hAnsi="Times New Roman" w:cs="Times New Roman"/>
          <w:b/>
          <w:sz w:val="48"/>
          <w:szCs w:val="48"/>
        </w:rPr>
        <w:lastRenderedPageBreak/>
        <w:t>Supplementary Figures</w:t>
      </w:r>
    </w:p>
    <w:p w14:paraId="5F44B92D" w14:textId="77777777" w:rsidR="00FE1BBA" w:rsidRPr="00B27134" w:rsidRDefault="001B1096" w:rsidP="007B408F">
      <w:pPr>
        <w:spacing w:line="480" w:lineRule="auto"/>
        <w:rPr>
          <w:rFonts w:ascii="Arial" w:hAnsi="Arial" w:cs="Arial"/>
          <w:sz w:val="28"/>
        </w:rPr>
      </w:pPr>
    </w:p>
    <w:p w14:paraId="2960696B" w14:textId="3E67A1ED" w:rsidR="004C2F6E" w:rsidRPr="004C2F6E" w:rsidRDefault="007865D9" w:rsidP="007B408F">
      <w:pPr>
        <w:spacing w:line="480" w:lineRule="auto"/>
        <w:rPr>
          <w:rFonts w:ascii="Arial" w:hAnsi="Arial" w:cs="Arial"/>
          <w:sz w:val="28"/>
          <w:lang w:val="de-DE"/>
        </w:rPr>
      </w:pPr>
      <w:r w:rsidRPr="007865D9">
        <w:rPr>
          <w:rFonts w:ascii="Arial" w:hAnsi="Arial" w:cs="Arial"/>
          <w:noProof/>
          <w:sz w:val="28"/>
          <w:lang w:val="de-DE"/>
        </w:rPr>
        <w:drawing>
          <wp:inline distT="0" distB="0" distL="0" distR="0" wp14:anchorId="28BBD89E" wp14:editId="7F4E8831">
            <wp:extent cx="5760720" cy="49129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91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0696D" w14:textId="21C574A8" w:rsidR="004C2F6E" w:rsidRDefault="004A1B5A" w:rsidP="007B408F">
      <w:pPr>
        <w:spacing w:line="480" w:lineRule="auto"/>
        <w:rPr>
          <w:rFonts w:ascii="Arial" w:hAnsi="Arial" w:cs="Arial"/>
          <w:sz w:val="24"/>
        </w:rPr>
      </w:pPr>
      <w:r w:rsidRPr="004A1B5A">
        <w:rPr>
          <w:rFonts w:ascii="Arial" w:hAnsi="Arial" w:cs="Arial"/>
          <w:b/>
          <w:sz w:val="20"/>
        </w:rPr>
        <w:t xml:space="preserve">Supplementary Figure 1: Calculation of the </w:t>
      </w:r>
      <w:r w:rsidR="007A3AAE">
        <w:rPr>
          <w:rFonts w:ascii="Arial" w:hAnsi="Arial" w:cs="Arial"/>
          <w:b/>
          <w:sz w:val="20"/>
        </w:rPr>
        <w:t>likelihood ratio</w:t>
      </w:r>
      <w:r w:rsidRPr="004A1B5A">
        <w:rPr>
          <w:rFonts w:ascii="Arial" w:hAnsi="Arial" w:cs="Arial"/>
          <w:b/>
          <w:sz w:val="20"/>
        </w:rPr>
        <w:t xml:space="preserve"> in the presence of pathogenic paralogous variants. </w:t>
      </w:r>
      <w:r w:rsidRPr="004A1B5A">
        <w:rPr>
          <w:rFonts w:ascii="Arial" w:hAnsi="Arial" w:cs="Arial"/>
          <w:sz w:val="20"/>
        </w:rPr>
        <w:t>Evidence strength</w:t>
      </w:r>
      <w:r w:rsidR="00A10DE1">
        <w:rPr>
          <w:rFonts w:ascii="Arial" w:hAnsi="Arial" w:cs="Arial"/>
          <w:sz w:val="20"/>
        </w:rPr>
        <w:t>s</w:t>
      </w:r>
      <w:r w:rsidRPr="004A1B5A">
        <w:rPr>
          <w:rFonts w:ascii="Arial" w:hAnsi="Arial" w:cs="Arial"/>
          <w:sz w:val="20"/>
        </w:rPr>
        <w:t xml:space="preserve"> were obtained from </w:t>
      </w:r>
      <w:proofErr w:type="spellStart"/>
      <w:r w:rsidRPr="004A1B5A">
        <w:rPr>
          <w:rFonts w:ascii="Arial" w:hAnsi="Arial" w:cs="Arial"/>
          <w:sz w:val="20"/>
        </w:rPr>
        <w:t>Tavtigian</w:t>
      </w:r>
      <w:proofErr w:type="spellEnd"/>
      <w:r w:rsidRPr="004A1B5A">
        <w:rPr>
          <w:rFonts w:ascii="Arial" w:hAnsi="Arial" w:cs="Arial"/>
          <w:sz w:val="20"/>
        </w:rPr>
        <w:t xml:space="preserve"> et al., 2018 and consider</w:t>
      </w:r>
      <w:r w:rsidR="00A10DE1">
        <w:rPr>
          <w:rFonts w:ascii="Arial" w:hAnsi="Arial" w:cs="Arial"/>
          <w:sz w:val="20"/>
        </w:rPr>
        <w:t>ed</w:t>
      </w:r>
      <w:r w:rsidRPr="004A1B5A">
        <w:rPr>
          <w:rFonts w:ascii="Arial" w:hAnsi="Arial" w:cs="Arial"/>
          <w:sz w:val="20"/>
        </w:rPr>
        <w:t xml:space="preserve"> a prior probability of 0.1. 1Approach applied to determine the strength of ACMG criteria in </w:t>
      </w:r>
      <w:proofErr w:type="spellStart"/>
      <w:r w:rsidRPr="004A1B5A">
        <w:rPr>
          <w:rFonts w:ascii="Arial" w:hAnsi="Arial" w:cs="Arial"/>
          <w:sz w:val="20"/>
        </w:rPr>
        <w:t>Tavtigian</w:t>
      </w:r>
      <w:proofErr w:type="spellEnd"/>
      <w:r w:rsidRPr="004A1B5A">
        <w:rPr>
          <w:rFonts w:ascii="Arial" w:hAnsi="Arial" w:cs="Arial"/>
          <w:sz w:val="20"/>
        </w:rPr>
        <w:t xml:space="preserve"> et al. 2018.</w:t>
      </w:r>
      <w:r w:rsidR="004C2F6E" w:rsidRPr="00382007">
        <w:rPr>
          <w:rFonts w:ascii="Arial" w:hAnsi="Arial" w:cs="Arial"/>
          <w:b/>
          <w:sz w:val="24"/>
        </w:rPr>
        <w:br/>
      </w:r>
      <w:r w:rsidR="004C2F6E" w:rsidRPr="00382007">
        <w:rPr>
          <w:rFonts w:ascii="Arial" w:hAnsi="Arial" w:cs="Arial"/>
          <w:b/>
          <w:sz w:val="24"/>
        </w:rPr>
        <w:br/>
      </w:r>
    </w:p>
    <w:p w14:paraId="2960696E" w14:textId="0B74897E" w:rsidR="004C2F6E" w:rsidRDefault="00C305F2" w:rsidP="007B408F">
      <w:pPr>
        <w:spacing w:line="480" w:lineRule="auto"/>
        <w:rPr>
          <w:rFonts w:ascii="Arial" w:hAnsi="Arial" w:cs="Arial"/>
          <w:sz w:val="24"/>
        </w:rPr>
      </w:pPr>
      <w:r w:rsidRPr="00C305F2">
        <w:rPr>
          <w:rFonts w:ascii="Arial" w:hAnsi="Arial" w:cs="Arial"/>
          <w:noProof/>
          <w:sz w:val="24"/>
        </w:rPr>
        <w:lastRenderedPageBreak/>
        <w:drawing>
          <wp:inline distT="0" distB="0" distL="0" distR="0" wp14:anchorId="10CB596E" wp14:editId="34BADE77">
            <wp:extent cx="5122413" cy="3669030"/>
            <wp:effectExtent l="0" t="0" r="254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32745" cy="3676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0696F" w14:textId="515E9A2F" w:rsidR="007865D9" w:rsidRDefault="004C2F6E" w:rsidP="007B408F">
      <w:pPr>
        <w:spacing w:line="480" w:lineRule="auto"/>
        <w:jc w:val="both"/>
        <w:rPr>
          <w:rFonts w:ascii="Arial" w:hAnsi="Arial" w:cs="Arial"/>
          <w:sz w:val="20"/>
        </w:rPr>
      </w:pPr>
      <w:r w:rsidRPr="00382007">
        <w:rPr>
          <w:rFonts w:ascii="Arial" w:hAnsi="Arial" w:cs="Arial"/>
          <w:b/>
          <w:bCs/>
          <w:sz w:val="20"/>
        </w:rPr>
        <w:t xml:space="preserve">Supplementary Figure 2: </w:t>
      </w:r>
      <w:r w:rsidR="00AA5556" w:rsidRPr="00AA5556">
        <w:rPr>
          <w:rFonts w:ascii="Arial" w:hAnsi="Arial" w:cs="Arial"/>
          <w:b/>
          <w:bCs/>
          <w:sz w:val="20"/>
        </w:rPr>
        <w:t xml:space="preserve">The </w:t>
      </w:r>
      <w:proofErr w:type="spellStart"/>
      <w:r w:rsidR="00AA5556" w:rsidRPr="00AA5556">
        <w:rPr>
          <w:rFonts w:ascii="Arial" w:hAnsi="Arial" w:cs="Arial"/>
          <w:b/>
          <w:bCs/>
          <w:sz w:val="20"/>
        </w:rPr>
        <w:t>barplot</w:t>
      </w:r>
      <w:proofErr w:type="spellEnd"/>
      <w:r w:rsidR="00AA5556" w:rsidRPr="00AA5556">
        <w:rPr>
          <w:rFonts w:ascii="Arial" w:hAnsi="Arial" w:cs="Arial"/>
          <w:b/>
          <w:bCs/>
          <w:sz w:val="20"/>
        </w:rPr>
        <w:t xml:space="preserve"> shows </w:t>
      </w:r>
      <w:r w:rsidR="00A10DE1">
        <w:rPr>
          <w:rFonts w:ascii="Arial" w:hAnsi="Arial" w:cs="Arial"/>
          <w:b/>
          <w:bCs/>
          <w:sz w:val="20"/>
        </w:rPr>
        <w:t xml:space="preserve">a </w:t>
      </w:r>
      <w:r w:rsidR="00AA5556" w:rsidRPr="00AA5556">
        <w:rPr>
          <w:rFonts w:ascii="Arial" w:hAnsi="Arial" w:cs="Arial"/>
          <w:b/>
          <w:bCs/>
          <w:sz w:val="20"/>
        </w:rPr>
        <w:t xml:space="preserve">fold-wise increase in pathogenic variant residue coverage with consideration of paralog genes compared to </w:t>
      </w:r>
      <w:r w:rsidR="00A10DE1">
        <w:rPr>
          <w:rFonts w:ascii="Arial" w:hAnsi="Arial" w:cs="Arial"/>
          <w:b/>
          <w:bCs/>
          <w:sz w:val="20"/>
        </w:rPr>
        <w:t xml:space="preserve">the </w:t>
      </w:r>
      <w:r w:rsidR="00AA5556" w:rsidRPr="00AA5556">
        <w:rPr>
          <w:rFonts w:ascii="Arial" w:hAnsi="Arial" w:cs="Arial"/>
          <w:b/>
          <w:bCs/>
          <w:sz w:val="20"/>
        </w:rPr>
        <w:t>same gene only.</w:t>
      </w:r>
      <w:r w:rsidR="00AA5556">
        <w:rPr>
          <w:rFonts w:ascii="Arial" w:hAnsi="Arial" w:cs="Arial"/>
          <w:b/>
          <w:bCs/>
          <w:sz w:val="20"/>
        </w:rPr>
        <w:t xml:space="preserve"> </w:t>
      </w:r>
      <w:r w:rsidRPr="00382007">
        <w:rPr>
          <w:rFonts w:ascii="Arial" w:hAnsi="Arial" w:cs="Arial"/>
          <w:sz w:val="20"/>
        </w:rPr>
        <w:t xml:space="preserve">The fold-change is stratified by the number of genes in a gene family. </w:t>
      </w:r>
    </w:p>
    <w:p w14:paraId="29606976" w14:textId="4659D0D5" w:rsidR="004C2F6E" w:rsidRPr="00AC3483" w:rsidRDefault="004C2F6E">
      <w:pPr>
        <w:rPr>
          <w:rFonts w:ascii="Arial" w:hAnsi="Arial" w:cs="Arial"/>
          <w:sz w:val="20"/>
        </w:rPr>
      </w:pPr>
      <w:r w:rsidRPr="004C2F6E">
        <w:rPr>
          <w:rFonts w:ascii="Arial" w:hAnsi="Arial" w:cs="Arial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60697F" wp14:editId="29606980">
                <wp:simplePos x="0" y="0"/>
                <wp:positionH relativeFrom="column">
                  <wp:posOffset>-899795</wp:posOffset>
                </wp:positionH>
                <wp:positionV relativeFrom="paragraph">
                  <wp:posOffset>-4749800</wp:posOffset>
                </wp:positionV>
                <wp:extent cx="8883390" cy="646331"/>
                <wp:effectExtent l="0" t="0" r="0" b="0"/>
                <wp:wrapNone/>
                <wp:docPr id="134" name="TextBox 133">
                  <a:extLst xmlns:a="http://schemas.openxmlformats.org/drawingml/2006/main">
                    <a:ext uri="{FF2B5EF4-FFF2-40B4-BE49-F238E27FC236}">
                      <a16:creationId xmlns:a16="http://schemas.microsoft.com/office/drawing/2014/main" id="{600695FC-0DE3-4A51-AD7F-2B422956028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83390" cy="6463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9606981" w14:textId="77777777" w:rsidR="004C2F6E" w:rsidRDefault="004C2F6E" w:rsidP="004C2F6E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960697F" id="_x0000_t202" coordsize="21600,21600" o:spt="202" path="m,l,21600r21600,l21600,xe">
                <v:stroke joinstyle="miter"/>
                <v:path gradientshapeok="t" o:connecttype="rect"/>
              </v:shapetype>
              <v:shape id="TextBox 133" o:spid="_x0000_s1026" type="#_x0000_t202" style="position:absolute;margin-left:-70.85pt;margin-top:-374pt;width:699.5pt;height:50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" filled="f" stroked="f">
                <v:textbox style="mso-fit-shape-to-text:t">
                  <w:txbxContent>
                    <w:p w14:paraId="29606981" w14:textId="77777777" w:rsidR="004C2F6E" w:rsidRDefault="004C2F6E" w:rsidP="004C2F6E">
                      <w:pPr>
                        <w:pStyle w:val="NormalWeb"/>
                        <w:spacing w:before="0" w:beforeAutospacing="0" w:after="0" w:afterAutospacing="0"/>
                      </w:pPr>
                    </w:p>
                  </w:txbxContent>
                </v:textbox>
              </v:shape>
            </w:pict>
          </mc:Fallback>
        </mc:AlternateContent>
      </w:r>
    </w:p>
    <w:sectPr w:rsidR="004C2F6E" w:rsidRPr="00AC348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C3sLQ0MjQxMjU2MTdV0lEKTi0uzszPAykwNK4FAGxR0oUtAAAA"/>
  </w:docVars>
  <w:rsids>
    <w:rsidRoot w:val="004C2F6E"/>
    <w:rsid w:val="00097D57"/>
    <w:rsid w:val="000A5970"/>
    <w:rsid w:val="000E201D"/>
    <w:rsid w:val="00154EAD"/>
    <w:rsid w:val="001B1096"/>
    <w:rsid w:val="00310128"/>
    <w:rsid w:val="00382007"/>
    <w:rsid w:val="00406315"/>
    <w:rsid w:val="004A1B5A"/>
    <w:rsid w:val="004C2F6E"/>
    <w:rsid w:val="00556572"/>
    <w:rsid w:val="00587BEB"/>
    <w:rsid w:val="005B03DB"/>
    <w:rsid w:val="005E2997"/>
    <w:rsid w:val="006C74AA"/>
    <w:rsid w:val="007803C9"/>
    <w:rsid w:val="007843F3"/>
    <w:rsid w:val="007865D9"/>
    <w:rsid w:val="007963CE"/>
    <w:rsid w:val="007A3AAE"/>
    <w:rsid w:val="007B408F"/>
    <w:rsid w:val="00890F04"/>
    <w:rsid w:val="008B198C"/>
    <w:rsid w:val="008B77AF"/>
    <w:rsid w:val="008F2036"/>
    <w:rsid w:val="0093266E"/>
    <w:rsid w:val="00A10DE1"/>
    <w:rsid w:val="00AA5556"/>
    <w:rsid w:val="00AC0753"/>
    <w:rsid w:val="00AC3483"/>
    <w:rsid w:val="00AF3E4A"/>
    <w:rsid w:val="00B27134"/>
    <w:rsid w:val="00B56C86"/>
    <w:rsid w:val="00B81669"/>
    <w:rsid w:val="00BA14E2"/>
    <w:rsid w:val="00C305F2"/>
    <w:rsid w:val="00C778E4"/>
    <w:rsid w:val="00CA61D7"/>
    <w:rsid w:val="00D73516"/>
    <w:rsid w:val="00DC4961"/>
    <w:rsid w:val="00DD1FD2"/>
    <w:rsid w:val="00DF4786"/>
    <w:rsid w:val="00F400BE"/>
    <w:rsid w:val="00FE3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60696A"/>
  <w15:chartTrackingRefBased/>
  <w15:docId w15:val="{BEFCD300-15DB-46D8-9053-C4EC5212C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713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B2713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C2F6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07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753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97D5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97D5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97D57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7D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7D57"/>
    <w:rPr>
      <w:b/>
      <w:bCs/>
      <w:sz w:val="20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B27134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styleId="PlaceholderText">
    <w:name w:val="Placeholder Text"/>
    <w:basedOn w:val="DefaultParagraphFont"/>
    <w:uiPriority w:val="99"/>
    <w:semiHidden/>
    <w:rsid w:val="00B27134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B2713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table" w:styleId="TableGrid">
    <w:name w:val="Table Grid"/>
    <w:basedOn w:val="TableNormal"/>
    <w:uiPriority w:val="39"/>
    <w:rsid w:val="005E2997"/>
    <w:pPr>
      <w:spacing w:after="0" w:line="240" w:lineRule="auto"/>
    </w:pPr>
    <w:rPr>
      <w:kern w:val="2"/>
      <w:lang w:val="ru-RU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1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4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276156-075C-4104-9D04-BA78E893C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 Brünger</dc:creator>
  <cp:keywords/>
  <dc:description/>
  <cp:lastModifiedBy>Bruenger, Tobias</cp:lastModifiedBy>
  <cp:revision>2</cp:revision>
  <dcterms:created xsi:type="dcterms:W3CDTF">2024-11-11T14:19:00Z</dcterms:created>
  <dcterms:modified xsi:type="dcterms:W3CDTF">2024-11-11T14:19:00Z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8564fac29553b69fdd25f6b38a29bb94918ddea5ed3783c4ecc43b4889669d96</vt:lpwstr>
  </property>
</Properties>
</file>