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DF423" w14:textId="1DABBB7E" w:rsidR="00BD303F" w:rsidRDefault="00BD303F" w:rsidP="00BD303F">
      <w:pPr>
        <w:jc w:val="center"/>
        <w:rPr>
          <w:rFonts w:ascii="Times" w:eastAsia="Times" w:hAnsi="Times"/>
          <w:b/>
          <w:color w:val="000000" w:themeColor="text1"/>
          <w:lang w:val="en-GB"/>
        </w:rPr>
      </w:pPr>
      <w:r>
        <w:rPr>
          <w:rFonts w:ascii="Times" w:eastAsia="Times" w:hAnsi="Times"/>
          <w:b/>
          <w:color w:val="000000" w:themeColor="text1"/>
          <w:lang w:val="en-GB"/>
        </w:rPr>
        <w:t>Supplementary material</w:t>
      </w:r>
    </w:p>
    <w:p w14:paraId="37FDC26E" w14:textId="77777777" w:rsidR="00BD303F" w:rsidRDefault="00BD303F" w:rsidP="00BD303F">
      <w:pPr>
        <w:jc w:val="center"/>
        <w:rPr>
          <w:rFonts w:ascii="Times" w:eastAsia="Times" w:hAnsi="Times"/>
          <w:b/>
          <w:color w:val="000000" w:themeColor="text1"/>
          <w:lang w:val="en-GB"/>
        </w:rPr>
      </w:pPr>
    </w:p>
    <w:p w14:paraId="53CE23FA" w14:textId="600B991C" w:rsidR="00BD303F" w:rsidRPr="00531F4C" w:rsidRDefault="00BD303F" w:rsidP="00BD303F">
      <w:pPr>
        <w:jc w:val="center"/>
        <w:rPr>
          <w:rFonts w:ascii="Times" w:hAnsi="Times"/>
          <w:lang w:val="en-GB"/>
        </w:rPr>
      </w:pPr>
      <w:r w:rsidRPr="00531F4C">
        <w:rPr>
          <w:rFonts w:ascii="Times" w:eastAsia="Times" w:hAnsi="Times"/>
          <w:b/>
          <w:color w:val="000000" w:themeColor="text1"/>
          <w:lang w:val="en-GB"/>
        </w:rPr>
        <w:t>State-of-the-art of FAPI-PET imaging: a systematic review and meta-analysis</w:t>
      </w:r>
    </w:p>
    <w:p w14:paraId="26470B55" w14:textId="77777777" w:rsidR="00BD303F" w:rsidRPr="00531F4C" w:rsidRDefault="00BD303F" w:rsidP="00BD303F">
      <w:pPr>
        <w:spacing w:after="160" w:line="259" w:lineRule="auto"/>
        <w:jc w:val="both"/>
        <w:rPr>
          <w:rFonts w:ascii="Times" w:eastAsia="Times" w:hAnsi="Times"/>
          <w:b/>
          <w:color w:val="000000" w:themeColor="text1"/>
          <w:sz w:val="22"/>
          <w:szCs w:val="22"/>
          <w:lang w:val="en-GB"/>
        </w:rPr>
      </w:pPr>
    </w:p>
    <w:p w14:paraId="0E8A89BC" w14:textId="77777777" w:rsidR="00BD303F" w:rsidRPr="00B01758" w:rsidRDefault="00BD303F" w:rsidP="00BD303F">
      <w:pPr>
        <w:spacing w:after="160" w:line="259" w:lineRule="auto"/>
        <w:jc w:val="both"/>
        <w:rPr>
          <w:rFonts w:ascii="Times" w:eastAsia="Times" w:hAnsi="Times"/>
          <w:bCs/>
          <w:color w:val="000000" w:themeColor="text1"/>
          <w:sz w:val="22"/>
          <w:szCs w:val="22"/>
        </w:rPr>
      </w:pPr>
      <w:r w:rsidRPr="00B01758">
        <w:rPr>
          <w:rFonts w:ascii="Times" w:eastAsia="Times" w:hAnsi="Times"/>
          <w:bCs/>
          <w:color w:val="000000" w:themeColor="text1"/>
          <w:sz w:val="22"/>
          <w:szCs w:val="22"/>
        </w:rPr>
        <w:t>Martina Sollini°</w:t>
      </w:r>
      <w:r w:rsidRPr="00B01758">
        <w:rPr>
          <w:rFonts w:ascii="Times" w:eastAsia="Times" w:hAnsi="Times"/>
          <w:bCs/>
          <w:color w:val="000000" w:themeColor="text1"/>
          <w:sz w:val="22"/>
          <w:szCs w:val="22"/>
          <w:vertAlign w:val="superscript"/>
        </w:rPr>
        <w:t>1,2</w:t>
      </w:r>
      <w:r w:rsidRPr="00B01758">
        <w:rPr>
          <w:rFonts w:ascii="Times" w:eastAsia="Times" w:hAnsi="Times"/>
          <w:bCs/>
          <w:color w:val="000000" w:themeColor="text1"/>
          <w:sz w:val="22"/>
          <w:szCs w:val="22"/>
        </w:rPr>
        <w:t>, Margarita Kirienko°</w:t>
      </w:r>
      <w:r w:rsidRPr="00B01758">
        <w:rPr>
          <w:rFonts w:ascii="Times" w:eastAsia="Times" w:hAnsi="Times"/>
          <w:bCs/>
          <w:color w:val="000000" w:themeColor="text1"/>
          <w:sz w:val="22"/>
          <w:szCs w:val="22"/>
          <w:vertAlign w:val="superscript"/>
        </w:rPr>
        <w:t>3</w:t>
      </w:r>
      <w:r w:rsidRPr="00B01758">
        <w:rPr>
          <w:rFonts w:ascii="Times" w:eastAsia="Times" w:hAnsi="Times"/>
          <w:bCs/>
          <w:color w:val="000000" w:themeColor="text1"/>
          <w:sz w:val="22"/>
          <w:szCs w:val="22"/>
        </w:rPr>
        <w:t xml:space="preserve">, Fabrizia </w:t>
      </w:r>
      <w:proofErr w:type="spellStart"/>
      <w:r w:rsidRPr="00B01758">
        <w:rPr>
          <w:rFonts w:ascii="Times" w:eastAsia="Times" w:hAnsi="Times"/>
          <w:bCs/>
          <w:color w:val="000000" w:themeColor="text1"/>
          <w:sz w:val="22"/>
          <w:szCs w:val="22"/>
        </w:rPr>
        <w:t>Gelardi</w:t>
      </w:r>
      <w:proofErr w:type="spellEnd"/>
      <w:r w:rsidRPr="00B01758">
        <w:rPr>
          <w:rFonts w:ascii="Times" w:eastAsia="Times" w:hAnsi="Times"/>
          <w:bCs/>
          <w:color w:val="000000" w:themeColor="text1"/>
          <w:sz w:val="22"/>
          <w:szCs w:val="22"/>
        </w:rPr>
        <w:t>*</w:t>
      </w:r>
      <w:r w:rsidRPr="00B01758">
        <w:rPr>
          <w:rFonts w:ascii="Times" w:eastAsia="Times" w:hAnsi="Times"/>
          <w:bCs/>
          <w:color w:val="000000" w:themeColor="text1"/>
          <w:sz w:val="22"/>
          <w:szCs w:val="22"/>
          <w:vertAlign w:val="superscript"/>
        </w:rPr>
        <w:t>1,2</w:t>
      </w:r>
      <w:r w:rsidRPr="00B01758">
        <w:rPr>
          <w:rFonts w:ascii="Times" w:eastAsia="Times" w:hAnsi="Times"/>
          <w:bCs/>
          <w:color w:val="000000" w:themeColor="text1"/>
          <w:sz w:val="22"/>
          <w:szCs w:val="22"/>
        </w:rPr>
        <w:t>, Francesco Fiz</w:t>
      </w:r>
      <w:r w:rsidRPr="00B01758">
        <w:rPr>
          <w:rFonts w:ascii="Times" w:eastAsia="Times" w:hAnsi="Times"/>
          <w:bCs/>
          <w:color w:val="000000" w:themeColor="text1"/>
          <w:sz w:val="22"/>
          <w:szCs w:val="22"/>
          <w:vertAlign w:val="superscript"/>
        </w:rPr>
        <w:t>2</w:t>
      </w:r>
      <w:r w:rsidRPr="00B01758">
        <w:rPr>
          <w:rFonts w:ascii="Times" w:eastAsia="Times" w:hAnsi="Times"/>
          <w:bCs/>
          <w:color w:val="000000" w:themeColor="text1"/>
          <w:sz w:val="22"/>
          <w:szCs w:val="22"/>
        </w:rPr>
        <w:t>, Noemi Gozzi</w:t>
      </w:r>
      <w:r w:rsidRPr="00B01758">
        <w:rPr>
          <w:rFonts w:ascii="Times" w:eastAsia="Times" w:hAnsi="Times"/>
          <w:bCs/>
          <w:color w:val="000000" w:themeColor="text1"/>
          <w:sz w:val="22"/>
          <w:szCs w:val="22"/>
          <w:vertAlign w:val="superscript"/>
        </w:rPr>
        <w:t>2</w:t>
      </w:r>
      <w:r w:rsidRPr="00B01758">
        <w:rPr>
          <w:rFonts w:ascii="Times" w:eastAsia="Times" w:hAnsi="Times"/>
          <w:bCs/>
          <w:color w:val="000000" w:themeColor="text1"/>
          <w:sz w:val="22"/>
          <w:szCs w:val="22"/>
        </w:rPr>
        <w:t>, Arturo Chiti</w:t>
      </w:r>
      <w:r w:rsidRPr="00B01758">
        <w:rPr>
          <w:rFonts w:ascii="Times" w:eastAsia="Times" w:hAnsi="Times"/>
          <w:bCs/>
          <w:color w:val="000000" w:themeColor="text1"/>
          <w:sz w:val="22"/>
          <w:szCs w:val="22"/>
          <w:vertAlign w:val="superscript"/>
        </w:rPr>
        <w:t>1,2</w:t>
      </w:r>
    </w:p>
    <w:p w14:paraId="73D29A34" w14:textId="77777777" w:rsidR="00BD303F" w:rsidRPr="00B01758" w:rsidRDefault="00BD303F" w:rsidP="00BD303F">
      <w:pPr>
        <w:spacing w:after="160" w:line="259" w:lineRule="auto"/>
        <w:jc w:val="both"/>
        <w:rPr>
          <w:rFonts w:ascii="Times" w:eastAsia="Times" w:hAnsi="Times"/>
          <w:b/>
          <w:color w:val="000000" w:themeColor="text1"/>
          <w:sz w:val="22"/>
          <w:szCs w:val="22"/>
        </w:rPr>
      </w:pPr>
    </w:p>
    <w:p w14:paraId="7172C3D5" w14:textId="77777777" w:rsidR="00BD303F" w:rsidRPr="00B01758" w:rsidRDefault="00BD303F" w:rsidP="00BD303F">
      <w:pPr>
        <w:spacing w:after="160" w:line="259" w:lineRule="auto"/>
        <w:jc w:val="both"/>
        <w:rPr>
          <w:rFonts w:ascii="Times" w:eastAsia="Times" w:hAnsi="Times"/>
          <w:b/>
          <w:color w:val="000000" w:themeColor="text1"/>
          <w:sz w:val="22"/>
          <w:szCs w:val="22"/>
        </w:rPr>
      </w:pPr>
    </w:p>
    <w:p w14:paraId="5ACFC7D3" w14:textId="77777777" w:rsidR="00BD303F" w:rsidRPr="00B01758" w:rsidRDefault="00BD303F" w:rsidP="00BD303F">
      <w:pPr>
        <w:spacing w:after="160" w:line="259" w:lineRule="auto"/>
        <w:jc w:val="both"/>
        <w:rPr>
          <w:rFonts w:ascii="Times" w:eastAsia="Times" w:hAnsi="Times"/>
          <w:b/>
          <w:color w:val="000000" w:themeColor="text1"/>
          <w:sz w:val="22"/>
          <w:szCs w:val="22"/>
        </w:rPr>
      </w:pPr>
    </w:p>
    <w:p w14:paraId="7031D6D2" w14:textId="77777777" w:rsidR="00BD303F" w:rsidRPr="00531F4C" w:rsidRDefault="00BD303F" w:rsidP="00BD303F">
      <w:pPr>
        <w:numPr>
          <w:ilvl w:val="0"/>
          <w:numId w:val="1"/>
        </w:numPr>
        <w:spacing w:line="480" w:lineRule="auto"/>
        <w:ind w:left="0" w:firstLine="0"/>
        <w:jc w:val="both"/>
        <w:rPr>
          <w:rFonts w:ascii="Times" w:hAnsi="Times"/>
          <w:color w:val="000000" w:themeColor="text1"/>
          <w:sz w:val="22"/>
          <w:szCs w:val="22"/>
          <w:lang w:val="en-GB"/>
        </w:rPr>
      </w:pPr>
      <w:r w:rsidRPr="00531F4C">
        <w:rPr>
          <w:rFonts w:ascii="Times" w:hAnsi="Times"/>
          <w:color w:val="000000" w:themeColor="text1"/>
          <w:sz w:val="22"/>
          <w:szCs w:val="22"/>
          <w:lang w:val="en-GB"/>
        </w:rPr>
        <w:t xml:space="preserve">Department of Biomedical Sciences, </w:t>
      </w:r>
      <w:proofErr w:type="spellStart"/>
      <w:r w:rsidRPr="00531F4C">
        <w:rPr>
          <w:rFonts w:ascii="Times" w:hAnsi="Times"/>
          <w:color w:val="000000" w:themeColor="text1"/>
          <w:sz w:val="22"/>
          <w:szCs w:val="22"/>
          <w:lang w:val="en-GB"/>
        </w:rPr>
        <w:t>Humanitas</w:t>
      </w:r>
      <w:proofErr w:type="spellEnd"/>
      <w:r w:rsidRPr="00531F4C">
        <w:rPr>
          <w:rFonts w:ascii="Times" w:hAnsi="Times"/>
          <w:color w:val="000000" w:themeColor="text1"/>
          <w:sz w:val="22"/>
          <w:szCs w:val="22"/>
          <w:lang w:val="en-GB"/>
        </w:rPr>
        <w:t xml:space="preserve"> University, Via Rita Levi </w:t>
      </w:r>
      <w:proofErr w:type="spellStart"/>
      <w:r w:rsidRPr="00531F4C">
        <w:rPr>
          <w:rFonts w:ascii="Times" w:hAnsi="Times"/>
          <w:color w:val="000000" w:themeColor="text1"/>
          <w:sz w:val="22"/>
          <w:szCs w:val="22"/>
          <w:lang w:val="en-GB"/>
        </w:rPr>
        <w:t>Montalcini</w:t>
      </w:r>
      <w:proofErr w:type="spellEnd"/>
      <w:r w:rsidRPr="00531F4C">
        <w:rPr>
          <w:rFonts w:ascii="Times" w:hAnsi="Times"/>
          <w:color w:val="000000" w:themeColor="text1"/>
          <w:sz w:val="22"/>
          <w:szCs w:val="22"/>
          <w:lang w:val="en-GB"/>
        </w:rPr>
        <w:t xml:space="preserve"> 4, 20090 </w:t>
      </w:r>
      <w:proofErr w:type="spellStart"/>
      <w:r w:rsidRPr="00531F4C">
        <w:rPr>
          <w:rFonts w:ascii="Times" w:hAnsi="Times"/>
          <w:color w:val="000000" w:themeColor="text1"/>
          <w:sz w:val="22"/>
          <w:szCs w:val="22"/>
          <w:lang w:val="en-GB"/>
        </w:rPr>
        <w:t>Pieve</w:t>
      </w:r>
      <w:proofErr w:type="spellEnd"/>
      <w:r w:rsidRPr="00531F4C">
        <w:rPr>
          <w:rFonts w:ascii="Times" w:hAnsi="Times"/>
          <w:color w:val="000000" w:themeColor="text1"/>
          <w:sz w:val="22"/>
          <w:szCs w:val="22"/>
          <w:lang w:val="en-GB"/>
        </w:rPr>
        <w:t xml:space="preserve"> Emanuele, Milan, Italy</w:t>
      </w:r>
    </w:p>
    <w:p w14:paraId="430B2914" w14:textId="77777777" w:rsidR="00BD303F" w:rsidRPr="00531F4C" w:rsidRDefault="00BD303F" w:rsidP="00BD303F">
      <w:pPr>
        <w:pStyle w:val="Paragrafoelenco"/>
        <w:numPr>
          <w:ilvl w:val="0"/>
          <w:numId w:val="1"/>
        </w:numPr>
        <w:spacing w:before="100" w:beforeAutospacing="1" w:after="100" w:afterAutospacing="1" w:line="480" w:lineRule="auto"/>
        <w:ind w:left="0" w:firstLine="0"/>
        <w:jc w:val="both"/>
        <w:rPr>
          <w:rFonts w:ascii="Times" w:hAnsi="Times" w:cs="Times New Roman"/>
          <w:color w:val="000000" w:themeColor="text1"/>
          <w:sz w:val="22"/>
          <w:szCs w:val="22"/>
          <w:lang w:val="en-GB"/>
        </w:rPr>
      </w:pPr>
      <w:r w:rsidRPr="00531F4C">
        <w:rPr>
          <w:rFonts w:ascii="Times" w:hAnsi="Times" w:cs="Times New Roman"/>
          <w:color w:val="000000" w:themeColor="text1"/>
          <w:sz w:val="22"/>
          <w:szCs w:val="22"/>
          <w:lang w:val="en-GB"/>
        </w:rPr>
        <w:t xml:space="preserve">IRCCS </w:t>
      </w:r>
      <w:proofErr w:type="spellStart"/>
      <w:r w:rsidRPr="00531F4C">
        <w:rPr>
          <w:rFonts w:ascii="Times" w:hAnsi="Times" w:cs="Times New Roman"/>
          <w:color w:val="000000" w:themeColor="text1"/>
          <w:sz w:val="22"/>
          <w:szCs w:val="22"/>
          <w:lang w:val="en-GB"/>
        </w:rPr>
        <w:t>Humanitas</w:t>
      </w:r>
      <w:proofErr w:type="spellEnd"/>
      <w:r w:rsidRPr="00531F4C">
        <w:rPr>
          <w:rFonts w:ascii="Times" w:hAnsi="Times" w:cs="Times New Roman"/>
          <w:color w:val="000000" w:themeColor="text1"/>
          <w:sz w:val="22"/>
          <w:szCs w:val="22"/>
          <w:lang w:val="en-GB"/>
        </w:rPr>
        <w:t xml:space="preserve"> Research Hospital, Via Manzoni 56, 20089 </w:t>
      </w:r>
      <w:proofErr w:type="spellStart"/>
      <w:r w:rsidRPr="00531F4C">
        <w:rPr>
          <w:rFonts w:ascii="Times" w:hAnsi="Times" w:cs="Times New Roman"/>
          <w:color w:val="000000" w:themeColor="text1"/>
          <w:sz w:val="22"/>
          <w:szCs w:val="22"/>
          <w:lang w:val="en-GB"/>
        </w:rPr>
        <w:t>Rozzano</w:t>
      </w:r>
      <w:proofErr w:type="spellEnd"/>
      <w:r w:rsidRPr="00531F4C">
        <w:rPr>
          <w:rFonts w:ascii="Times" w:hAnsi="Times" w:cs="Times New Roman"/>
          <w:color w:val="000000" w:themeColor="text1"/>
          <w:sz w:val="22"/>
          <w:szCs w:val="22"/>
          <w:lang w:val="en-GB"/>
        </w:rPr>
        <w:t xml:space="preserve">, Milan, Italy </w:t>
      </w:r>
    </w:p>
    <w:p w14:paraId="1E33C899" w14:textId="77777777" w:rsidR="00BD303F" w:rsidRPr="00B01758" w:rsidRDefault="00BD303F" w:rsidP="00BD303F">
      <w:pPr>
        <w:numPr>
          <w:ilvl w:val="0"/>
          <w:numId w:val="1"/>
        </w:numPr>
        <w:spacing w:line="480" w:lineRule="auto"/>
        <w:ind w:left="0" w:firstLine="0"/>
        <w:jc w:val="both"/>
        <w:rPr>
          <w:rFonts w:ascii="Times" w:hAnsi="Times"/>
          <w:color w:val="000000" w:themeColor="text1"/>
          <w:sz w:val="22"/>
          <w:szCs w:val="22"/>
        </w:rPr>
      </w:pPr>
      <w:r w:rsidRPr="00B01758">
        <w:rPr>
          <w:rFonts w:ascii="Times" w:hAnsi="Times"/>
          <w:color w:val="000000" w:themeColor="text1"/>
          <w:sz w:val="22"/>
          <w:szCs w:val="22"/>
        </w:rPr>
        <w:t xml:space="preserve">Fondazione IRCCS Istituto Nazionale Tumori, Via G. </w:t>
      </w:r>
      <w:proofErr w:type="spellStart"/>
      <w:r w:rsidRPr="00B01758">
        <w:rPr>
          <w:rFonts w:ascii="Times" w:hAnsi="Times"/>
          <w:color w:val="000000" w:themeColor="text1"/>
          <w:sz w:val="22"/>
          <w:szCs w:val="22"/>
        </w:rPr>
        <w:t>Venezian</w:t>
      </w:r>
      <w:proofErr w:type="spellEnd"/>
      <w:r w:rsidRPr="00B01758">
        <w:rPr>
          <w:rFonts w:ascii="Times" w:hAnsi="Times"/>
          <w:color w:val="000000" w:themeColor="text1"/>
          <w:sz w:val="22"/>
          <w:szCs w:val="22"/>
        </w:rPr>
        <w:t xml:space="preserve"> 1, 20133 Milan, </w:t>
      </w:r>
      <w:proofErr w:type="spellStart"/>
      <w:r w:rsidRPr="00B01758">
        <w:rPr>
          <w:rFonts w:ascii="Times" w:hAnsi="Times"/>
          <w:color w:val="000000" w:themeColor="text1"/>
          <w:sz w:val="22"/>
          <w:szCs w:val="22"/>
        </w:rPr>
        <w:t>Italy</w:t>
      </w:r>
      <w:proofErr w:type="spellEnd"/>
    </w:p>
    <w:p w14:paraId="43A35160" w14:textId="77777777" w:rsidR="00BD303F" w:rsidRPr="00B01758" w:rsidRDefault="00BD303F" w:rsidP="00BD303F">
      <w:pPr>
        <w:spacing w:after="160" w:line="259" w:lineRule="auto"/>
        <w:jc w:val="both"/>
        <w:rPr>
          <w:rFonts w:ascii="Times" w:eastAsia="Times" w:hAnsi="Times"/>
          <w:b/>
          <w:color w:val="000000" w:themeColor="text1"/>
          <w:sz w:val="22"/>
          <w:szCs w:val="22"/>
        </w:rPr>
      </w:pPr>
    </w:p>
    <w:p w14:paraId="6B75A7C3" w14:textId="77777777" w:rsidR="00BD303F" w:rsidRPr="00B01758" w:rsidRDefault="00BD303F" w:rsidP="00BD303F">
      <w:pPr>
        <w:spacing w:after="160" w:line="259" w:lineRule="auto"/>
        <w:jc w:val="both"/>
        <w:rPr>
          <w:rFonts w:ascii="Times" w:eastAsia="Times" w:hAnsi="Times"/>
          <w:b/>
          <w:color w:val="000000" w:themeColor="text1"/>
          <w:sz w:val="22"/>
          <w:szCs w:val="22"/>
        </w:rPr>
      </w:pPr>
    </w:p>
    <w:p w14:paraId="1BB1E684" w14:textId="77777777" w:rsidR="00BD303F" w:rsidRPr="00531F4C" w:rsidRDefault="00BD303F" w:rsidP="00BD303F">
      <w:pPr>
        <w:spacing w:after="160" w:line="259" w:lineRule="auto"/>
        <w:jc w:val="both"/>
        <w:rPr>
          <w:rFonts w:ascii="Times" w:hAnsi="Times"/>
          <w:color w:val="000000" w:themeColor="text1"/>
          <w:sz w:val="22"/>
          <w:szCs w:val="22"/>
          <w:lang w:val="en-GB"/>
        </w:rPr>
      </w:pPr>
      <w:r w:rsidRPr="00531F4C">
        <w:rPr>
          <w:rFonts w:ascii="Times" w:hAnsi="Times"/>
          <w:color w:val="000000" w:themeColor="text1"/>
          <w:sz w:val="22"/>
          <w:szCs w:val="22"/>
          <w:lang w:val="en-GB"/>
        </w:rPr>
        <w:t>° MS and MK contributed equally to the present work</w:t>
      </w:r>
    </w:p>
    <w:p w14:paraId="12E52767" w14:textId="77777777" w:rsidR="00BD303F" w:rsidRPr="00531F4C" w:rsidRDefault="00BD303F" w:rsidP="00BD303F">
      <w:pPr>
        <w:spacing w:after="160" w:line="259" w:lineRule="auto"/>
        <w:jc w:val="both"/>
        <w:rPr>
          <w:rFonts w:ascii="Times" w:hAnsi="Times"/>
          <w:color w:val="000000" w:themeColor="text1"/>
          <w:sz w:val="22"/>
          <w:szCs w:val="22"/>
          <w:lang w:val="en-GB"/>
        </w:rPr>
      </w:pPr>
    </w:p>
    <w:p w14:paraId="7C255EE6" w14:textId="77777777" w:rsidR="00BD303F" w:rsidRPr="00531F4C" w:rsidRDefault="00BD303F" w:rsidP="00BD303F">
      <w:pPr>
        <w:spacing w:line="276" w:lineRule="auto"/>
        <w:contextualSpacing/>
        <w:jc w:val="both"/>
        <w:rPr>
          <w:rFonts w:ascii="Times" w:hAnsi="Times"/>
          <w:color w:val="000000" w:themeColor="text1"/>
          <w:sz w:val="22"/>
          <w:szCs w:val="22"/>
          <w:lang w:val="en-GB"/>
        </w:rPr>
      </w:pPr>
      <w:r w:rsidRPr="00531F4C">
        <w:rPr>
          <w:rFonts w:ascii="Times" w:hAnsi="Times"/>
          <w:color w:val="000000" w:themeColor="text1"/>
          <w:sz w:val="22"/>
          <w:szCs w:val="22"/>
          <w:lang w:val="en-GB"/>
        </w:rPr>
        <w:t>*Corresponding Author</w:t>
      </w:r>
    </w:p>
    <w:p w14:paraId="40B69E82" w14:textId="77777777" w:rsidR="00BD303F" w:rsidRPr="00531F4C" w:rsidRDefault="00BD303F" w:rsidP="00BD303F">
      <w:pPr>
        <w:spacing w:line="276" w:lineRule="auto"/>
        <w:contextualSpacing/>
        <w:jc w:val="both"/>
        <w:rPr>
          <w:rFonts w:ascii="Times" w:eastAsia="Times" w:hAnsi="Times"/>
          <w:b/>
          <w:color w:val="000000" w:themeColor="text1"/>
          <w:sz w:val="22"/>
          <w:szCs w:val="22"/>
          <w:lang w:val="en-GB"/>
        </w:rPr>
      </w:pPr>
      <w:proofErr w:type="spellStart"/>
      <w:r w:rsidRPr="00531F4C">
        <w:rPr>
          <w:rFonts w:ascii="Times" w:eastAsia="Times" w:hAnsi="Times"/>
          <w:b/>
          <w:color w:val="000000" w:themeColor="text1"/>
          <w:sz w:val="22"/>
          <w:szCs w:val="22"/>
          <w:lang w:val="en-GB"/>
        </w:rPr>
        <w:t>Fabrizia</w:t>
      </w:r>
      <w:proofErr w:type="spellEnd"/>
      <w:r w:rsidRPr="00531F4C">
        <w:rPr>
          <w:rFonts w:ascii="Times" w:eastAsia="Times" w:hAnsi="Times"/>
          <w:b/>
          <w:color w:val="000000" w:themeColor="text1"/>
          <w:sz w:val="22"/>
          <w:szCs w:val="22"/>
          <w:lang w:val="en-GB"/>
        </w:rPr>
        <w:t xml:space="preserve"> </w:t>
      </w:r>
      <w:proofErr w:type="spellStart"/>
      <w:r w:rsidRPr="00531F4C">
        <w:rPr>
          <w:rFonts w:ascii="Times" w:eastAsia="Times" w:hAnsi="Times"/>
          <w:b/>
          <w:color w:val="000000" w:themeColor="text1"/>
          <w:sz w:val="22"/>
          <w:szCs w:val="22"/>
          <w:lang w:val="en-GB"/>
        </w:rPr>
        <w:t>Gelardi</w:t>
      </w:r>
      <w:proofErr w:type="spellEnd"/>
      <w:r w:rsidRPr="00531F4C">
        <w:rPr>
          <w:rFonts w:ascii="Times" w:eastAsia="Times" w:hAnsi="Times"/>
          <w:b/>
          <w:color w:val="000000" w:themeColor="text1"/>
          <w:sz w:val="22"/>
          <w:szCs w:val="22"/>
          <w:lang w:val="en-GB"/>
        </w:rPr>
        <w:t>, M.D.</w:t>
      </w:r>
    </w:p>
    <w:p w14:paraId="38EBABEE" w14:textId="77777777" w:rsidR="00BD303F" w:rsidRPr="00531F4C" w:rsidRDefault="00BD303F" w:rsidP="00BD303F">
      <w:pPr>
        <w:spacing w:line="276" w:lineRule="auto"/>
        <w:contextualSpacing/>
        <w:jc w:val="both"/>
        <w:rPr>
          <w:rFonts w:ascii="Times" w:hAnsi="Times"/>
          <w:color w:val="000000" w:themeColor="text1"/>
          <w:sz w:val="22"/>
          <w:szCs w:val="22"/>
          <w:lang w:val="en-GB"/>
        </w:rPr>
      </w:pPr>
    </w:p>
    <w:p w14:paraId="442FA6F9" w14:textId="77777777" w:rsidR="00BD303F" w:rsidRPr="00531F4C" w:rsidRDefault="00BD303F" w:rsidP="00BD303F">
      <w:pPr>
        <w:spacing w:line="276" w:lineRule="auto"/>
        <w:contextualSpacing/>
        <w:jc w:val="both"/>
        <w:rPr>
          <w:rFonts w:ascii="Times" w:hAnsi="Times"/>
          <w:color w:val="000000" w:themeColor="text1"/>
          <w:sz w:val="22"/>
          <w:szCs w:val="22"/>
          <w:lang w:val="en-GB"/>
        </w:rPr>
      </w:pPr>
      <w:r w:rsidRPr="00531F4C">
        <w:rPr>
          <w:rFonts w:ascii="Times" w:hAnsi="Times"/>
          <w:color w:val="000000" w:themeColor="text1"/>
          <w:sz w:val="22"/>
          <w:szCs w:val="22"/>
          <w:lang w:val="en-GB"/>
        </w:rPr>
        <w:t xml:space="preserve">Department of Biomedical Sciences, </w:t>
      </w:r>
      <w:proofErr w:type="spellStart"/>
      <w:r w:rsidRPr="00531F4C">
        <w:rPr>
          <w:rFonts w:ascii="Times" w:hAnsi="Times"/>
          <w:color w:val="000000" w:themeColor="text1"/>
          <w:sz w:val="22"/>
          <w:szCs w:val="22"/>
          <w:lang w:val="en-GB"/>
        </w:rPr>
        <w:t>Humanitas</w:t>
      </w:r>
      <w:proofErr w:type="spellEnd"/>
      <w:r w:rsidRPr="00531F4C">
        <w:rPr>
          <w:rFonts w:ascii="Times" w:hAnsi="Times"/>
          <w:color w:val="000000" w:themeColor="text1"/>
          <w:sz w:val="22"/>
          <w:szCs w:val="22"/>
          <w:lang w:val="en-GB"/>
        </w:rPr>
        <w:t xml:space="preserve"> University</w:t>
      </w:r>
    </w:p>
    <w:p w14:paraId="73256C4E" w14:textId="77777777" w:rsidR="00BD303F" w:rsidRPr="00B01758" w:rsidRDefault="00BD303F" w:rsidP="00BD303F">
      <w:pPr>
        <w:spacing w:line="276" w:lineRule="auto"/>
        <w:contextualSpacing/>
        <w:jc w:val="both"/>
        <w:rPr>
          <w:rFonts w:ascii="Times" w:hAnsi="Times"/>
          <w:color w:val="000000" w:themeColor="text1"/>
          <w:sz w:val="22"/>
          <w:szCs w:val="22"/>
        </w:rPr>
      </w:pPr>
      <w:r w:rsidRPr="00B01758">
        <w:rPr>
          <w:rFonts w:ascii="Times" w:hAnsi="Times"/>
          <w:color w:val="000000" w:themeColor="text1"/>
          <w:sz w:val="22"/>
          <w:szCs w:val="22"/>
        </w:rPr>
        <w:t>Via Rita Levi Montalcini 4</w:t>
      </w:r>
    </w:p>
    <w:p w14:paraId="7DB8E1F8" w14:textId="77777777" w:rsidR="00BD303F" w:rsidRPr="00B01758" w:rsidRDefault="00BD303F" w:rsidP="00BD303F">
      <w:pPr>
        <w:spacing w:line="276" w:lineRule="auto"/>
        <w:contextualSpacing/>
        <w:jc w:val="both"/>
        <w:rPr>
          <w:rFonts w:ascii="Times" w:hAnsi="Times"/>
          <w:color w:val="000000" w:themeColor="text1"/>
          <w:sz w:val="22"/>
          <w:szCs w:val="22"/>
        </w:rPr>
      </w:pPr>
      <w:r w:rsidRPr="00B01758">
        <w:rPr>
          <w:rFonts w:ascii="Times" w:hAnsi="Times"/>
          <w:color w:val="000000" w:themeColor="text1"/>
          <w:sz w:val="22"/>
          <w:szCs w:val="22"/>
        </w:rPr>
        <w:t>20090 Pieve Emanuele</w:t>
      </w:r>
    </w:p>
    <w:p w14:paraId="38C1EE31" w14:textId="77777777" w:rsidR="00BD303F" w:rsidRPr="00531F4C" w:rsidRDefault="00BD303F" w:rsidP="00BD303F">
      <w:pPr>
        <w:spacing w:line="276" w:lineRule="auto"/>
        <w:contextualSpacing/>
        <w:jc w:val="both"/>
        <w:rPr>
          <w:rFonts w:ascii="Times" w:hAnsi="Times"/>
          <w:color w:val="000000" w:themeColor="text1"/>
          <w:sz w:val="22"/>
          <w:szCs w:val="22"/>
          <w:lang w:val="en-GB"/>
        </w:rPr>
      </w:pPr>
      <w:r w:rsidRPr="00531F4C">
        <w:rPr>
          <w:rFonts w:ascii="Times" w:hAnsi="Times"/>
          <w:color w:val="000000" w:themeColor="text1"/>
          <w:sz w:val="22"/>
          <w:szCs w:val="22"/>
          <w:lang w:val="en-GB"/>
        </w:rPr>
        <w:t>Milan, Italy</w:t>
      </w:r>
    </w:p>
    <w:p w14:paraId="02DB9476" w14:textId="77777777" w:rsidR="00BD303F" w:rsidRPr="00531F4C" w:rsidRDefault="00BD303F" w:rsidP="00BD303F">
      <w:pPr>
        <w:spacing w:line="276" w:lineRule="auto"/>
        <w:contextualSpacing/>
        <w:jc w:val="both"/>
        <w:rPr>
          <w:rFonts w:ascii="Times" w:hAnsi="Times"/>
          <w:color w:val="000000" w:themeColor="text1"/>
          <w:sz w:val="22"/>
          <w:szCs w:val="22"/>
          <w:lang w:val="en-GB"/>
        </w:rPr>
      </w:pPr>
      <w:r w:rsidRPr="00531F4C">
        <w:rPr>
          <w:rFonts w:ascii="Times" w:hAnsi="Times"/>
          <w:color w:val="000000" w:themeColor="text1"/>
          <w:sz w:val="22"/>
          <w:szCs w:val="22"/>
          <w:lang w:val="en-GB"/>
        </w:rPr>
        <w:t xml:space="preserve">IRCCS </w:t>
      </w:r>
      <w:proofErr w:type="spellStart"/>
      <w:r w:rsidRPr="00531F4C">
        <w:rPr>
          <w:rFonts w:ascii="Times" w:hAnsi="Times"/>
          <w:color w:val="000000" w:themeColor="text1"/>
          <w:sz w:val="22"/>
          <w:szCs w:val="22"/>
          <w:lang w:val="en-GB"/>
        </w:rPr>
        <w:t>Humanitas</w:t>
      </w:r>
      <w:proofErr w:type="spellEnd"/>
      <w:r w:rsidRPr="00531F4C">
        <w:rPr>
          <w:rFonts w:ascii="Times" w:hAnsi="Times"/>
          <w:color w:val="000000" w:themeColor="text1"/>
          <w:sz w:val="22"/>
          <w:szCs w:val="22"/>
          <w:lang w:val="en-GB"/>
        </w:rPr>
        <w:t xml:space="preserve"> Research Hospital </w:t>
      </w:r>
    </w:p>
    <w:p w14:paraId="3CDB315C" w14:textId="77777777" w:rsidR="00BD303F" w:rsidRPr="00B01758" w:rsidRDefault="00BD303F" w:rsidP="00BD303F">
      <w:pPr>
        <w:spacing w:line="276" w:lineRule="auto"/>
        <w:contextualSpacing/>
        <w:jc w:val="both"/>
        <w:rPr>
          <w:rFonts w:ascii="Times" w:hAnsi="Times"/>
          <w:color w:val="000000" w:themeColor="text1"/>
          <w:sz w:val="22"/>
          <w:szCs w:val="22"/>
        </w:rPr>
      </w:pPr>
      <w:r w:rsidRPr="00B01758">
        <w:rPr>
          <w:rFonts w:ascii="Times" w:hAnsi="Times"/>
          <w:color w:val="000000" w:themeColor="text1"/>
          <w:sz w:val="22"/>
          <w:szCs w:val="22"/>
        </w:rPr>
        <w:t xml:space="preserve">Via Manzoni 56, </w:t>
      </w:r>
    </w:p>
    <w:p w14:paraId="40015CA2" w14:textId="77777777" w:rsidR="00BD303F" w:rsidRPr="00B01758" w:rsidRDefault="00BD303F" w:rsidP="00BD303F">
      <w:pPr>
        <w:spacing w:line="276" w:lineRule="auto"/>
        <w:contextualSpacing/>
        <w:jc w:val="both"/>
        <w:rPr>
          <w:rFonts w:ascii="Times" w:hAnsi="Times"/>
          <w:color w:val="000000" w:themeColor="text1"/>
          <w:sz w:val="22"/>
          <w:szCs w:val="22"/>
        </w:rPr>
      </w:pPr>
      <w:r w:rsidRPr="00B01758">
        <w:rPr>
          <w:rFonts w:ascii="Times" w:hAnsi="Times"/>
          <w:color w:val="000000" w:themeColor="text1"/>
          <w:sz w:val="22"/>
          <w:szCs w:val="22"/>
        </w:rPr>
        <w:t>20089 Rozzano</w:t>
      </w:r>
    </w:p>
    <w:p w14:paraId="0F4B84E7" w14:textId="77777777" w:rsidR="00BD303F" w:rsidRPr="00B01758" w:rsidRDefault="00BD303F" w:rsidP="00BD303F">
      <w:pPr>
        <w:spacing w:line="276" w:lineRule="auto"/>
        <w:contextualSpacing/>
        <w:jc w:val="both"/>
        <w:rPr>
          <w:rFonts w:ascii="Times" w:hAnsi="Times"/>
          <w:color w:val="000000" w:themeColor="text1"/>
          <w:sz w:val="22"/>
          <w:szCs w:val="22"/>
        </w:rPr>
      </w:pPr>
      <w:r w:rsidRPr="00B01758">
        <w:rPr>
          <w:rFonts w:ascii="Times" w:hAnsi="Times"/>
          <w:color w:val="000000" w:themeColor="text1"/>
          <w:sz w:val="22"/>
          <w:szCs w:val="22"/>
        </w:rPr>
        <w:t xml:space="preserve">Milan, </w:t>
      </w:r>
      <w:proofErr w:type="spellStart"/>
      <w:r w:rsidRPr="00B01758">
        <w:rPr>
          <w:rFonts w:ascii="Times" w:hAnsi="Times"/>
          <w:color w:val="000000" w:themeColor="text1"/>
          <w:sz w:val="22"/>
          <w:szCs w:val="22"/>
        </w:rPr>
        <w:t>Italy</w:t>
      </w:r>
      <w:proofErr w:type="spellEnd"/>
    </w:p>
    <w:p w14:paraId="5F36416C" w14:textId="77777777" w:rsidR="00BD303F" w:rsidRPr="00B01758" w:rsidRDefault="00A26864" w:rsidP="00BD303F">
      <w:pPr>
        <w:spacing w:line="276" w:lineRule="auto"/>
        <w:contextualSpacing/>
        <w:jc w:val="both"/>
        <w:rPr>
          <w:rFonts w:ascii="Times" w:hAnsi="Times"/>
          <w:color w:val="000000" w:themeColor="text1"/>
          <w:sz w:val="22"/>
          <w:szCs w:val="22"/>
        </w:rPr>
      </w:pPr>
      <w:hyperlink r:id="rId6" w:history="1">
        <w:r w:rsidR="00BD303F" w:rsidRPr="00B01758">
          <w:rPr>
            <w:rStyle w:val="Collegamentoipertestuale"/>
            <w:rFonts w:ascii="Times" w:hAnsi="Times"/>
            <w:sz w:val="22"/>
            <w:szCs w:val="22"/>
          </w:rPr>
          <w:t>fabrizia.gelardi@cancercenter.humanitas.it</w:t>
        </w:r>
      </w:hyperlink>
      <w:r w:rsidR="00BD303F" w:rsidRPr="00B01758">
        <w:rPr>
          <w:rFonts w:ascii="Times" w:hAnsi="Times"/>
          <w:color w:val="000000" w:themeColor="text1"/>
          <w:sz w:val="22"/>
          <w:szCs w:val="22"/>
        </w:rPr>
        <w:t xml:space="preserve"> </w:t>
      </w:r>
    </w:p>
    <w:p w14:paraId="3F78AC38" w14:textId="77777777" w:rsidR="00BD303F" w:rsidRPr="00B01758" w:rsidRDefault="00BD303F" w:rsidP="00BD303F">
      <w:pPr>
        <w:spacing w:line="276" w:lineRule="auto"/>
        <w:contextualSpacing/>
        <w:jc w:val="both"/>
        <w:rPr>
          <w:rFonts w:ascii="Times" w:hAnsi="Times"/>
          <w:color w:val="000000" w:themeColor="text1"/>
          <w:sz w:val="22"/>
          <w:szCs w:val="22"/>
        </w:rPr>
      </w:pPr>
    </w:p>
    <w:p w14:paraId="1373ADF9" w14:textId="77777777" w:rsidR="00BD303F" w:rsidRPr="00B01758" w:rsidRDefault="00BD303F" w:rsidP="00BD303F">
      <w:pPr>
        <w:spacing w:line="276" w:lineRule="auto"/>
        <w:contextualSpacing/>
        <w:jc w:val="both"/>
        <w:rPr>
          <w:rFonts w:ascii="Times" w:hAnsi="Times"/>
          <w:color w:val="000000" w:themeColor="text1"/>
          <w:sz w:val="22"/>
          <w:szCs w:val="22"/>
        </w:rPr>
      </w:pPr>
    </w:p>
    <w:p w14:paraId="57E5E3D3" w14:textId="77777777" w:rsidR="00BD303F" w:rsidRPr="00B01758" w:rsidRDefault="00BD303F" w:rsidP="00BD303F">
      <w:pPr>
        <w:spacing w:line="276" w:lineRule="auto"/>
        <w:contextualSpacing/>
        <w:jc w:val="both"/>
        <w:rPr>
          <w:rFonts w:ascii="Times" w:hAnsi="Times"/>
          <w:color w:val="000000" w:themeColor="text1"/>
          <w:sz w:val="22"/>
          <w:szCs w:val="22"/>
        </w:rPr>
      </w:pPr>
    </w:p>
    <w:p w14:paraId="2962029A" w14:textId="77777777" w:rsidR="00BD303F" w:rsidRPr="00B01758" w:rsidRDefault="00BD303F" w:rsidP="00BD303F">
      <w:pPr>
        <w:spacing w:line="480" w:lineRule="auto"/>
        <w:jc w:val="both"/>
        <w:rPr>
          <w:rFonts w:ascii="Times" w:hAnsi="Times"/>
          <w:color w:val="000000" w:themeColor="text1"/>
          <w:sz w:val="22"/>
          <w:szCs w:val="22"/>
        </w:rPr>
      </w:pPr>
      <w:r w:rsidRPr="00B01758">
        <w:rPr>
          <w:rFonts w:ascii="Times" w:hAnsi="Times"/>
          <w:color w:val="000000" w:themeColor="text1"/>
          <w:sz w:val="22"/>
          <w:szCs w:val="22"/>
        </w:rPr>
        <w:t>Chiti: 0000-0002-5806-1856</w:t>
      </w:r>
    </w:p>
    <w:p w14:paraId="300A8578" w14:textId="77777777" w:rsidR="00BD303F" w:rsidRPr="00B01758" w:rsidRDefault="00BD303F" w:rsidP="00BD303F">
      <w:pPr>
        <w:spacing w:line="480" w:lineRule="auto"/>
        <w:jc w:val="both"/>
        <w:rPr>
          <w:rFonts w:ascii="Times" w:hAnsi="Times"/>
          <w:color w:val="000000" w:themeColor="text1"/>
          <w:sz w:val="22"/>
          <w:szCs w:val="22"/>
        </w:rPr>
      </w:pPr>
      <w:proofErr w:type="spellStart"/>
      <w:r w:rsidRPr="00B01758">
        <w:rPr>
          <w:rFonts w:ascii="Times" w:hAnsi="Times"/>
          <w:color w:val="000000" w:themeColor="text1"/>
          <w:sz w:val="22"/>
          <w:szCs w:val="22"/>
        </w:rPr>
        <w:t>Fiz</w:t>
      </w:r>
      <w:proofErr w:type="spellEnd"/>
      <w:r w:rsidRPr="00B01758">
        <w:rPr>
          <w:rFonts w:ascii="Times" w:hAnsi="Times"/>
          <w:color w:val="000000" w:themeColor="text1"/>
          <w:sz w:val="22"/>
          <w:szCs w:val="22"/>
        </w:rPr>
        <w:t xml:space="preserve">: </w:t>
      </w:r>
      <w:r w:rsidRPr="00B01758">
        <w:rPr>
          <w:rFonts w:ascii="Times" w:hAnsi="Times"/>
          <w:sz w:val="22"/>
          <w:szCs w:val="22"/>
        </w:rPr>
        <w:t>0000-0003-3932-1330</w:t>
      </w:r>
    </w:p>
    <w:p w14:paraId="1EAF16ED" w14:textId="77777777" w:rsidR="00BD303F" w:rsidRPr="00B01758" w:rsidRDefault="00BD303F" w:rsidP="00BD303F">
      <w:pPr>
        <w:spacing w:line="480" w:lineRule="auto"/>
        <w:jc w:val="both"/>
        <w:rPr>
          <w:rFonts w:ascii="Times" w:hAnsi="Times"/>
          <w:color w:val="000000" w:themeColor="text1"/>
          <w:sz w:val="22"/>
          <w:szCs w:val="22"/>
        </w:rPr>
      </w:pPr>
      <w:proofErr w:type="spellStart"/>
      <w:r w:rsidRPr="00B01758">
        <w:rPr>
          <w:rFonts w:ascii="Times" w:hAnsi="Times"/>
          <w:color w:val="000000" w:themeColor="text1"/>
          <w:sz w:val="22"/>
          <w:szCs w:val="22"/>
        </w:rPr>
        <w:t>Gelardi</w:t>
      </w:r>
      <w:proofErr w:type="spellEnd"/>
      <w:r w:rsidRPr="00B01758">
        <w:rPr>
          <w:rFonts w:ascii="Times" w:hAnsi="Times"/>
          <w:color w:val="000000" w:themeColor="text1"/>
          <w:sz w:val="22"/>
          <w:szCs w:val="22"/>
        </w:rPr>
        <w:t xml:space="preserve">: </w:t>
      </w:r>
      <w:r w:rsidRPr="00B01758">
        <w:rPr>
          <w:rFonts w:ascii="Times" w:hAnsi="Times"/>
          <w:sz w:val="22"/>
          <w:szCs w:val="22"/>
        </w:rPr>
        <w:t>0000-0001-7120-333X</w:t>
      </w:r>
    </w:p>
    <w:p w14:paraId="3E0F3CC4" w14:textId="77777777" w:rsidR="00BD303F" w:rsidRPr="00B01758" w:rsidRDefault="00BD303F" w:rsidP="00BD303F">
      <w:pPr>
        <w:spacing w:line="480" w:lineRule="auto"/>
        <w:jc w:val="both"/>
        <w:rPr>
          <w:rFonts w:ascii="Times" w:hAnsi="Times"/>
          <w:color w:val="000000" w:themeColor="text1"/>
          <w:sz w:val="22"/>
          <w:szCs w:val="22"/>
        </w:rPr>
      </w:pPr>
      <w:r w:rsidRPr="00B01758">
        <w:rPr>
          <w:rFonts w:ascii="Times" w:hAnsi="Times"/>
          <w:color w:val="000000" w:themeColor="text1"/>
          <w:sz w:val="22"/>
          <w:szCs w:val="22"/>
        </w:rPr>
        <w:t xml:space="preserve">Kirienko: </w:t>
      </w:r>
      <w:hyperlink r:id="rId7" w:history="1">
        <w:r w:rsidRPr="00B01758">
          <w:rPr>
            <w:rFonts w:ascii="Times" w:hAnsi="Times"/>
            <w:color w:val="000000" w:themeColor="text1"/>
            <w:sz w:val="22"/>
            <w:szCs w:val="22"/>
          </w:rPr>
          <w:t>0000-0002-3923-1151</w:t>
        </w:r>
      </w:hyperlink>
    </w:p>
    <w:p w14:paraId="699B0DA8" w14:textId="77777777" w:rsidR="00BD303F" w:rsidRPr="00531F4C" w:rsidRDefault="00BD303F" w:rsidP="00BD303F">
      <w:pPr>
        <w:spacing w:after="160" w:line="259" w:lineRule="auto"/>
        <w:jc w:val="both"/>
        <w:rPr>
          <w:rFonts w:ascii="Times" w:hAnsi="Times"/>
          <w:color w:val="000000" w:themeColor="text1"/>
          <w:sz w:val="22"/>
          <w:szCs w:val="22"/>
          <w:lang w:val="en-GB"/>
        </w:rPr>
      </w:pPr>
      <w:proofErr w:type="spellStart"/>
      <w:r w:rsidRPr="00531F4C">
        <w:rPr>
          <w:rFonts w:ascii="Times" w:hAnsi="Times"/>
          <w:color w:val="000000" w:themeColor="text1"/>
          <w:sz w:val="22"/>
          <w:szCs w:val="22"/>
          <w:lang w:val="en-GB"/>
        </w:rPr>
        <w:t>Sollini</w:t>
      </w:r>
      <w:proofErr w:type="spellEnd"/>
      <w:r w:rsidRPr="00531F4C">
        <w:rPr>
          <w:rFonts w:ascii="Times" w:hAnsi="Times"/>
          <w:color w:val="000000" w:themeColor="text1"/>
          <w:sz w:val="22"/>
          <w:szCs w:val="22"/>
          <w:lang w:val="en-GB"/>
        </w:rPr>
        <w:t>: 0000-0003-2214-6492</w:t>
      </w:r>
    </w:p>
    <w:p w14:paraId="4330A4CB" w14:textId="77777777" w:rsidR="0022174E" w:rsidRDefault="00BD303F" w:rsidP="00BD303F">
      <w:pPr>
        <w:spacing w:after="160" w:line="259" w:lineRule="auto"/>
        <w:jc w:val="both"/>
        <w:rPr>
          <w:rFonts w:ascii="Times" w:hAnsi="Times"/>
          <w:color w:val="000000" w:themeColor="text1"/>
          <w:sz w:val="22"/>
          <w:szCs w:val="22"/>
          <w:lang w:val="en-GB"/>
        </w:rPr>
      </w:pPr>
      <w:proofErr w:type="spellStart"/>
      <w:r w:rsidRPr="00531F4C">
        <w:rPr>
          <w:rFonts w:ascii="Times" w:hAnsi="Times"/>
          <w:color w:val="000000" w:themeColor="text1"/>
          <w:sz w:val="22"/>
          <w:szCs w:val="22"/>
          <w:lang w:val="en-GB"/>
        </w:rPr>
        <w:t>Gozzi</w:t>
      </w:r>
      <w:proofErr w:type="spellEnd"/>
      <w:r w:rsidRPr="00531F4C">
        <w:rPr>
          <w:rFonts w:ascii="Times" w:hAnsi="Times"/>
          <w:color w:val="000000" w:themeColor="text1"/>
          <w:sz w:val="22"/>
          <w:szCs w:val="22"/>
          <w:lang w:val="en-GB"/>
        </w:rPr>
        <w:t>: 0000-0003-0126-789</w:t>
      </w:r>
    </w:p>
    <w:p w14:paraId="367E3BC9" w14:textId="67ABC1A4" w:rsidR="0022174E" w:rsidRDefault="0022174E" w:rsidP="00BD303F">
      <w:pPr>
        <w:spacing w:after="160" w:line="259" w:lineRule="auto"/>
        <w:jc w:val="both"/>
        <w:rPr>
          <w:rFonts w:ascii="Times" w:hAnsi="Times"/>
          <w:color w:val="000000" w:themeColor="text1"/>
          <w:sz w:val="22"/>
          <w:szCs w:val="22"/>
          <w:lang w:val="en-GB"/>
        </w:rPr>
        <w:sectPr w:rsidR="0022174E">
          <w:pgSz w:w="11906" w:h="16838"/>
          <w:pgMar w:top="1440" w:right="1440" w:bottom="1440" w:left="1440" w:header="708" w:footer="708" w:gutter="0"/>
          <w:cols w:space="708"/>
          <w:docGrid w:linePitch="360"/>
        </w:sectPr>
      </w:pPr>
    </w:p>
    <w:p w14:paraId="2B9E25E5" w14:textId="2EF3142A" w:rsidR="00C973A4" w:rsidRDefault="00C973A4">
      <w:pPr>
        <w:rPr>
          <w:rFonts w:ascii="Times" w:eastAsia="Palatino Linotype" w:hAnsi="Times"/>
          <w:b/>
          <w:bCs/>
          <w:color w:val="000000" w:themeColor="text1"/>
          <w:sz w:val="22"/>
          <w:lang w:val="en-GB"/>
        </w:rPr>
      </w:pPr>
      <w:r>
        <w:rPr>
          <w:rFonts w:ascii="Times" w:eastAsia="Palatino Linotype" w:hAnsi="Times"/>
          <w:b/>
          <w:bCs/>
          <w:color w:val="000000" w:themeColor="text1"/>
          <w:sz w:val="22"/>
          <w:lang w:val="en-GB"/>
        </w:rPr>
        <w:lastRenderedPageBreak/>
        <w:t>PRISMA checklist</w:t>
      </w:r>
    </w:p>
    <w:p w14:paraId="0129784A" w14:textId="2EF8638F" w:rsidR="00C973A4" w:rsidRDefault="00C973A4">
      <w:pPr>
        <w:rPr>
          <w:rFonts w:ascii="Times" w:eastAsia="Palatino Linotype" w:hAnsi="Times"/>
          <w:b/>
          <w:bCs/>
          <w:color w:val="000000" w:themeColor="text1"/>
          <w:sz w:val="22"/>
          <w:lang w:val="en-GB"/>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22174E" w:rsidRPr="00A26864" w14:paraId="42312F52" w14:textId="77777777" w:rsidTr="00F44164">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31993F6" w14:textId="77777777" w:rsidR="0022174E" w:rsidRPr="00930A31" w:rsidRDefault="0022174E" w:rsidP="00F44164">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74E0E2C" w14:textId="77777777" w:rsidR="0022174E" w:rsidRPr="00930A31" w:rsidRDefault="0022174E" w:rsidP="00F44164">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8828499" w14:textId="77777777" w:rsidR="0022174E" w:rsidRPr="00930A31" w:rsidRDefault="0022174E" w:rsidP="00F44164">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225E0E3" w14:textId="77777777" w:rsidR="0022174E" w:rsidRPr="00930A31" w:rsidRDefault="0022174E" w:rsidP="00F44164">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22174E" w:rsidRPr="004C1685" w14:paraId="087BBAA6" w14:textId="77777777" w:rsidTr="00F4416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F121DF" w14:textId="77777777" w:rsidR="0022174E" w:rsidRPr="00930A31" w:rsidRDefault="0022174E" w:rsidP="00F44164">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4AD53FD" w14:textId="77777777" w:rsidR="0022174E" w:rsidRPr="00930A31" w:rsidRDefault="0022174E" w:rsidP="00F44164">
            <w:pPr>
              <w:pStyle w:val="Default"/>
              <w:jc w:val="right"/>
              <w:rPr>
                <w:rFonts w:ascii="Arial" w:hAnsi="Arial" w:cs="Arial"/>
                <w:color w:val="auto"/>
                <w:sz w:val="18"/>
                <w:szCs w:val="18"/>
              </w:rPr>
            </w:pPr>
          </w:p>
        </w:tc>
      </w:tr>
      <w:tr w:rsidR="0022174E" w:rsidRPr="004C1685" w14:paraId="76857ED1" w14:textId="77777777" w:rsidTr="00F44164">
        <w:trPr>
          <w:trHeight w:val="48"/>
        </w:trPr>
        <w:tc>
          <w:tcPr>
            <w:tcW w:w="1668" w:type="dxa"/>
            <w:tcBorders>
              <w:top w:val="single" w:sz="5" w:space="0" w:color="000000"/>
              <w:left w:val="single" w:sz="5" w:space="0" w:color="000000"/>
              <w:bottom w:val="double" w:sz="2" w:space="0" w:color="FFFFCC"/>
              <w:right w:val="single" w:sz="5" w:space="0" w:color="000000"/>
            </w:tcBorders>
          </w:tcPr>
          <w:p w14:paraId="0DB42C74"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41A0FD1"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06DDAF2E"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vAlign w:val="center"/>
          </w:tcPr>
          <w:p w14:paraId="01961A8F"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22174E" w:rsidRPr="004C1685" w14:paraId="1790A900" w14:textId="77777777" w:rsidTr="00F4416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5F11D5" w14:textId="77777777" w:rsidR="0022174E" w:rsidRPr="00930A31" w:rsidRDefault="0022174E" w:rsidP="00F44164">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C3C1224" w14:textId="77777777" w:rsidR="0022174E" w:rsidRPr="00930A31" w:rsidRDefault="0022174E" w:rsidP="00F44164">
            <w:pPr>
              <w:pStyle w:val="Default"/>
              <w:jc w:val="center"/>
              <w:rPr>
                <w:rFonts w:ascii="Arial" w:hAnsi="Arial" w:cs="Arial"/>
                <w:color w:val="auto"/>
                <w:sz w:val="18"/>
                <w:szCs w:val="18"/>
              </w:rPr>
            </w:pPr>
          </w:p>
        </w:tc>
      </w:tr>
      <w:tr w:rsidR="0022174E" w:rsidRPr="004C1685" w14:paraId="4281346B" w14:textId="77777777" w:rsidTr="00F44164">
        <w:trPr>
          <w:trHeight w:val="48"/>
        </w:trPr>
        <w:tc>
          <w:tcPr>
            <w:tcW w:w="1668" w:type="dxa"/>
            <w:tcBorders>
              <w:top w:val="single" w:sz="5" w:space="0" w:color="000000"/>
              <w:left w:val="single" w:sz="5" w:space="0" w:color="000000"/>
              <w:bottom w:val="double" w:sz="2" w:space="0" w:color="FFFFCC"/>
              <w:right w:val="single" w:sz="5" w:space="0" w:color="000000"/>
            </w:tcBorders>
          </w:tcPr>
          <w:p w14:paraId="23B02823"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380096F7"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09AC49D1"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vAlign w:val="center"/>
          </w:tcPr>
          <w:p w14:paraId="3198805D"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22174E" w:rsidRPr="004C1685" w14:paraId="2DBC027E" w14:textId="77777777" w:rsidTr="00F4416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C4D565" w14:textId="77777777" w:rsidR="0022174E" w:rsidRPr="00930A31" w:rsidRDefault="0022174E" w:rsidP="00F44164">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73B6C71" w14:textId="77777777" w:rsidR="0022174E" w:rsidRPr="00930A31" w:rsidRDefault="0022174E" w:rsidP="00F44164">
            <w:pPr>
              <w:pStyle w:val="Default"/>
              <w:jc w:val="center"/>
              <w:rPr>
                <w:rFonts w:ascii="Arial" w:hAnsi="Arial" w:cs="Arial"/>
                <w:color w:val="auto"/>
                <w:sz w:val="18"/>
                <w:szCs w:val="18"/>
              </w:rPr>
            </w:pPr>
          </w:p>
        </w:tc>
      </w:tr>
      <w:tr w:rsidR="0022174E" w:rsidRPr="004C1685" w14:paraId="72338F26" w14:textId="77777777" w:rsidTr="00F44164">
        <w:trPr>
          <w:trHeight w:val="48"/>
        </w:trPr>
        <w:tc>
          <w:tcPr>
            <w:tcW w:w="1668" w:type="dxa"/>
            <w:tcBorders>
              <w:top w:val="single" w:sz="5" w:space="0" w:color="000000"/>
              <w:left w:val="single" w:sz="5" w:space="0" w:color="000000"/>
              <w:bottom w:val="single" w:sz="5" w:space="0" w:color="000000"/>
              <w:right w:val="single" w:sz="5" w:space="0" w:color="000000"/>
            </w:tcBorders>
          </w:tcPr>
          <w:p w14:paraId="20B874A4"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F5F7B63"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D0D6D90"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vAlign w:val="center"/>
          </w:tcPr>
          <w:p w14:paraId="37311D08"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22174E" w:rsidRPr="004C1685" w14:paraId="63597B77" w14:textId="77777777" w:rsidTr="00F44164">
        <w:trPr>
          <w:trHeight w:val="48"/>
        </w:trPr>
        <w:tc>
          <w:tcPr>
            <w:tcW w:w="1668" w:type="dxa"/>
            <w:tcBorders>
              <w:top w:val="single" w:sz="5" w:space="0" w:color="000000"/>
              <w:left w:val="single" w:sz="5" w:space="0" w:color="000000"/>
              <w:bottom w:val="double" w:sz="2" w:space="0" w:color="FFFFCC"/>
              <w:right w:val="single" w:sz="5" w:space="0" w:color="000000"/>
            </w:tcBorders>
          </w:tcPr>
          <w:p w14:paraId="3F079D71"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22FBC9D"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1C638E3B"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vAlign w:val="center"/>
          </w:tcPr>
          <w:p w14:paraId="325433F1"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22174E" w:rsidRPr="004C1685" w14:paraId="0D769BCC" w14:textId="77777777" w:rsidTr="00F4416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E2790A" w14:textId="77777777" w:rsidR="0022174E" w:rsidRPr="00930A31" w:rsidRDefault="0022174E" w:rsidP="00F44164">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D4A7BA7" w14:textId="77777777" w:rsidR="0022174E" w:rsidRPr="00930A31" w:rsidRDefault="0022174E" w:rsidP="00F44164">
            <w:pPr>
              <w:pStyle w:val="Default"/>
              <w:jc w:val="center"/>
              <w:rPr>
                <w:rFonts w:ascii="Arial" w:hAnsi="Arial" w:cs="Arial"/>
                <w:color w:val="auto"/>
                <w:sz w:val="18"/>
                <w:szCs w:val="18"/>
              </w:rPr>
            </w:pPr>
          </w:p>
        </w:tc>
      </w:tr>
      <w:tr w:rsidR="0022174E" w:rsidRPr="004C1685" w14:paraId="53612503" w14:textId="77777777" w:rsidTr="00F44164">
        <w:trPr>
          <w:trHeight w:val="48"/>
        </w:trPr>
        <w:tc>
          <w:tcPr>
            <w:tcW w:w="1668" w:type="dxa"/>
            <w:tcBorders>
              <w:top w:val="single" w:sz="5" w:space="0" w:color="000000"/>
              <w:left w:val="single" w:sz="5" w:space="0" w:color="000000"/>
              <w:bottom w:val="single" w:sz="5" w:space="0" w:color="000000"/>
              <w:right w:val="single" w:sz="5" w:space="0" w:color="000000"/>
            </w:tcBorders>
          </w:tcPr>
          <w:p w14:paraId="1A43AAB1"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0F80A04"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36A4FA65"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vAlign w:val="center"/>
          </w:tcPr>
          <w:p w14:paraId="7226BE58"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22174E" w:rsidRPr="004C1685" w14:paraId="39D340E7" w14:textId="77777777" w:rsidTr="00F44164">
        <w:trPr>
          <w:trHeight w:val="191"/>
        </w:trPr>
        <w:tc>
          <w:tcPr>
            <w:tcW w:w="1668" w:type="dxa"/>
            <w:tcBorders>
              <w:top w:val="single" w:sz="5" w:space="0" w:color="000000"/>
              <w:left w:val="single" w:sz="5" w:space="0" w:color="000000"/>
              <w:bottom w:val="single" w:sz="5" w:space="0" w:color="000000"/>
              <w:right w:val="single" w:sz="5" w:space="0" w:color="000000"/>
            </w:tcBorders>
          </w:tcPr>
          <w:p w14:paraId="50D5C56C"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4039834"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8F2BFD0"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vAlign w:val="center"/>
          </w:tcPr>
          <w:p w14:paraId="63B53586"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22174E" w:rsidRPr="004C1685" w14:paraId="191DAB52" w14:textId="77777777" w:rsidTr="00F44164">
        <w:trPr>
          <w:trHeight w:val="48"/>
        </w:trPr>
        <w:tc>
          <w:tcPr>
            <w:tcW w:w="1668" w:type="dxa"/>
            <w:tcBorders>
              <w:top w:val="single" w:sz="5" w:space="0" w:color="000000"/>
              <w:left w:val="single" w:sz="5" w:space="0" w:color="000000"/>
              <w:bottom w:val="single" w:sz="5" w:space="0" w:color="000000"/>
              <w:right w:val="single" w:sz="5" w:space="0" w:color="000000"/>
            </w:tcBorders>
          </w:tcPr>
          <w:p w14:paraId="786DB4FB"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3C503EF"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834C050"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vAlign w:val="center"/>
          </w:tcPr>
          <w:p w14:paraId="7AC2AAC1"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22174E" w:rsidRPr="004C1685" w14:paraId="2C8E351B" w14:textId="77777777" w:rsidTr="00F44164">
        <w:trPr>
          <w:trHeight w:val="48"/>
        </w:trPr>
        <w:tc>
          <w:tcPr>
            <w:tcW w:w="1668" w:type="dxa"/>
            <w:tcBorders>
              <w:top w:val="single" w:sz="5" w:space="0" w:color="000000"/>
              <w:left w:val="single" w:sz="5" w:space="0" w:color="000000"/>
              <w:bottom w:val="single" w:sz="5" w:space="0" w:color="000000"/>
              <w:right w:val="single" w:sz="5" w:space="0" w:color="000000"/>
            </w:tcBorders>
          </w:tcPr>
          <w:p w14:paraId="22423059"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0458BB7"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670DCCF6"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vAlign w:val="center"/>
          </w:tcPr>
          <w:p w14:paraId="177CDF46"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22174E" w:rsidRPr="004C1685" w14:paraId="4134914A" w14:textId="77777777" w:rsidTr="00F44164">
        <w:trPr>
          <w:trHeight w:val="152"/>
        </w:trPr>
        <w:tc>
          <w:tcPr>
            <w:tcW w:w="1668" w:type="dxa"/>
            <w:tcBorders>
              <w:top w:val="single" w:sz="5" w:space="0" w:color="000000"/>
              <w:left w:val="single" w:sz="5" w:space="0" w:color="000000"/>
              <w:bottom w:val="single" w:sz="5" w:space="0" w:color="000000"/>
              <w:right w:val="single" w:sz="5" w:space="0" w:color="000000"/>
            </w:tcBorders>
          </w:tcPr>
          <w:p w14:paraId="66981AE2"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44C3447"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2A7E8261"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vAlign w:val="center"/>
          </w:tcPr>
          <w:p w14:paraId="525C7D02"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22174E" w:rsidRPr="004C1685" w14:paraId="3B315D17" w14:textId="77777777" w:rsidTr="00F44164">
        <w:trPr>
          <w:trHeight w:val="48"/>
        </w:trPr>
        <w:tc>
          <w:tcPr>
            <w:tcW w:w="1668" w:type="dxa"/>
            <w:vMerge w:val="restart"/>
            <w:tcBorders>
              <w:top w:val="single" w:sz="5" w:space="0" w:color="000000"/>
              <w:left w:val="single" w:sz="5" w:space="0" w:color="000000"/>
              <w:right w:val="single" w:sz="5" w:space="0" w:color="000000"/>
            </w:tcBorders>
          </w:tcPr>
          <w:p w14:paraId="18B69C60"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099D635"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18BB8619"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vAlign w:val="center"/>
          </w:tcPr>
          <w:p w14:paraId="6D143490"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4-5</w:t>
            </w:r>
          </w:p>
        </w:tc>
      </w:tr>
      <w:tr w:rsidR="0022174E" w:rsidRPr="004C1685" w14:paraId="70CEA6D1" w14:textId="77777777" w:rsidTr="00F44164">
        <w:trPr>
          <w:trHeight w:val="48"/>
        </w:trPr>
        <w:tc>
          <w:tcPr>
            <w:tcW w:w="1668" w:type="dxa"/>
            <w:vMerge/>
            <w:tcBorders>
              <w:left w:val="single" w:sz="5" w:space="0" w:color="000000"/>
              <w:bottom w:val="single" w:sz="5" w:space="0" w:color="000000"/>
              <w:right w:val="single" w:sz="5" w:space="0" w:color="000000"/>
            </w:tcBorders>
          </w:tcPr>
          <w:p w14:paraId="6FCD2108"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791C67"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604375DB"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vAlign w:val="center"/>
          </w:tcPr>
          <w:p w14:paraId="170D359E"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4-5</w:t>
            </w:r>
          </w:p>
        </w:tc>
      </w:tr>
      <w:tr w:rsidR="0022174E" w:rsidRPr="004C1685" w14:paraId="1C259135" w14:textId="77777777" w:rsidTr="00F44164">
        <w:trPr>
          <w:trHeight w:val="48"/>
        </w:trPr>
        <w:tc>
          <w:tcPr>
            <w:tcW w:w="1668" w:type="dxa"/>
            <w:tcBorders>
              <w:top w:val="single" w:sz="5" w:space="0" w:color="000000"/>
              <w:left w:val="single" w:sz="5" w:space="0" w:color="000000"/>
              <w:bottom w:val="single" w:sz="5" w:space="0" w:color="000000"/>
              <w:right w:val="single" w:sz="5" w:space="0" w:color="000000"/>
            </w:tcBorders>
          </w:tcPr>
          <w:p w14:paraId="42E29783"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9DB5289"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3DFA125C"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vAlign w:val="center"/>
          </w:tcPr>
          <w:p w14:paraId="3D9F1CED"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22174E" w:rsidRPr="004C1685" w14:paraId="1D48421F" w14:textId="77777777" w:rsidTr="00F44164">
        <w:trPr>
          <w:trHeight w:val="48"/>
        </w:trPr>
        <w:tc>
          <w:tcPr>
            <w:tcW w:w="1668" w:type="dxa"/>
            <w:tcBorders>
              <w:top w:val="single" w:sz="5" w:space="0" w:color="000000"/>
              <w:left w:val="single" w:sz="5" w:space="0" w:color="000000"/>
              <w:bottom w:val="single" w:sz="5" w:space="0" w:color="000000"/>
              <w:right w:val="single" w:sz="5" w:space="0" w:color="000000"/>
            </w:tcBorders>
          </w:tcPr>
          <w:p w14:paraId="68406150"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08E229B6"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6766D0F4"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vAlign w:val="center"/>
          </w:tcPr>
          <w:p w14:paraId="6E6B166D"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22174E" w:rsidRPr="004C1685" w14:paraId="3E1A132C" w14:textId="77777777" w:rsidTr="00F44164">
        <w:trPr>
          <w:trHeight w:val="48"/>
        </w:trPr>
        <w:tc>
          <w:tcPr>
            <w:tcW w:w="1668" w:type="dxa"/>
            <w:vMerge w:val="restart"/>
            <w:tcBorders>
              <w:top w:val="single" w:sz="5" w:space="0" w:color="000000"/>
              <w:left w:val="single" w:sz="5" w:space="0" w:color="000000"/>
              <w:right w:val="single" w:sz="5" w:space="0" w:color="000000"/>
            </w:tcBorders>
          </w:tcPr>
          <w:p w14:paraId="781D4FBD"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788F382"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7BF280CA"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vAlign w:val="center"/>
          </w:tcPr>
          <w:p w14:paraId="2143B8ED"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22174E" w:rsidRPr="004C1685" w14:paraId="7B02EB10" w14:textId="77777777" w:rsidTr="00F44164">
        <w:trPr>
          <w:trHeight w:val="48"/>
        </w:trPr>
        <w:tc>
          <w:tcPr>
            <w:tcW w:w="1668" w:type="dxa"/>
            <w:vMerge/>
            <w:tcBorders>
              <w:left w:val="single" w:sz="5" w:space="0" w:color="000000"/>
              <w:right w:val="single" w:sz="5" w:space="0" w:color="000000"/>
            </w:tcBorders>
          </w:tcPr>
          <w:p w14:paraId="095E45DF"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AB290C"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1526B34"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vAlign w:val="center"/>
          </w:tcPr>
          <w:p w14:paraId="11E78C6D"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22174E" w:rsidRPr="004C1685" w14:paraId="0BBB8485" w14:textId="77777777" w:rsidTr="00F44164">
        <w:trPr>
          <w:trHeight w:val="48"/>
        </w:trPr>
        <w:tc>
          <w:tcPr>
            <w:tcW w:w="1668" w:type="dxa"/>
            <w:vMerge/>
            <w:tcBorders>
              <w:left w:val="single" w:sz="5" w:space="0" w:color="000000"/>
              <w:right w:val="single" w:sz="5" w:space="0" w:color="000000"/>
            </w:tcBorders>
          </w:tcPr>
          <w:p w14:paraId="3A00D13B"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678732"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3ABA5CEF"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vAlign w:val="center"/>
          </w:tcPr>
          <w:p w14:paraId="1A8C1983"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22174E" w:rsidRPr="004C1685" w14:paraId="1954C497" w14:textId="77777777" w:rsidTr="00F44164">
        <w:trPr>
          <w:trHeight w:val="48"/>
        </w:trPr>
        <w:tc>
          <w:tcPr>
            <w:tcW w:w="1668" w:type="dxa"/>
            <w:vMerge/>
            <w:tcBorders>
              <w:left w:val="single" w:sz="5" w:space="0" w:color="000000"/>
              <w:right w:val="single" w:sz="5" w:space="0" w:color="000000"/>
            </w:tcBorders>
          </w:tcPr>
          <w:p w14:paraId="33D79232"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10649F"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3FF12D82"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vAlign w:val="center"/>
          </w:tcPr>
          <w:p w14:paraId="226BB6E9"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22174E" w:rsidRPr="004C1685" w14:paraId="3C2D4A14" w14:textId="77777777" w:rsidTr="00F44164">
        <w:trPr>
          <w:trHeight w:val="48"/>
        </w:trPr>
        <w:tc>
          <w:tcPr>
            <w:tcW w:w="1668" w:type="dxa"/>
            <w:vMerge/>
            <w:tcBorders>
              <w:left w:val="single" w:sz="5" w:space="0" w:color="000000"/>
              <w:right w:val="single" w:sz="5" w:space="0" w:color="000000"/>
            </w:tcBorders>
          </w:tcPr>
          <w:p w14:paraId="64069451"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74E1DB"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7E09871D"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vAlign w:val="center"/>
          </w:tcPr>
          <w:p w14:paraId="4E916DC7"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22174E" w:rsidRPr="004C1685" w14:paraId="1B832D4F" w14:textId="77777777" w:rsidTr="00F44164">
        <w:trPr>
          <w:trHeight w:val="50"/>
        </w:trPr>
        <w:tc>
          <w:tcPr>
            <w:tcW w:w="1668" w:type="dxa"/>
            <w:vMerge/>
            <w:tcBorders>
              <w:left w:val="single" w:sz="5" w:space="0" w:color="000000"/>
              <w:bottom w:val="single" w:sz="5" w:space="0" w:color="000000"/>
              <w:right w:val="single" w:sz="5" w:space="0" w:color="000000"/>
            </w:tcBorders>
          </w:tcPr>
          <w:p w14:paraId="307FB27D"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DEF3B5B"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4DC4D2A5"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vAlign w:val="center"/>
          </w:tcPr>
          <w:p w14:paraId="12D1F3D0"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22174E" w:rsidRPr="004C1685" w14:paraId="7940DE2F" w14:textId="77777777" w:rsidTr="00F44164">
        <w:trPr>
          <w:trHeight w:val="48"/>
        </w:trPr>
        <w:tc>
          <w:tcPr>
            <w:tcW w:w="1668" w:type="dxa"/>
            <w:tcBorders>
              <w:top w:val="single" w:sz="5" w:space="0" w:color="000000"/>
              <w:left w:val="single" w:sz="5" w:space="0" w:color="000000"/>
              <w:bottom w:val="single" w:sz="5" w:space="0" w:color="000000"/>
              <w:right w:val="single" w:sz="5" w:space="0" w:color="000000"/>
            </w:tcBorders>
          </w:tcPr>
          <w:p w14:paraId="126DF2C3"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F06EC1F"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79D2D76"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vAlign w:val="center"/>
          </w:tcPr>
          <w:p w14:paraId="13E5FDA8"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22174E" w:rsidRPr="004C1685" w14:paraId="3F86BCF1" w14:textId="77777777" w:rsidTr="00F44164">
        <w:trPr>
          <w:trHeight w:val="48"/>
        </w:trPr>
        <w:tc>
          <w:tcPr>
            <w:tcW w:w="1668" w:type="dxa"/>
            <w:tcBorders>
              <w:top w:val="single" w:sz="5" w:space="0" w:color="000000"/>
              <w:left w:val="single" w:sz="5" w:space="0" w:color="000000"/>
              <w:bottom w:val="single" w:sz="5" w:space="0" w:color="000000"/>
              <w:right w:val="single" w:sz="5" w:space="0" w:color="000000"/>
            </w:tcBorders>
          </w:tcPr>
          <w:p w14:paraId="4898AE34"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45FE7EB"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0E50F2D9"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vAlign w:val="center"/>
          </w:tcPr>
          <w:p w14:paraId="52812574"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22174E" w:rsidRPr="004C1685" w14:paraId="60526FB1" w14:textId="77777777" w:rsidTr="00F4416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0B2F4F" w14:textId="77777777" w:rsidR="0022174E" w:rsidRPr="00930A31" w:rsidRDefault="0022174E" w:rsidP="00F44164">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B22C7A8" w14:textId="77777777" w:rsidR="0022174E" w:rsidRPr="00930A31" w:rsidRDefault="0022174E" w:rsidP="00F44164">
            <w:pPr>
              <w:pStyle w:val="Default"/>
              <w:jc w:val="center"/>
              <w:rPr>
                <w:rFonts w:ascii="Arial" w:hAnsi="Arial" w:cs="Arial"/>
                <w:color w:val="auto"/>
                <w:sz w:val="18"/>
                <w:szCs w:val="18"/>
              </w:rPr>
            </w:pPr>
          </w:p>
        </w:tc>
      </w:tr>
      <w:tr w:rsidR="0022174E" w:rsidRPr="004C1685" w14:paraId="513F8937" w14:textId="77777777" w:rsidTr="00F44164">
        <w:trPr>
          <w:trHeight w:val="48"/>
        </w:trPr>
        <w:tc>
          <w:tcPr>
            <w:tcW w:w="1668" w:type="dxa"/>
            <w:vMerge w:val="restart"/>
            <w:tcBorders>
              <w:top w:val="single" w:sz="5" w:space="0" w:color="000000"/>
              <w:left w:val="single" w:sz="5" w:space="0" w:color="000000"/>
              <w:right w:val="single" w:sz="5" w:space="0" w:color="000000"/>
            </w:tcBorders>
          </w:tcPr>
          <w:p w14:paraId="5593B636"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EC21873"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1730BDA9"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vAlign w:val="center"/>
          </w:tcPr>
          <w:p w14:paraId="43E8B39E"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5-6, Figure 1</w:t>
            </w:r>
          </w:p>
        </w:tc>
      </w:tr>
      <w:tr w:rsidR="0022174E" w:rsidRPr="004C1685" w14:paraId="7959F835" w14:textId="77777777" w:rsidTr="00F44164">
        <w:trPr>
          <w:trHeight w:val="48"/>
        </w:trPr>
        <w:tc>
          <w:tcPr>
            <w:tcW w:w="1668" w:type="dxa"/>
            <w:vMerge/>
            <w:tcBorders>
              <w:left w:val="single" w:sz="5" w:space="0" w:color="000000"/>
              <w:bottom w:val="single" w:sz="5" w:space="0" w:color="000000"/>
              <w:right w:val="single" w:sz="5" w:space="0" w:color="000000"/>
            </w:tcBorders>
          </w:tcPr>
          <w:p w14:paraId="0D7FF480"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D38D19"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4ED8AD35"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vAlign w:val="center"/>
          </w:tcPr>
          <w:p w14:paraId="69799BC6"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5-6</w:t>
            </w:r>
          </w:p>
        </w:tc>
      </w:tr>
      <w:tr w:rsidR="0022174E" w:rsidRPr="004C1685" w14:paraId="18EA8A56" w14:textId="77777777" w:rsidTr="00F44164">
        <w:trPr>
          <w:trHeight w:val="103"/>
        </w:trPr>
        <w:tc>
          <w:tcPr>
            <w:tcW w:w="1668" w:type="dxa"/>
            <w:tcBorders>
              <w:top w:val="single" w:sz="5" w:space="0" w:color="000000"/>
              <w:left w:val="single" w:sz="5" w:space="0" w:color="000000"/>
              <w:bottom w:val="single" w:sz="5" w:space="0" w:color="000000"/>
              <w:right w:val="single" w:sz="5" w:space="0" w:color="000000"/>
            </w:tcBorders>
          </w:tcPr>
          <w:p w14:paraId="0B93FE12"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786B2E8"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158A5B3B"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vAlign w:val="center"/>
          </w:tcPr>
          <w:p w14:paraId="77DA9DF4"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6-9</w:t>
            </w:r>
          </w:p>
        </w:tc>
      </w:tr>
      <w:tr w:rsidR="0022174E" w:rsidRPr="004C1685" w14:paraId="72369BFD" w14:textId="77777777" w:rsidTr="00F44164">
        <w:trPr>
          <w:trHeight w:val="48"/>
        </w:trPr>
        <w:tc>
          <w:tcPr>
            <w:tcW w:w="1668" w:type="dxa"/>
            <w:tcBorders>
              <w:top w:val="single" w:sz="5" w:space="0" w:color="000000"/>
              <w:left w:val="single" w:sz="5" w:space="0" w:color="000000"/>
              <w:bottom w:val="single" w:sz="5" w:space="0" w:color="000000"/>
              <w:right w:val="single" w:sz="5" w:space="0" w:color="000000"/>
            </w:tcBorders>
          </w:tcPr>
          <w:p w14:paraId="78C9BFE8"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ED43019"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5D4622FF"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vAlign w:val="center"/>
          </w:tcPr>
          <w:p w14:paraId="66B96A79"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6, Table S1</w:t>
            </w:r>
          </w:p>
        </w:tc>
      </w:tr>
      <w:tr w:rsidR="0022174E" w:rsidRPr="004C1685" w14:paraId="671FDE5C" w14:textId="77777777" w:rsidTr="00F44164">
        <w:trPr>
          <w:trHeight w:val="48"/>
        </w:trPr>
        <w:tc>
          <w:tcPr>
            <w:tcW w:w="1668" w:type="dxa"/>
            <w:tcBorders>
              <w:top w:val="single" w:sz="5" w:space="0" w:color="000000"/>
              <w:left w:val="single" w:sz="5" w:space="0" w:color="000000"/>
              <w:bottom w:val="single" w:sz="5" w:space="0" w:color="000000"/>
              <w:right w:val="single" w:sz="5" w:space="0" w:color="000000"/>
            </w:tcBorders>
          </w:tcPr>
          <w:p w14:paraId="340B38AA"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D89A00F"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13CE322C"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vAlign w:val="center"/>
          </w:tcPr>
          <w:p w14:paraId="686789D7"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Table 1/2</w:t>
            </w:r>
          </w:p>
        </w:tc>
      </w:tr>
      <w:tr w:rsidR="0022174E" w:rsidRPr="004C1685" w14:paraId="41B78AC9" w14:textId="77777777" w:rsidTr="00F44164">
        <w:trPr>
          <w:trHeight w:val="48"/>
        </w:trPr>
        <w:tc>
          <w:tcPr>
            <w:tcW w:w="1668" w:type="dxa"/>
            <w:vMerge w:val="restart"/>
            <w:tcBorders>
              <w:top w:val="single" w:sz="5" w:space="0" w:color="000000"/>
              <w:left w:val="single" w:sz="5" w:space="0" w:color="000000"/>
              <w:right w:val="single" w:sz="5" w:space="0" w:color="000000"/>
            </w:tcBorders>
          </w:tcPr>
          <w:p w14:paraId="4CA266C8"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0D4DEE10"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1B28268"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vAlign w:val="center"/>
          </w:tcPr>
          <w:p w14:paraId="384171CD"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6-9</w:t>
            </w:r>
          </w:p>
        </w:tc>
      </w:tr>
      <w:tr w:rsidR="0022174E" w:rsidRPr="004C1685" w14:paraId="1B27DBFD" w14:textId="77777777" w:rsidTr="00F44164">
        <w:trPr>
          <w:trHeight w:val="203"/>
        </w:trPr>
        <w:tc>
          <w:tcPr>
            <w:tcW w:w="1668" w:type="dxa"/>
            <w:vMerge/>
            <w:tcBorders>
              <w:left w:val="single" w:sz="5" w:space="0" w:color="000000"/>
              <w:right w:val="single" w:sz="5" w:space="0" w:color="000000"/>
            </w:tcBorders>
          </w:tcPr>
          <w:p w14:paraId="39540C2C"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863D4F0"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58ECFD09"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vAlign w:val="center"/>
          </w:tcPr>
          <w:p w14:paraId="16B43A28"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9-10</w:t>
            </w:r>
          </w:p>
        </w:tc>
      </w:tr>
      <w:tr w:rsidR="0022174E" w:rsidRPr="004C1685" w14:paraId="704D84EA" w14:textId="77777777" w:rsidTr="00F44164">
        <w:trPr>
          <w:trHeight w:val="48"/>
        </w:trPr>
        <w:tc>
          <w:tcPr>
            <w:tcW w:w="1668" w:type="dxa"/>
            <w:vMerge/>
            <w:tcBorders>
              <w:left w:val="single" w:sz="5" w:space="0" w:color="000000"/>
              <w:right w:val="single" w:sz="5" w:space="0" w:color="000000"/>
            </w:tcBorders>
          </w:tcPr>
          <w:p w14:paraId="632F2903"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454975"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341FE087"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vAlign w:val="center"/>
          </w:tcPr>
          <w:p w14:paraId="45F55869"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9-10</w:t>
            </w:r>
          </w:p>
        </w:tc>
      </w:tr>
      <w:tr w:rsidR="0022174E" w:rsidRPr="004C1685" w14:paraId="11AC3637" w14:textId="77777777" w:rsidTr="00F44164">
        <w:trPr>
          <w:trHeight w:val="48"/>
        </w:trPr>
        <w:tc>
          <w:tcPr>
            <w:tcW w:w="1668" w:type="dxa"/>
            <w:vMerge/>
            <w:tcBorders>
              <w:left w:val="single" w:sz="5" w:space="0" w:color="000000"/>
              <w:bottom w:val="single" w:sz="5" w:space="0" w:color="000000"/>
              <w:right w:val="single" w:sz="5" w:space="0" w:color="000000"/>
            </w:tcBorders>
          </w:tcPr>
          <w:p w14:paraId="68F0FDDD"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48070B"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6642D8DB"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vAlign w:val="center"/>
          </w:tcPr>
          <w:p w14:paraId="2D863BAD"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9-10</w:t>
            </w:r>
          </w:p>
        </w:tc>
      </w:tr>
      <w:tr w:rsidR="0022174E" w:rsidRPr="004C1685" w14:paraId="59A2BD49" w14:textId="77777777" w:rsidTr="00F44164">
        <w:trPr>
          <w:trHeight w:val="48"/>
        </w:trPr>
        <w:tc>
          <w:tcPr>
            <w:tcW w:w="1668" w:type="dxa"/>
            <w:tcBorders>
              <w:top w:val="single" w:sz="5" w:space="0" w:color="000000"/>
              <w:left w:val="single" w:sz="5" w:space="0" w:color="000000"/>
              <w:bottom w:val="single" w:sz="5" w:space="0" w:color="000000"/>
              <w:right w:val="single" w:sz="5" w:space="0" w:color="000000"/>
            </w:tcBorders>
          </w:tcPr>
          <w:p w14:paraId="16A891B5"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BEA894B"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4FA1F975"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vAlign w:val="center"/>
          </w:tcPr>
          <w:p w14:paraId="13EBD6F9"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22174E" w:rsidRPr="004C1685" w14:paraId="5622CF24" w14:textId="77777777" w:rsidTr="00F44164">
        <w:trPr>
          <w:trHeight w:val="48"/>
        </w:trPr>
        <w:tc>
          <w:tcPr>
            <w:tcW w:w="1668" w:type="dxa"/>
            <w:tcBorders>
              <w:top w:val="single" w:sz="5" w:space="0" w:color="000000"/>
              <w:left w:val="single" w:sz="5" w:space="0" w:color="000000"/>
              <w:bottom w:val="single" w:sz="5" w:space="0" w:color="000000"/>
              <w:right w:val="single" w:sz="5" w:space="0" w:color="000000"/>
            </w:tcBorders>
          </w:tcPr>
          <w:p w14:paraId="53448783"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70F9F4F"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7D5F50B1"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vAlign w:val="center"/>
          </w:tcPr>
          <w:p w14:paraId="4CA7A2F1"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22174E" w:rsidRPr="004C1685" w14:paraId="1AEC0C79" w14:textId="77777777" w:rsidTr="00F4416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0717EE2" w14:textId="77777777" w:rsidR="0022174E" w:rsidRPr="00930A31" w:rsidRDefault="0022174E" w:rsidP="00F4416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D1D5FAB" w14:textId="77777777" w:rsidR="0022174E" w:rsidRPr="00930A31" w:rsidRDefault="0022174E" w:rsidP="00F44164">
            <w:pPr>
              <w:pStyle w:val="Default"/>
              <w:jc w:val="center"/>
              <w:rPr>
                <w:rFonts w:ascii="Arial" w:hAnsi="Arial" w:cs="Arial"/>
                <w:color w:val="auto"/>
                <w:sz w:val="18"/>
                <w:szCs w:val="18"/>
              </w:rPr>
            </w:pPr>
          </w:p>
        </w:tc>
      </w:tr>
      <w:tr w:rsidR="0022174E" w:rsidRPr="004C1685" w14:paraId="714C68E6" w14:textId="77777777" w:rsidTr="00F44164">
        <w:trPr>
          <w:trHeight w:val="48"/>
        </w:trPr>
        <w:tc>
          <w:tcPr>
            <w:tcW w:w="1668" w:type="dxa"/>
            <w:vMerge w:val="restart"/>
            <w:tcBorders>
              <w:top w:val="single" w:sz="5" w:space="0" w:color="000000"/>
              <w:left w:val="single" w:sz="5" w:space="0" w:color="000000"/>
              <w:right w:val="single" w:sz="5" w:space="0" w:color="000000"/>
            </w:tcBorders>
          </w:tcPr>
          <w:p w14:paraId="6CA7406B"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75F2721"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486D0A4F"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vAlign w:val="center"/>
          </w:tcPr>
          <w:p w14:paraId="1A315311"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10</w:t>
            </w:r>
          </w:p>
        </w:tc>
      </w:tr>
      <w:tr w:rsidR="0022174E" w:rsidRPr="004C1685" w14:paraId="04FD388C" w14:textId="77777777" w:rsidTr="00F44164">
        <w:trPr>
          <w:trHeight w:val="48"/>
        </w:trPr>
        <w:tc>
          <w:tcPr>
            <w:tcW w:w="1668" w:type="dxa"/>
            <w:vMerge/>
            <w:tcBorders>
              <w:left w:val="single" w:sz="5" w:space="0" w:color="000000"/>
              <w:right w:val="single" w:sz="5" w:space="0" w:color="000000"/>
            </w:tcBorders>
          </w:tcPr>
          <w:p w14:paraId="1B612276"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73D9B6"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0F741AF3"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vAlign w:val="center"/>
          </w:tcPr>
          <w:p w14:paraId="743A8B41"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10-12</w:t>
            </w:r>
          </w:p>
        </w:tc>
      </w:tr>
      <w:tr w:rsidR="0022174E" w:rsidRPr="004C1685" w14:paraId="4BBAC3AD" w14:textId="77777777" w:rsidTr="00F44164">
        <w:trPr>
          <w:trHeight w:val="48"/>
        </w:trPr>
        <w:tc>
          <w:tcPr>
            <w:tcW w:w="1668" w:type="dxa"/>
            <w:vMerge/>
            <w:tcBorders>
              <w:left w:val="single" w:sz="5" w:space="0" w:color="000000"/>
              <w:right w:val="single" w:sz="5" w:space="0" w:color="000000"/>
            </w:tcBorders>
          </w:tcPr>
          <w:p w14:paraId="016F1720"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DD6C5F3"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374ABE8"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vAlign w:val="center"/>
          </w:tcPr>
          <w:p w14:paraId="3DF3C434"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13</w:t>
            </w:r>
          </w:p>
        </w:tc>
      </w:tr>
      <w:tr w:rsidR="0022174E" w:rsidRPr="004C1685" w14:paraId="025A7D6C" w14:textId="77777777" w:rsidTr="00F44164">
        <w:trPr>
          <w:trHeight w:val="48"/>
        </w:trPr>
        <w:tc>
          <w:tcPr>
            <w:tcW w:w="1668" w:type="dxa"/>
            <w:vMerge/>
            <w:tcBorders>
              <w:left w:val="single" w:sz="5" w:space="0" w:color="000000"/>
              <w:bottom w:val="single" w:sz="4" w:space="0" w:color="auto"/>
              <w:right w:val="single" w:sz="5" w:space="0" w:color="000000"/>
            </w:tcBorders>
          </w:tcPr>
          <w:p w14:paraId="56F193F2"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CC58B6D"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11828647"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vAlign w:val="center"/>
          </w:tcPr>
          <w:p w14:paraId="576615AD"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13</w:t>
            </w:r>
          </w:p>
        </w:tc>
      </w:tr>
      <w:tr w:rsidR="0022174E" w:rsidRPr="004C1685" w14:paraId="7575B3D7" w14:textId="77777777" w:rsidTr="00F4416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8A371A" w14:textId="77777777" w:rsidR="0022174E" w:rsidRPr="00930A31" w:rsidRDefault="0022174E" w:rsidP="00F44164">
            <w:pPr>
              <w:pStyle w:val="Default"/>
              <w:rPr>
                <w:rFonts w:ascii="Arial" w:hAnsi="Arial" w:cs="Arial"/>
                <w:sz w:val="18"/>
                <w:szCs w:val="18"/>
              </w:rPr>
            </w:pPr>
            <w:r w:rsidRPr="00930A31">
              <w:rPr>
                <w:rFonts w:ascii="Arial" w:hAnsi="Arial" w:cs="Arial"/>
                <w:b/>
                <w:bCs/>
                <w:sz w:val="18"/>
                <w:szCs w:val="18"/>
              </w:rPr>
              <w:lastRenderedPageBreak/>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570DA5C" w14:textId="77777777" w:rsidR="0022174E" w:rsidRPr="00930A31" w:rsidRDefault="0022174E" w:rsidP="00F44164">
            <w:pPr>
              <w:pStyle w:val="Default"/>
              <w:jc w:val="center"/>
              <w:rPr>
                <w:rFonts w:ascii="Arial" w:hAnsi="Arial" w:cs="Arial"/>
                <w:color w:val="auto"/>
                <w:sz w:val="18"/>
                <w:szCs w:val="18"/>
              </w:rPr>
            </w:pPr>
          </w:p>
        </w:tc>
      </w:tr>
      <w:tr w:rsidR="0022174E" w:rsidRPr="004C1685" w14:paraId="787107C2" w14:textId="77777777" w:rsidTr="00F44164">
        <w:trPr>
          <w:trHeight w:val="48"/>
        </w:trPr>
        <w:tc>
          <w:tcPr>
            <w:tcW w:w="1668" w:type="dxa"/>
            <w:vMerge w:val="restart"/>
            <w:tcBorders>
              <w:top w:val="single" w:sz="5" w:space="0" w:color="000000"/>
              <w:left w:val="single" w:sz="5" w:space="0" w:color="000000"/>
              <w:right w:val="single" w:sz="5" w:space="0" w:color="000000"/>
            </w:tcBorders>
          </w:tcPr>
          <w:p w14:paraId="3F8136B1"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5B1BFA3E"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5B5C0379"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vAlign w:val="center"/>
          </w:tcPr>
          <w:p w14:paraId="73FE28D2"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22174E" w:rsidRPr="004C1685" w14:paraId="200B5B86" w14:textId="77777777" w:rsidTr="00F44164">
        <w:trPr>
          <w:trHeight w:val="57"/>
        </w:trPr>
        <w:tc>
          <w:tcPr>
            <w:tcW w:w="1668" w:type="dxa"/>
            <w:vMerge/>
            <w:tcBorders>
              <w:left w:val="single" w:sz="5" w:space="0" w:color="000000"/>
              <w:right w:val="single" w:sz="5" w:space="0" w:color="000000"/>
            </w:tcBorders>
          </w:tcPr>
          <w:p w14:paraId="234386E7"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9B1545"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088BF19B"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vAlign w:val="center"/>
          </w:tcPr>
          <w:p w14:paraId="7BC06C65"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22174E" w:rsidRPr="004C1685" w14:paraId="360DBABD" w14:textId="77777777" w:rsidTr="00F44164">
        <w:trPr>
          <w:trHeight w:val="48"/>
        </w:trPr>
        <w:tc>
          <w:tcPr>
            <w:tcW w:w="1668" w:type="dxa"/>
            <w:vMerge/>
            <w:tcBorders>
              <w:left w:val="single" w:sz="5" w:space="0" w:color="000000"/>
              <w:bottom w:val="single" w:sz="5" w:space="0" w:color="000000"/>
              <w:right w:val="single" w:sz="5" w:space="0" w:color="000000"/>
            </w:tcBorders>
          </w:tcPr>
          <w:p w14:paraId="6EC2EED5" w14:textId="77777777" w:rsidR="0022174E" w:rsidRPr="00930A31" w:rsidRDefault="0022174E" w:rsidP="00F441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514256"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136AB8E2"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vAlign w:val="center"/>
          </w:tcPr>
          <w:p w14:paraId="00436F33"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22174E" w:rsidRPr="004C1685" w14:paraId="4A6AC9F5" w14:textId="77777777" w:rsidTr="00F44164">
        <w:trPr>
          <w:trHeight w:val="48"/>
        </w:trPr>
        <w:tc>
          <w:tcPr>
            <w:tcW w:w="1668" w:type="dxa"/>
            <w:tcBorders>
              <w:top w:val="single" w:sz="5" w:space="0" w:color="000000"/>
              <w:left w:val="single" w:sz="5" w:space="0" w:color="000000"/>
              <w:bottom w:val="single" w:sz="5" w:space="0" w:color="000000"/>
              <w:right w:val="single" w:sz="5" w:space="0" w:color="000000"/>
            </w:tcBorders>
          </w:tcPr>
          <w:p w14:paraId="47C1BBE1"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E517915"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469F0C5F"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vAlign w:val="center"/>
          </w:tcPr>
          <w:p w14:paraId="5EAA6829"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22</w:t>
            </w:r>
          </w:p>
        </w:tc>
      </w:tr>
      <w:tr w:rsidR="0022174E" w:rsidRPr="004C1685" w14:paraId="251D3E08" w14:textId="77777777" w:rsidTr="00F44164">
        <w:trPr>
          <w:trHeight w:val="48"/>
        </w:trPr>
        <w:tc>
          <w:tcPr>
            <w:tcW w:w="1668" w:type="dxa"/>
            <w:tcBorders>
              <w:top w:val="single" w:sz="5" w:space="0" w:color="000000"/>
              <w:left w:val="single" w:sz="5" w:space="0" w:color="000000"/>
              <w:bottom w:val="single" w:sz="5" w:space="0" w:color="000000"/>
              <w:right w:val="single" w:sz="5" w:space="0" w:color="000000"/>
            </w:tcBorders>
          </w:tcPr>
          <w:p w14:paraId="7DD28667"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07B2BC9"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04B75FD"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vAlign w:val="center"/>
          </w:tcPr>
          <w:p w14:paraId="49FA5F0C"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22</w:t>
            </w:r>
          </w:p>
        </w:tc>
      </w:tr>
      <w:tr w:rsidR="0022174E" w:rsidRPr="004C1685" w14:paraId="249C7EF9" w14:textId="77777777" w:rsidTr="00F44164">
        <w:trPr>
          <w:trHeight w:val="219"/>
        </w:trPr>
        <w:tc>
          <w:tcPr>
            <w:tcW w:w="1668" w:type="dxa"/>
            <w:tcBorders>
              <w:top w:val="single" w:sz="5" w:space="0" w:color="000000"/>
              <w:left w:val="single" w:sz="5" w:space="0" w:color="000000"/>
              <w:bottom w:val="double" w:sz="5" w:space="0" w:color="000000"/>
              <w:right w:val="single" w:sz="5" w:space="0" w:color="000000"/>
            </w:tcBorders>
          </w:tcPr>
          <w:p w14:paraId="6DE1773E"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7DA88A85" w14:textId="77777777" w:rsidR="0022174E" w:rsidRPr="00930A31" w:rsidRDefault="0022174E" w:rsidP="00F4416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45D6FA0A" w14:textId="77777777" w:rsidR="0022174E" w:rsidRPr="00930A31" w:rsidRDefault="0022174E" w:rsidP="00F4416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vAlign w:val="center"/>
          </w:tcPr>
          <w:p w14:paraId="634336DC" w14:textId="77777777" w:rsidR="0022174E" w:rsidRPr="00930A31" w:rsidRDefault="0022174E" w:rsidP="00F44164">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bl>
    <w:p w14:paraId="586DC9CD" w14:textId="77777777" w:rsidR="0022174E" w:rsidRDefault="0022174E">
      <w:pPr>
        <w:rPr>
          <w:rFonts w:ascii="Times" w:eastAsia="Palatino Linotype" w:hAnsi="Times"/>
          <w:b/>
          <w:bCs/>
          <w:color w:val="000000" w:themeColor="text1"/>
          <w:sz w:val="22"/>
          <w:lang w:val="en-GB"/>
        </w:rPr>
        <w:sectPr w:rsidR="0022174E" w:rsidSect="0022174E">
          <w:pgSz w:w="16838" w:h="11906" w:orient="landscape"/>
          <w:pgMar w:top="1440" w:right="1440" w:bottom="1440" w:left="1440" w:header="708" w:footer="708" w:gutter="0"/>
          <w:cols w:space="708"/>
          <w:docGrid w:linePitch="360"/>
        </w:sectPr>
      </w:pPr>
    </w:p>
    <w:p w14:paraId="1445D0A7" w14:textId="23C85B93" w:rsidR="00C973A4" w:rsidRDefault="00C973A4">
      <w:pPr>
        <w:rPr>
          <w:rFonts w:ascii="Times" w:eastAsia="Palatino Linotype" w:hAnsi="Times"/>
          <w:b/>
          <w:bCs/>
          <w:color w:val="000000" w:themeColor="text1"/>
          <w:sz w:val="22"/>
          <w:lang w:val="en-GB"/>
        </w:rPr>
      </w:pPr>
    </w:p>
    <w:p w14:paraId="315FBEF8" w14:textId="6D208972" w:rsidR="0021744E" w:rsidRDefault="0021744E">
      <w:pPr>
        <w:rPr>
          <w:rFonts w:ascii="Times" w:eastAsia="Palatino Linotype" w:hAnsi="Times"/>
          <w:color w:val="000000" w:themeColor="text1"/>
          <w:sz w:val="22"/>
          <w:lang w:val="en-GB"/>
        </w:rPr>
      </w:pPr>
      <w:r w:rsidRPr="0021744E">
        <w:rPr>
          <w:rFonts w:ascii="Times" w:eastAsia="Palatino Linotype" w:hAnsi="Times"/>
          <w:b/>
          <w:bCs/>
          <w:color w:val="000000" w:themeColor="text1"/>
          <w:sz w:val="22"/>
          <w:lang w:val="en-GB"/>
        </w:rPr>
        <w:t>Supplementary Figure 1.</w:t>
      </w:r>
      <w:r w:rsidRPr="0021744E">
        <w:rPr>
          <w:rFonts w:ascii="Times" w:eastAsia="Palatino Linotype" w:hAnsi="Times"/>
          <w:color w:val="000000" w:themeColor="text1"/>
          <w:sz w:val="22"/>
          <w:lang w:val="en-GB"/>
        </w:rPr>
        <w:t xml:space="preserve"> </w:t>
      </w:r>
      <w:r>
        <w:rPr>
          <w:rFonts w:ascii="Times" w:eastAsia="Palatino Linotype" w:hAnsi="Times"/>
          <w:color w:val="000000" w:themeColor="text1"/>
          <w:sz w:val="22"/>
          <w:lang w:val="en-GB"/>
        </w:rPr>
        <w:t>Q</w:t>
      </w:r>
      <w:r w:rsidRPr="00CB1590">
        <w:rPr>
          <w:rFonts w:ascii="Times" w:eastAsia="Palatino Linotype" w:hAnsi="Times"/>
          <w:color w:val="000000" w:themeColor="text1"/>
          <w:sz w:val="22"/>
          <w:lang w:val="en-GB"/>
        </w:rPr>
        <w:t>uality assess</w:t>
      </w:r>
      <w:r>
        <w:rPr>
          <w:rFonts w:ascii="Times" w:eastAsia="Palatino Linotype" w:hAnsi="Times"/>
          <w:color w:val="000000" w:themeColor="text1"/>
          <w:sz w:val="22"/>
          <w:lang w:val="en-GB"/>
        </w:rPr>
        <w:t>ment of the included 34</w:t>
      </w:r>
      <w:r w:rsidRPr="00CB1590">
        <w:rPr>
          <w:rFonts w:ascii="Times" w:eastAsia="Palatino Linotype" w:hAnsi="Times"/>
          <w:color w:val="000000" w:themeColor="text1"/>
          <w:sz w:val="22"/>
          <w:lang w:val="en-GB"/>
        </w:rPr>
        <w:t xml:space="preserve"> articles </w:t>
      </w:r>
      <w:r>
        <w:rPr>
          <w:rFonts w:ascii="Times" w:eastAsia="Palatino Linotype" w:hAnsi="Times"/>
          <w:color w:val="000000" w:themeColor="text1"/>
          <w:sz w:val="22"/>
          <w:lang w:val="en-GB"/>
        </w:rPr>
        <w:t>according to QUADAS-2 (left panel – bias assessment; right panel applicability assessment).</w:t>
      </w:r>
    </w:p>
    <w:p w14:paraId="70D9A9F3" w14:textId="0EC669C7" w:rsidR="0021744E" w:rsidRDefault="0021744E">
      <w:pPr>
        <w:rPr>
          <w:lang w:val="en-US"/>
        </w:rPr>
      </w:pPr>
    </w:p>
    <w:p w14:paraId="6CD4BDCC" w14:textId="7E3DB276" w:rsidR="0021744E" w:rsidRDefault="00AF19F2">
      <w:pPr>
        <w:rPr>
          <w:lang w:val="en-US"/>
        </w:rPr>
      </w:pPr>
      <w:r w:rsidRPr="00AF19F2">
        <w:rPr>
          <w:noProof/>
          <w:lang w:val="en-US"/>
        </w:rPr>
        <w:drawing>
          <wp:inline distT="0" distB="0" distL="0" distR="0" wp14:anchorId="1FF44AC3" wp14:editId="6FEC54A7">
            <wp:extent cx="5731510" cy="1978660"/>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978660"/>
                    </a:xfrm>
                    <a:prstGeom prst="rect">
                      <a:avLst/>
                    </a:prstGeom>
                  </pic:spPr>
                </pic:pic>
              </a:graphicData>
            </a:graphic>
          </wp:inline>
        </w:drawing>
      </w:r>
    </w:p>
    <w:p w14:paraId="2AD09828" w14:textId="6ABA8443" w:rsidR="0021744E" w:rsidRDefault="0021744E">
      <w:pPr>
        <w:rPr>
          <w:rFonts w:ascii="Times" w:hAnsi="Times"/>
          <w:lang w:val="en-US"/>
        </w:rPr>
      </w:pPr>
    </w:p>
    <w:p w14:paraId="1070EEBC" w14:textId="77777777" w:rsidR="00E6609B" w:rsidRPr="00F23257" w:rsidRDefault="00E6609B">
      <w:pPr>
        <w:rPr>
          <w:rFonts w:ascii="Times" w:hAnsi="Times"/>
          <w:lang w:val="en-US"/>
        </w:rPr>
      </w:pPr>
    </w:p>
    <w:p w14:paraId="577FF863" w14:textId="77777777" w:rsidR="00A26864" w:rsidRPr="00E6609B" w:rsidRDefault="00A26864" w:rsidP="00A26864">
      <w:pPr>
        <w:rPr>
          <w:rFonts w:ascii="Times" w:hAnsi="Times"/>
          <w:sz w:val="22"/>
          <w:szCs w:val="22"/>
          <w:lang w:val="en-US"/>
        </w:rPr>
      </w:pPr>
      <w:r w:rsidRPr="00E6609B">
        <w:rPr>
          <w:rFonts w:ascii="Times" w:hAnsi="Times"/>
          <w:b/>
          <w:bCs/>
          <w:sz w:val="22"/>
          <w:szCs w:val="22"/>
          <w:lang w:val="en-US"/>
        </w:rPr>
        <w:t xml:space="preserve">Supplementary Figure 2. </w:t>
      </w:r>
      <w:r w:rsidRPr="00E6609B">
        <w:rPr>
          <w:rFonts w:ascii="Times" w:hAnsi="Times"/>
          <w:sz w:val="22"/>
          <w:szCs w:val="22"/>
          <w:lang w:val="en-US"/>
        </w:rPr>
        <w:t>Funnel plots for lesion-based [68Ga]Ga-</w:t>
      </w:r>
      <w:r>
        <w:rPr>
          <w:rFonts w:ascii="Times" w:hAnsi="Times"/>
          <w:sz w:val="22"/>
          <w:szCs w:val="22"/>
          <w:lang w:val="en-US"/>
        </w:rPr>
        <w:t>FAPI PET</w:t>
      </w:r>
      <w:r w:rsidRPr="00E6609B">
        <w:rPr>
          <w:rFonts w:ascii="Times" w:hAnsi="Times"/>
          <w:sz w:val="22"/>
          <w:szCs w:val="22"/>
          <w:lang w:val="en-US"/>
        </w:rPr>
        <w:t xml:space="preserve"> (panel a sensitivity, panel b specificity)</w:t>
      </w:r>
    </w:p>
    <w:p w14:paraId="6368C601" w14:textId="77777777" w:rsidR="00A26864" w:rsidRPr="00F23257" w:rsidRDefault="00A26864" w:rsidP="00A26864">
      <w:pPr>
        <w:rPr>
          <w:rFonts w:ascii="Times" w:hAnsi="Times"/>
          <w:lang w:val="en-US"/>
        </w:rPr>
      </w:pPr>
    </w:p>
    <w:p w14:paraId="4580FE9D" w14:textId="77777777" w:rsidR="00A26864" w:rsidRDefault="00A26864" w:rsidP="00A26864">
      <w:pPr>
        <w:rPr>
          <w:rFonts w:ascii="Times" w:hAnsi="Times"/>
          <w:b/>
          <w:bCs/>
          <w:lang w:val="en-US"/>
        </w:rPr>
      </w:pPr>
      <w:r>
        <w:rPr>
          <w:rFonts w:ascii="Times" w:hAnsi="Times"/>
          <w:b/>
          <w:bCs/>
          <w:lang w:val="en-US"/>
        </w:rPr>
        <w:t xml:space="preserve">a </w:t>
      </w:r>
      <w:r>
        <w:rPr>
          <w:rFonts w:ascii="Times" w:hAnsi="Times"/>
          <w:b/>
          <w:bCs/>
          <w:noProof/>
          <w:lang w:eastAsia="it-IT"/>
        </w:rPr>
        <w:drawing>
          <wp:inline distT="0" distB="0" distL="0" distR="0" wp14:anchorId="24219F0A" wp14:editId="38DF19A0">
            <wp:extent cx="4392000" cy="3240000"/>
            <wp:effectExtent l="0" t="0" r="8890" b="0"/>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2000" cy="3240000"/>
                    </a:xfrm>
                    <a:prstGeom prst="rect">
                      <a:avLst/>
                    </a:prstGeom>
                    <a:noFill/>
                  </pic:spPr>
                </pic:pic>
              </a:graphicData>
            </a:graphic>
          </wp:inline>
        </w:drawing>
      </w:r>
    </w:p>
    <w:p w14:paraId="00B4963F" w14:textId="77777777" w:rsidR="00A26864" w:rsidRDefault="00A26864" w:rsidP="00A26864">
      <w:pPr>
        <w:rPr>
          <w:rFonts w:ascii="Times" w:hAnsi="Times"/>
          <w:b/>
          <w:bCs/>
          <w:lang w:val="en-US"/>
        </w:rPr>
      </w:pPr>
      <w:r>
        <w:rPr>
          <w:rFonts w:ascii="Times" w:hAnsi="Times"/>
          <w:b/>
          <w:bCs/>
          <w:lang w:val="en-US"/>
        </w:rPr>
        <w:lastRenderedPageBreak/>
        <w:t xml:space="preserve">b </w:t>
      </w:r>
      <w:r>
        <w:rPr>
          <w:rFonts w:ascii="Times" w:hAnsi="Times"/>
          <w:b/>
          <w:bCs/>
          <w:noProof/>
          <w:lang w:eastAsia="it-IT"/>
        </w:rPr>
        <w:drawing>
          <wp:inline distT="0" distB="0" distL="0" distR="0" wp14:anchorId="61E6E48B" wp14:editId="71DA8508">
            <wp:extent cx="4392000" cy="3254400"/>
            <wp:effectExtent l="0" t="0" r="8890" b="3175"/>
            <wp:docPr id="183" name="Immagin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2000" cy="3254400"/>
                    </a:xfrm>
                    <a:prstGeom prst="rect">
                      <a:avLst/>
                    </a:prstGeom>
                    <a:noFill/>
                  </pic:spPr>
                </pic:pic>
              </a:graphicData>
            </a:graphic>
          </wp:inline>
        </w:drawing>
      </w:r>
    </w:p>
    <w:p w14:paraId="2AF48DC2" w14:textId="77777777" w:rsidR="00A26864" w:rsidRDefault="00A26864" w:rsidP="00A26864">
      <w:pPr>
        <w:rPr>
          <w:rFonts w:ascii="Times" w:hAnsi="Times"/>
          <w:b/>
          <w:bCs/>
          <w:lang w:val="en-US"/>
        </w:rPr>
      </w:pPr>
    </w:p>
    <w:p w14:paraId="02EF1F07" w14:textId="77777777" w:rsidR="00A26864" w:rsidRDefault="00A26864" w:rsidP="00A26864">
      <w:pPr>
        <w:rPr>
          <w:rFonts w:ascii="Times" w:hAnsi="Times"/>
          <w:b/>
          <w:bCs/>
          <w:lang w:val="en-US"/>
        </w:rPr>
      </w:pPr>
    </w:p>
    <w:p w14:paraId="2A85FC77" w14:textId="77777777" w:rsidR="00A26864" w:rsidRPr="00E6609B" w:rsidRDefault="00A26864" w:rsidP="00A26864">
      <w:pPr>
        <w:rPr>
          <w:rFonts w:ascii="Times" w:hAnsi="Times"/>
          <w:b/>
          <w:bCs/>
          <w:sz w:val="22"/>
          <w:szCs w:val="22"/>
          <w:lang w:val="en-US"/>
        </w:rPr>
      </w:pPr>
      <w:r w:rsidRPr="00E6609B">
        <w:rPr>
          <w:rFonts w:ascii="Times" w:hAnsi="Times"/>
          <w:b/>
          <w:bCs/>
          <w:sz w:val="22"/>
          <w:szCs w:val="22"/>
          <w:lang w:val="en-US"/>
        </w:rPr>
        <w:t xml:space="preserve">Supplementary Figure 3. </w:t>
      </w:r>
      <w:r w:rsidRPr="00E6609B">
        <w:rPr>
          <w:rFonts w:ascii="Times" w:hAnsi="Times"/>
          <w:sz w:val="22"/>
          <w:szCs w:val="22"/>
          <w:lang w:val="en-US"/>
        </w:rPr>
        <w:t xml:space="preserve">Funnel plots for </w:t>
      </w:r>
      <w:r>
        <w:rPr>
          <w:rFonts w:ascii="Times" w:hAnsi="Times"/>
          <w:sz w:val="22"/>
          <w:szCs w:val="22"/>
          <w:lang w:val="en-US"/>
        </w:rPr>
        <w:t xml:space="preserve">non-primary </w:t>
      </w:r>
      <w:r w:rsidRPr="00E6609B">
        <w:rPr>
          <w:rFonts w:ascii="Times" w:hAnsi="Times"/>
          <w:sz w:val="22"/>
          <w:szCs w:val="22"/>
          <w:lang w:val="en-US"/>
        </w:rPr>
        <w:t>lesion-based [68Ga]Ga-</w:t>
      </w:r>
      <w:r>
        <w:rPr>
          <w:rFonts w:ascii="Times" w:hAnsi="Times"/>
          <w:sz w:val="22"/>
          <w:szCs w:val="22"/>
          <w:lang w:val="en-US"/>
        </w:rPr>
        <w:t xml:space="preserve">FAPI PET </w:t>
      </w:r>
      <w:r w:rsidRPr="00E6609B">
        <w:rPr>
          <w:rFonts w:ascii="Times" w:hAnsi="Times"/>
          <w:sz w:val="22"/>
          <w:szCs w:val="22"/>
          <w:lang w:val="en-US"/>
        </w:rPr>
        <w:t xml:space="preserve">(panel </w:t>
      </w:r>
      <w:r w:rsidRPr="00E6609B">
        <w:rPr>
          <w:rFonts w:ascii="Times" w:hAnsi="Times"/>
          <w:b/>
          <w:bCs/>
          <w:sz w:val="22"/>
          <w:szCs w:val="22"/>
          <w:lang w:val="en-US"/>
        </w:rPr>
        <w:t>a</w:t>
      </w:r>
      <w:r w:rsidRPr="00E6609B">
        <w:rPr>
          <w:rFonts w:ascii="Times" w:hAnsi="Times"/>
          <w:sz w:val="22"/>
          <w:szCs w:val="22"/>
          <w:lang w:val="en-US"/>
        </w:rPr>
        <w:t xml:space="preserve"> sensitivity in </w:t>
      </w:r>
      <w:proofErr w:type="spellStart"/>
      <w:r w:rsidRPr="00E6609B">
        <w:rPr>
          <w:rFonts w:ascii="Times" w:hAnsi="Times"/>
          <w:sz w:val="22"/>
          <w:szCs w:val="22"/>
          <w:lang w:val="en-US"/>
        </w:rPr>
        <w:t>lymphnodes</w:t>
      </w:r>
      <w:proofErr w:type="spellEnd"/>
      <w:r w:rsidRPr="00E6609B">
        <w:rPr>
          <w:rFonts w:ascii="Times" w:hAnsi="Times"/>
          <w:sz w:val="22"/>
          <w:szCs w:val="22"/>
          <w:lang w:val="en-US"/>
        </w:rPr>
        <w:t xml:space="preserve"> and distant metastases; panel </w:t>
      </w:r>
      <w:r w:rsidRPr="00E6609B">
        <w:rPr>
          <w:rFonts w:ascii="Times" w:hAnsi="Times"/>
          <w:b/>
          <w:bCs/>
          <w:sz w:val="22"/>
          <w:szCs w:val="22"/>
          <w:lang w:val="en-US"/>
        </w:rPr>
        <w:t>b</w:t>
      </w:r>
      <w:r w:rsidRPr="00E6609B">
        <w:rPr>
          <w:rFonts w:ascii="Times" w:hAnsi="Times"/>
          <w:sz w:val="22"/>
          <w:szCs w:val="22"/>
          <w:lang w:val="en-US"/>
        </w:rPr>
        <w:t xml:space="preserve"> specificity in </w:t>
      </w:r>
      <w:proofErr w:type="spellStart"/>
      <w:r w:rsidRPr="00E6609B">
        <w:rPr>
          <w:rFonts w:ascii="Times" w:hAnsi="Times"/>
          <w:sz w:val="22"/>
          <w:szCs w:val="22"/>
          <w:lang w:val="en-US"/>
        </w:rPr>
        <w:t>lymphnodes</w:t>
      </w:r>
      <w:proofErr w:type="spellEnd"/>
      <w:r w:rsidRPr="00E6609B">
        <w:rPr>
          <w:rFonts w:ascii="Times" w:hAnsi="Times"/>
          <w:sz w:val="22"/>
          <w:szCs w:val="22"/>
          <w:lang w:val="en-US"/>
        </w:rPr>
        <w:t xml:space="preserve"> and distant metastases; panel </w:t>
      </w:r>
      <w:r w:rsidRPr="00E6609B">
        <w:rPr>
          <w:rFonts w:ascii="Times" w:hAnsi="Times"/>
          <w:b/>
          <w:bCs/>
          <w:sz w:val="22"/>
          <w:szCs w:val="22"/>
          <w:lang w:val="en-US"/>
        </w:rPr>
        <w:t xml:space="preserve">c </w:t>
      </w:r>
      <w:r w:rsidRPr="00E6609B">
        <w:rPr>
          <w:rFonts w:ascii="Times" w:hAnsi="Times"/>
          <w:sz w:val="22"/>
          <w:szCs w:val="22"/>
          <w:lang w:val="en-US"/>
        </w:rPr>
        <w:t xml:space="preserve">sensitivity in </w:t>
      </w:r>
      <w:proofErr w:type="spellStart"/>
      <w:r w:rsidRPr="00E6609B">
        <w:rPr>
          <w:rFonts w:ascii="Times" w:hAnsi="Times"/>
          <w:sz w:val="22"/>
          <w:szCs w:val="22"/>
          <w:lang w:val="en-US"/>
        </w:rPr>
        <w:t>lymphnodes</w:t>
      </w:r>
      <w:proofErr w:type="spellEnd"/>
      <w:r w:rsidRPr="00E6609B">
        <w:rPr>
          <w:rFonts w:ascii="Times" w:hAnsi="Times"/>
          <w:sz w:val="22"/>
          <w:szCs w:val="22"/>
          <w:lang w:val="en-US"/>
        </w:rPr>
        <w:t>,</w:t>
      </w:r>
      <w:r>
        <w:rPr>
          <w:rFonts w:ascii="Times" w:hAnsi="Times"/>
          <w:sz w:val="22"/>
          <w:szCs w:val="22"/>
          <w:lang w:val="en-US"/>
        </w:rPr>
        <w:t xml:space="preserve"> panel</w:t>
      </w:r>
      <w:r w:rsidRPr="00E6609B">
        <w:rPr>
          <w:rFonts w:ascii="Times" w:hAnsi="Times"/>
          <w:sz w:val="22"/>
          <w:szCs w:val="22"/>
          <w:lang w:val="en-US"/>
        </w:rPr>
        <w:t xml:space="preserve"> </w:t>
      </w:r>
      <w:r w:rsidRPr="00E6609B">
        <w:rPr>
          <w:rFonts w:ascii="Times" w:hAnsi="Times"/>
          <w:b/>
          <w:bCs/>
          <w:sz w:val="22"/>
          <w:szCs w:val="22"/>
          <w:lang w:val="en-US"/>
        </w:rPr>
        <w:t>d</w:t>
      </w:r>
      <w:r w:rsidRPr="00E6609B">
        <w:rPr>
          <w:rFonts w:ascii="Times" w:hAnsi="Times"/>
          <w:sz w:val="22"/>
          <w:szCs w:val="22"/>
          <w:lang w:val="en-US"/>
        </w:rPr>
        <w:t xml:space="preserve"> specificity in </w:t>
      </w:r>
      <w:proofErr w:type="spellStart"/>
      <w:r w:rsidRPr="00E6609B">
        <w:rPr>
          <w:rFonts w:ascii="Times" w:hAnsi="Times"/>
          <w:sz w:val="22"/>
          <w:szCs w:val="22"/>
          <w:lang w:val="en-US"/>
        </w:rPr>
        <w:t>lymphnodes</w:t>
      </w:r>
      <w:proofErr w:type="spellEnd"/>
      <w:r w:rsidRPr="00E6609B">
        <w:rPr>
          <w:rFonts w:ascii="Times" w:hAnsi="Times"/>
          <w:sz w:val="22"/>
          <w:szCs w:val="22"/>
          <w:lang w:val="en-US"/>
        </w:rPr>
        <w:t>)</w:t>
      </w:r>
    </w:p>
    <w:p w14:paraId="713323CE" w14:textId="77777777" w:rsidR="00A26864" w:rsidRDefault="00A26864" w:rsidP="00A26864">
      <w:pPr>
        <w:rPr>
          <w:rFonts w:ascii="Times" w:hAnsi="Times"/>
          <w:b/>
          <w:bCs/>
          <w:lang w:val="en-US"/>
        </w:rPr>
      </w:pPr>
    </w:p>
    <w:p w14:paraId="51F1825E" w14:textId="77777777" w:rsidR="00A26864" w:rsidRDefault="00A26864" w:rsidP="00A26864">
      <w:pPr>
        <w:rPr>
          <w:rFonts w:ascii="Times" w:hAnsi="Times"/>
          <w:b/>
          <w:bCs/>
          <w:lang w:val="en-US"/>
        </w:rPr>
      </w:pPr>
      <w:r>
        <w:rPr>
          <w:rFonts w:ascii="Times" w:hAnsi="Times"/>
          <w:b/>
          <w:bCs/>
          <w:lang w:val="en-US"/>
        </w:rPr>
        <w:t xml:space="preserve">a </w:t>
      </w:r>
      <w:r>
        <w:rPr>
          <w:rFonts w:ascii="Times" w:hAnsi="Times"/>
          <w:b/>
          <w:bCs/>
          <w:noProof/>
          <w:lang w:eastAsia="it-IT"/>
        </w:rPr>
        <w:drawing>
          <wp:inline distT="0" distB="0" distL="0" distR="0" wp14:anchorId="672E6A42" wp14:editId="7AAF449C">
            <wp:extent cx="4392000" cy="2887200"/>
            <wp:effectExtent l="0" t="0" r="8890" b="8890"/>
            <wp:docPr id="264" name="Immagin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92000" cy="2887200"/>
                    </a:xfrm>
                    <a:prstGeom prst="rect">
                      <a:avLst/>
                    </a:prstGeom>
                    <a:noFill/>
                  </pic:spPr>
                </pic:pic>
              </a:graphicData>
            </a:graphic>
          </wp:inline>
        </w:drawing>
      </w:r>
    </w:p>
    <w:p w14:paraId="3923415E" w14:textId="77777777" w:rsidR="00A26864" w:rsidRDefault="00A26864" w:rsidP="00A26864">
      <w:pPr>
        <w:rPr>
          <w:rFonts w:ascii="Times" w:hAnsi="Times"/>
          <w:b/>
          <w:bCs/>
          <w:lang w:val="en-US"/>
        </w:rPr>
      </w:pPr>
      <w:r>
        <w:rPr>
          <w:rFonts w:ascii="Times" w:hAnsi="Times"/>
          <w:b/>
          <w:bCs/>
          <w:noProof/>
          <w:lang w:eastAsia="it-IT"/>
        </w:rPr>
        <w:lastRenderedPageBreak/>
        <w:drawing>
          <wp:inline distT="0" distB="0" distL="0" distR="0" wp14:anchorId="30E7FE52" wp14:editId="4F146E20">
            <wp:extent cx="4488191" cy="3133725"/>
            <wp:effectExtent l="0" t="0" r="7620" b="0"/>
            <wp:docPr id="485" name="Immagin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14408" cy="3152030"/>
                    </a:xfrm>
                    <a:prstGeom prst="rect">
                      <a:avLst/>
                    </a:prstGeom>
                    <a:noFill/>
                  </pic:spPr>
                </pic:pic>
              </a:graphicData>
            </a:graphic>
          </wp:inline>
        </w:drawing>
      </w:r>
    </w:p>
    <w:p w14:paraId="188F783C" w14:textId="77777777" w:rsidR="00A26864" w:rsidRDefault="00A26864" w:rsidP="00A26864">
      <w:pPr>
        <w:rPr>
          <w:rFonts w:ascii="Times" w:hAnsi="Times"/>
          <w:b/>
          <w:bCs/>
          <w:lang w:val="en-US"/>
        </w:rPr>
      </w:pPr>
      <w:r>
        <w:rPr>
          <w:rFonts w:ascii="Times" w:hAnsi="Times"/>
          <w:b/>
          <w:bCs/>
          <w:lang w:val="en-US"/>
        </w:rPr>
        <w:t xml:space="preserve">b </w:t>
      </w:r>
    </w:p>
    <w:p w14:paraId="53045B68" w14:textId="77777777" w:rsidR="00A26864" w:rsidRDefault="00A26864" w:rsidP="00A26864">
      <w:pPr>
        <w:rPr>
          <w:rFonts w:ascii="Times" w:hAnsi="Times"/>
          <w:b/>
          <w:bCs/>
          <w:lang w:val="en-US"/>
        </w:rPr>
      </w:pPr>
    </w:p>
    <w:p w14:paraId="693374CD" w14:textId="77777777" w:rsidR="00A26864" w:rsidRDefault="00A26864" w:rsidP="00A26864">
      <w:pPr>
        <w:rPr>
          <w:rFonts w:ascii="Times" w:hAnsi="Times"/>
          <w:b/>
          <w:bCs/>
          <w:lang w:val="en-US"/>
        </w:rPr>
      </w:pPr>
      <w:r>
        <w:rPr>
          <w:rFonts w:ascii="Times" w:hAnsi="Times"/>
          <w:b/>
          <w:bCs/>
          <w:lang w:val="en-US"/>
        </w:rPr>
        <w:t xml:space="preserve">c </w:t>
      </w:r>
      <w:r>
        <w:rPr>
          <w:rFonts w:ascii="Times" w:hAnsi="Times"/>
          <w:b/>
          <w:bCs/>
          <w:noProof/>
          <w:lang w:eastAsia="it-IT"/>
        </w:rPr>
        <w:drawing>
          <wp:inline distT="0" distB="0" distL="0" distR="0" wp14:anchorId="5DD18F66" wp14:editId="4B772AB9">
            <wp:extent cx="4392000" cy="2772000"/>
            <wp:effectExtent l="0" t="0" r="8890" b="9525"/>
            <wp:docPr id="563" name="Immagin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92000" cy="2772000"/>
                    </a:xfrm>
                    <a:prstGeom prst="rect">
                      <a:avLst/>
                    </a:prstGeom>
                    <a:noFill/>
                  </pic:spPr>
                </pic:pic>
              </a:graphicData>
            </a:graphic>
          </wp:inline>
        </w:drawing>
      </w:r>
    </w:p>
    <w:p w14:paraId="7614DC5F" w14:textId="77777777" w:rsidR="00A26864" w:rsidRDefault="00A26864" w:rsidP="00A26864">
      <w:pPr>
        <w:rPr>
          <w:rFonts w:ascii="Times" w:hAnsi="Times"/>
          <w:b/>
          <w:bCs/>
          <w:lang w:val="en-US"/>
        </w:rPr>
      </w:pPr>
    </w:p>
    <w:p w14:paraId="19572B0A" w14:textId="77777777" w:rsidR="00A26864" w:rsidRPr="00F23257" w:rsidRDefault="00A26864" w:rsidP="00A26864">
      <w:pPr>
        <w:rPr>
          <w:rFonts w:ascii="Times" w:hAnsi="Times"/>
          <w:b/>
          <w:bCs/>
          <w:lang w:val="en-US"/>
        </w:rPr>
      </w:pPr>
      <w:r>
        <w:rPr>
          <w:rFonts w:ascii="Times" w:hAnsi="Times"/>
          <w:b/>
          <w:bCs/>
          <w:lang w:val="en-US"/>
        </w:rPr>
        <w:lastRenderedPageBreak/>
        <w:t xml:space="preserve">d </w:t>
      </w:r>
      <w:r>
        <w:rPr>
          <w:rFonts w:ascii="Times" w:hAnsi="Times"/>
          <w:b/>
          <w:bCs/>
          <w:noProof/>
          <w:lang w:eastAsia="it-IT"/>
        </w:rPr>
        <w:drawing>
          <wp:inline distT="0" distB="0" distL="0" distR="0" wp14:anchorId="35AEDFE9" wp14:editId="10D0CC48">
            <wp:extent cx="4392000" cy="3193200"/>
            <wp:effectExtent l="0" t="0" r="8890" b="7620"/>
            <wp:docPr id="632" name="Immagin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2000" cy="3193200"/>
                    </a:xfrm>
                    <a:prstGeom prst="rect">
                      <a:avLst/>
                    </a:prstGeom>
                    <a:noFill/>
                  </pic:spPr>
                </pic:pic>
              </a:graphicData>
            </a:graphic>
          </wp:inline>
        </w:drawing>
      </w:r>
    </w:p>
    <w:p w14:paraId="401AE24B" w14:textId="77777777" w:rsidR="00A26864" w:rsidRDefault="00A26864" w:rsidP="00A26864">
      <w:pPr>
        <w:rPr>
          <w:rFonts w:ascii="Times" w:hAnsi="Times"/>
          <w:lang w:val="en-US"/>
        </w:rPr>
      </w:pPr>
    </w:p>
    <w:p w14:paraId="626831E8" w14:textId="77777777" w:rsidR="00A26864" w:rsidRDefault="00A26864" w:rsidP="00A26864">
      <w:pPr>
        <w:rPr>
          <w:rFonts w:ascii="Times" w:hAnsi="Times"/>
          <w:lang w:val="en-US"/>
        </w:rPr>
      </w:pPr>
    </w:p>
    <w:p w14:paraId="524F893E" w14:textId="77777777" w:rsidR="00A26864" w:rsidRDefault="00A26864" w:rsidP="00A26864">
      <w:pPr>
        <w:rPr>
          <w:rFonts w:ascii="Times" w:hAnsi="Times"/>
          <w:lang w:val="en-US"/>
        </w:rPr>
      </w:pPr>
    </w:p>
    <w:p w14:paraId="5050E1F2" w14:textId="77777777" w:rsidR="00A26864" w:rsidRDefault="00A26864" w:rsidP="00A26864">
      <w:pPr>
        <w:rPr>
          <w:rFonts w:ascii="Times" w:hAnsi="Times" w:cstheme="minorHAnsi"/>
          <w:color w:val="000000" w:themeColor="text1"/>
          <w:sz w:val="22"/>
          <w:szCs w:val="22"/>
          <w:lang w:val="en-GB"/>
        </w:rPr>
      </w:pPr>
      <w:r w:rsidRPr="00E6609B">
        <w:rPr>
          <w:rFonts w:ascii="Times" w:hAnsi="Times"/>
          <w:b/>
          <w:bCs/>
          <w:sz w:val="22"/>
          <w:szCs w:val="22"/>
          <w:lang w:val="en-US"/>
        </w:rPr>
        <w:t>Supplementary Figure 4.</w:t>
      </w:r>
      <w:r w:rsidRPr="00E6609B">
        <w:rPr>
          <w:rFonts w:ascii="Times" w:hAnsi="Times"/>
          <w:sz w:val="22"/>
          <w:szCs w:val="22"/>
          <w:lang w:val="en-US"/>
        </w:rPr>
        <w:t xml:space="preserve"> </w:t>
      </w:r>
      <w:r>
        <w:rPr>
          <w:rFonts w:ascii="Times" w:hAnsi="Times" w:cstheme="minorHAnsi"/>
          <w:color w:val="000000" w:themeColor="text1"/>
          <w:sz w:val="22"/>
          <w:szCs w:val="22"/>
          <w:lang w:val="en-GB"/>
        </w:rPr>
        <w:t>E</w:t>
      </w:r>
      <w:r w:rsidRPr="00CB1590">
        <w:rPr>
          <w:rFonts w:ascii="Times" w:hAnsi="Times" w:cstheme="minorHAnsi"/>
          <w:color w:val="000000" w:themeColor="text1"/>
          <w:sz w:val="22"/>
          <w:szCs w:val="22"/>
          <w:lang w:val="en-GB"/>
        </w:rPr>
        <w:t xml:space="preserve">stimated pooled lesion-based sensitivity </w:t>
      </w:r>
      <w:r>
        <w:rPr>
          <w:rFonts w:ascii="Times" w:hAnsi="Times" w:cstheme="minorHAnsi"/>
          <w:color w:val="000000" w:themeColor="text1"/>
          <w:sz w:val="22"/>
          <w:szCs w:val="22"/>
          <w:lang w:val="en-GB"/>
        </w:rPr>
        <w:t xml:space="preserve">(panel a) </w:t>
      </w:r>
      <w:r w:rsidRPr="00CB1590">
        <w:rPr>
          <w:rFonts w:ascii="Times" w:hAnsi="Times" w:cstheme="minorHAnsi"/>
          <w:color w:val="000000" w:themeColor="text1"/>
          <w:sz w:val="22"/>
          <w:szCs w:val="22"/>
          <w:lang w:val="en-GB"/>
        </w:rPr>
        <w:t xml:space="preserve">and specificity </w:t>
      </w:r>
      <w:r>
        <w:rPr>
          <w:rFonts w:ascii="Times" w:hAnsi="Times" w:cstheme="minorHAnsi"/>
          <w:color w:val="000000" w:themeColor="text1"/>
          <w:sz w:val="22"/>
          <w:szCs w:val="22"/>
          <w:lang w:val="en-GB"/>
        </w:rPr>
        <w:t xml:space="preserve">(panel b) </w:t>
      </w:r>
      <w:r w:rsidRPr="00CB1590">
        <w:rPr>
          <w:rFonts w:ascii="Times" w:hAnsi="Times" w:cstheme="minorHAnsi"/>
          <w:color w:val="000000" w:themeColor="text1"/>
          <w:sz w:val="22"/>
          <w:szCs w:val="22"/>
          <w:lang w:val="en-GB"/>
        </w:rPr>
        <w:t>on a per-lesion level</w:t>
      </w:r>
      <w:r>
        <w:rPr>
          <w:rFonts w:ascii="Times" w:hAnsi="Times" w:cstheme="minorHAnsi"/>
          <w:color w:val="000000" w:themeColor="text1"/>
          <w:sz w:val="22"/>
          <w:szCs w:val="22"/>
          <w:lang w:val="en-GB"/>
        </w:rPr>
        <w:t xml:space="preserve"> in abdominal malignancies</w:t>
      </w:r>
    </w:p>
    <w:p w14:paraId="49F8D343" w14:textId="77777777" w:rsidR="00A26864" w:rsidRDefault="00A26864" w:rsidP="00A26864">
      <w:pPr>
        <w:rPr>
          <w:rFonts w:ascii="Times" w:hAnsi="Times" w:cstheme="minorHAnsi"/>
          <w:color w:val="000000" w:themeColor="text1"/>
          <w:sz w:val="22"/>
          <w:szCs w:val="22"/>
          <w:lang w:val="en-GB"/>
        </w:rPr>
      </w:pPr>
    </w:p>
    <w:p w14:paraId="69CD7CB7" w14:textId="77777777" w:rsidR="00A26864" w:rsidRPr="00F74886" w:rsidRDefault="00A26864" w:rsidP="00A26864">
      <w:pPr>
        <w:rPr>
          <w:rFonts w:ascii="Times" w:hAnsi="Times" w:cstheme="minorHAnsi"/>
          <w:b/>
          <w:bCs/>
          <w:color w:val="000000" w:themeColor="text1"/>
          <w:sz w:val="22"/>
          <w:szCs w:val="22"/>
          <w:lang w:val="en-GB"/>
        </w:rPr>
      </w:pPr>
      <w:r w:rsidRPr="00F74886">
        <w:rPr>
          <w:rFonts w:ascii="Times" w:hAnsi="Times" w:cstheme="minorHAnsi"/>
          <w:b/>
          <w:bCs/>
          <w:color w:val="000000" w:themeColor="text1"/>
          <w:sz w:val="22"/>
          <w:szCs w:val="22"/>
          <w:lang w:val="en-GB"/>
        </w:rPr>
        <w:t>a</w:t>
      </w:r>
    </w:p>
    <w:p w14:paraId="0B366E59" w14:textId="77777777" w:rsidR="00A26864" w:rsidRDefault="00A26864" w:rsidP="00A26864">
      <w:pPr>
        <w:rPr>
          <w:rFonts w:ascii="Times" w:hAnsi="Times" w:cstheme="minorHAnsi"/>
          <w:color w:val="000000" w:themeColor="text1"/>
          <w:sz w:val="22"/>
          <w:szCs w:val="22"/>
          <w:lang w:val="en-GB"/>
        </w:rPr>
      </w:pPr>
      <w:r>
        <w:rPr>
          <w:rFonts w:ascii="Times" w:hAnsi="Times" w:cstheme="minorHAnsi"/>
          <w:noProof/>
          <w:color w:val="000000" w:themeColor="text1"/>
          <w:sz w:val="22"/>
          <w:szCs w:val="22"/>
          <w:lang w:eastAsia="it-IT"/>
        </w:rPr>
        <w:drawing>
          <wp:inline distT="0" distB="0" distL="0" distR="0" wp14:anchorId="3539A971" wp14:editId="0026323D">
            <wp:extent cx="6120765" cy="4212590"/>
            <wp:effectExtent l="0" t="0" r="0" b="0"/>
            <wp:docPr id="633" name="Immagin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4212590"/>
                    </a:xfrm>
                    <a:prstGeom prst="rect">
                      <a:avLst/>
                    </a:prstGeom>
                    <a:noFill/>
                  </pic:spPr>
                </pic:pic>
              </a:graphicData>
            </a:graphic>
          </wp:inline>
        </w:drawing>
      </w:r>
    </w:p>
    <w:p w14:paraId="4233F518" w14:textId="77777777" w:rsidR="00A26864" w:rsidRDefault="00A26864" w:rsidP="00A26864">
      <w:pPr>
        <w:rPr>
          <w:rFonts w:ascii="Times" w:hAnsi="Times" w:cstheme="minorHAnsi"/>
          <w:b/>
          <w:bCs/>
          <w:color w:val="000000" w:themeColor="text1"/>
          <w:sz w:val="22"/>
          <w:szCs w:val="22"/>
          <w:lang w:val="en-GB"/>
        </w:rPr>
      </w:pPr>
    </w:p>
    <w:p w14:paraId="5E4E6C5D" w14:textId="77777777" w:rsidR="00A26864" w:rsidRPr="00F74886" w:rsidRDefault="00A26864" w:rsidP="00A26864">
      <w:pPr>
        <w:rPr>
          <w:rFonts w:ascii="Times" w:hAnsi="Times" w:cstheme="minorHAnsi"/>
          <w:b/>
          <w:bCs/>
          <w:color w:val="000000" w:themeColor="text1"/>
          <w:sz w:val="22"/>
          <w:szCs w:val="22"/>
          <w:lang w:val="en-GB"/>
        </w:rPr>
      </w:pPr>
      <w:r w:rsidRPr="00F74886">
        <w:rPr>
          <w:rFonts w:ascii="Times" w:hAnsi="Times" w:cstheme="minorHAnsi"/>
          <w:b/>
          <w:bCs/>
          <w:color w:val="000000" w:themeColor="text1"/>
          <w:sz w:val="22"/>
          <w:szCs w:val="22"/>
          <w:lang w:val="en-GB"/>
        </w:rPr>
        <w:lastRenderedPageBreak/>
        <w:t>b</w:t>
      </w:r>
    </w:p>
    <w:p w14:paraId="01A0130A" w14:textId="77777777" w:rsidR="00A26864" w:rsidRDefault="00A26864" w:rsidP="00A26864">
      <w:pPr>
        <w:rPr>
          <w:rFonts w:ascii="Times" w:hAnsi="Times" w:cstheme="minorHAnsi"/>
          <w:color w:val="000000" w:themeColor="text1"/>
          <w:sz w:val="22"/>
          <w:szCs w:val="22"/>
          <w:lang w:val="en-GB"/>
        </w:rPr>
      </w:pPr>
      <w:r>
        <w:rPr>
          <w:rFonts w:ascii="Times" w:hAnsi="Times" w:cstheme="minorHAnsi"/>
          <w:noProof/>
          <w:color w:val="000000" w:themeColor="text1"/>
          <w:sz w:val="22"/>
          <w:szCs w:val="22"/>
          <w:lang w:eastAsia="it-IT"/>
        </w:rPr>
        <w:drawing>
          <wp:inline distT="0" distB="0" distL="0" distR="0" wp14:anchorId="54620E00" wp14:editId="50BFE68C">
            <wp:extent cx="6120765" cy="4072255"/>
            <wp:effectExtent l="0" t="0" r="0" b="4445"/>
            <wp:docPr id="634" name="Immagin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4072255"/>
                    </a:xfrm>
                    <a:prstGeom prst="rect">
                      <a:avLst/>
                    </a:prstGeom>
                    <a:noFill/>
                  </pic:spPr>
                </pic:pic>
              </a:graphicData>
            </a:graphic>
          </wp:inline>
        </w:drawing>
      </w:r>
    </w:p>
    <w:p w14:paraId="750725A5" w14:textId="77777777" w:rsidR="00A26864" w:rsidRDefault="00A26864" w:rsidP="00A26864">
      <w:pPr>
        <w:rPr>
          <w:rFonts w:ascii="Times" w:hAnsi="Times"/>
          <w:lang w:val="en-US"/>
        </w:rPr>
      </w:pPr>
    </w:p>
    <w:p w14:paraId="2E3C21EE" w14:textId="77777777" w:rsidR="00A26864" w:rsidRDefault="00A26864" w:rsidP="00A26864">
      <w:pPr>
        <w:rPr>
          <w:rFonts w:ascii="Times" w:hAnsi="Times"/>
          <w:lang w:val="en-US"/>
        </w:rPr>
      </w:pPr>
    </w:p>
    <w:p w14:paraId="53EE778F" w14:textId="77777777" w:rsidR="00A26864" w:rsidRDefault="00A26864" w:rsidP="00A26864">
      <w:pPr>
        <w:rPr>
          <w:rFonts w:ascii="Times" w:hAnsi="Times"/>
          <w:lang w:val="en-US"/>
        </w:rPr>
      </w:pPr>
    </w:p>
    <w:p w14:paraId="7E6D8974" w14:textId="77777777" w:rsidR="00A26864" w:rsidRDefault="00A26864" w:rsidP="00A26864">
      <w:pPr>
        <w:rPr>
          <w:rFonts w:ascii="Times" w:hAnsi="Times"/>
          <w:lang w:val="en-US"/>
        </w:rPr>
      </w:pPr>
    </w:p>
    <w:p w14:paraId="4B3F258B" w14:textId="77777777" w:rsidR="00A26864" w:rsidRDefault="00A26864" w:rsidP="00A26864">
      <w:pPr>
        <w:rPr>
          <w:rFonts w:ascii="Times" w:hAnsi="Times"/>
          <w:lang w:val="en-US"/>
        </w:rPr>
      </w:pPr>
    </w:p>
    <w:p w14:paraId="50902FD2" w14:textId="77777777" w:rsidR="00A26864" w:rsidRDefault="00A26864" w:rsidP="00A26864">
      <w:pPr>
        <w:rPr>
          <w:rFonts w:ascii="Times" w:hAnsi="Times"/>
          <w:lang w:val="en-US"/>
        </w:rPr>
      </w:pPr>
    </w:p>
    <w:p w14:paraId="46875B76" w14:textId="77777777" w:rsidR="00A26864" w:rsidRDefault="00A26864" w:rsidP="00A26864">
      <w:pPr>
        <w:rPr>
          <w:rFonts w:ascii="Times" w:hAnsi="Times"/>
          <w:lang w:val="en-US"/>
        </w:rPr>
      </w:pPr>
    </w:p>
    <w:p w14:paraId="51CCA558" w14:textId="77777777" w:rsidR="00A26864" w:rsidRPr="00F74886" w:rsidRDefault="00A26864" w:rsidP="00A26864">
      <w:pPr>
        <w:rPr>
          <w:rFonts w:ascii="Times" w:hAnsi="Times" w:cstheme="minorHAnsi"/>
          <w:color w:val="000000" w:themeColor="text1"/>
          <w:sz w:val="22"/>
          <w:szCs w:val="22"/>
          <w:lang w:val="en-GB"/>
        </w:rPr>
      </w:pPr>
      <w:r w:rsidRPr="00F74886">
        <w:rPr>
          <w:rFonts w:ascii="Times" w:hAnsi="Times"/>
          <w:b/>
          <w:bCs/>
          <w:sz w:val="22"/>
          <w:szCs w:val="22"/>
          <w:lang w:val="en-US"/>
        </w:rPr>
        <w:t>Supplementary Figure 5.</w:t>
      </w:r>
      <w:r w:rsidRPr="00F74886">
        <w:rPr>
          <w:rFonts w:ascii="Times" w:hAnsi="Times"/>
          <w:sz w:val="22"/>
          <w:szCs w:val="22"/>
          <w:lang w:val="en-US"/>
        </w:rPr>
        <w:t xml:space="preserve"> </w:t>
      </w:r>
      <w:r w:rsidRPr="00F74886">
        <w:rPr>
          <w:rFonts w:ascii="Times" w:hAnsi="Times" w:cstheme="minorHAnsi"/>
          <w:color w:val="000000" w:themeColor="text1"/>
          <w:sz w:val="22"/>
          <w:szCs w:val="22"/>
          <w:lang w:val="en-GB"/>
        </w:rPr>
        <w:t>Estimated pooled sensitivity for diagnosis of primary tumour in abdominal malignancies</w:t>
      </w:r>
    </w:p>
    <w:p w14:paraId="32EFF4E4" w14:textId="77777777" w:rsidR="00A26864" w:rsidRDefault="00A26864" w:rsidP="00A26864">
      <w:pPr>
        <w:rPr>
          <w:rFonts w:ascii="Times" w:hAnsi="Times"/>
          <w:lang w:val="en-US"/>
        </w:rPr>
      </w:pPr>
      <w:r>
        <w:rPr>
          <w:rFonts w:ascii="Times" w:hAnsi="Times"/>
          <w:noProof/>
          <w:lang w:eastAsia="it-IT"/>
        </w:rPr>
        <w:lastRenderedPageBreak/>
        <w:drawing>
          <wp:inline distT="0" distB="0" distL="0" distR="0" wp14:anchorId="6CFC7B33" wp14:editId="2D0F3469">
            <wp:extent cx="6120765" cy="4291965"/>
            <wp:effectExtent l="0" t="0" r="0" b="0"/>
            <wp:docPr id="635" name="Immagin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4291965"/>
                    </a:xfrm>
                    <a:prstGeom prst="rect">
                      <a:avLst/>
                    </a:prstGeom>
                    <a:noFill/>
                  </pic:spPr>
                </pic:pic>
              </a:graphicData>
            </a:graphic>
          </wp:inline>
        </w:drawing>
      </w:r>
    </w:p>
    <w:p w14:paraId="3A929317" w14:textId="77777777" w:rsidR="00A26864" w:rsidRDefault="00A26864" w:rsidP="00A26864">
      <w:pPr>
        <w:rPr>
          <w:rFonts w:ascii="Times" w:hAnsi="Times"/>
          <w:lang w:val="en-US"/>
        </w:rPr>
      </w:pPr>
    </w:p>
    <w:p w14:paraId="4DC24533" w14:textId="7BE95636" w:rsidR="00F74886" w:rsidRDefault="00F74886">
      <w:pPr>
        <w:rPr>
          <w:rFonts w:ascii="Times" w:hAnsi="Times"/>
          <w:lang w:val="en-US"/>
        </w:rPr>
      </w:pPr>
      <w:bookmarkStart w:id="0" w:name="_GoBack"/>
      <w:bookmarkEnd w:id="0"/>
    </w:p>
    <w:p w14:paraId="419D56B8" w14:textId="4C14A97C" w:rsidR="00F74886" w:rsidRDefault="00F74886">
      <w:pPr>
        <w:rPr>
          <w:rFonts w:ascii="Times" w:hAnsi="Times"/>
          <w:lang w:val="en-US"/>
        </w:rPr>
      </w:pPr>
    </w:p>
    <w:p w14:paraId="5424E0DD" w14:textId="59337396" w:rsidR="00F74886" w:rsidRDefault="00F74886" w:rsidP="00F74886">
      <w:pPr>
        <w:rPr>
          <w:rFonts w:ascii="Times" w:hAnsi="Times" w:cstheme="minorHAnsi"/>
          <w:color w:val="000000" w:themeColor="text1"/>
          <w:sz w:val="22"/>
          <w:szCs w:val="22"/>
          <w:lang w:val="en-GB"/>
        </w:rPr>
      </w:pPr>
      <w:r w:rsidRPr="00F74886">
        <w:rPr>
          <w:rFonts w:ascii="Times" w:hAnsi="Times"/>
          <w:b/>
          <w:bCs/>
          <w:sz w:val="22"/>
          <w:szCs w:val="22"/>
          <w:lang w:val="en-US"/>
        </w:rPr>
        <w:t xml:space="preserve">Supplementary Figure 6. </w:t>
      </w:r>
      <w:r w:rsidRPr="00F74886">
        <w:rPr>
          <w:rFonts w:ascii="Times" w:hAnsi="Times" w:cstheme="minorHAnsi"/>
          <w:color w:val="000000" w:themeColor="text1"/>
          <w:sz w:val="22"/>
          <w:szCs w:val="22"/>
          <w:lang w:val="en-GB"/>
        </w:rPr>
        <w:t>Estimated pooled sensitivity for diagnosis of non-primary tumour in abdominal malignancies</w:t>
      </w:r>
    </w:p>
    <w:p w14:paraId="25E634F5" w14:textId="2B11E560" w:rsidR="00F74886" w:rsidRPr="00F74886" w:rsidRDefault="00CB6406" w:rsidP="00F74886">
      <w:pPr>
        <w:rPr>
          <w:rFonts w:ascii="Times" w:hAnsi="Times" w:cstheme="minorHAnsi"/>
          <w:color w:val="000000" w:themeColor="text1"/>
          <w:sz w:val="22"/>
          <w:szCs w:val="22"/>
          <w:lang w:val="en-GB"/>
        </w:rPr>
      </w:pPr>
      <w:r w:rsidRPr="00CB6406">
        <w:rPr>
          <w:rFonts w:ascii="Times" w:hAnsi="Times" w:cstheme="minorHAnsi"/>
          <w:noProof/>
          <w:color w:val="000000" w:themeColor="text1"/>
          <w:sz w:val="22"/>
          <w:szCs w:val="22"/>
          <w:lang w:val="en-GB"/>
        </w:rPr>
        <w:lastRenderedPageBreak/>
        <w:drawing>
          <wp:inline distT="0" distB="0" distL="0" distR="0" wp14:anchorId="689962C6" wp14:editId="3360AE3A">
            <wp:extent cx="5731510" cy="3718560"/>
            <wp:effectExtent l="0" t="0" r="0" b="254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718560"/>
                    </a:xfrm>
                    <a:prstGeom prst="rect">
                      <a:avLst/>
                    </a:prstGeom>
                  </pic:spPr>
                </pic:pic>
              </a:graphicData>
            </a:graphic>
          </wp:inline>
        </w:drawing>
      </w:r>
    </w:p>
    <w:p w14:paraId="4FB6CF51" w14:textId="25D35FFE" w:rsidR="00F74886" w:rsidRPr="00F74886" w:rsidRDefault="00F74886">
      <w:pPr>
        <w:rPr>
          <w:rFonts w:ascii="Times" w:hAnsi="Times"/>
          <w:lang w:val="en-GB"/>
        </w:rPr>
      </w:pPr>
    </w:p>
    <w:tbl>
      <w:tblPr>
        <w:tblStyle w:val="Grigliatabella"/>
        <w:tblW w:w="0" w:type="auto"/>
        <w:tblLook w:val="04A0" w:firstRow="1" w:lastRow="0" w:firstColumn="1" w:lastColumn="0" w:noHBand="0" w:noVBand="1"/>
      </w:tblPr>
      <w:tblGrid>
        <w:gridCol w:w="4039"/>
        <w:gridCol w:w="2452"/>
        <w:gridCol w:w="2535"/>
      </w:tblGrid>
      <w:tr w:rsidR="00C33068" w:rsidRPr="00A26864" w14:paraId="0D74D78F" w14:textId="77777777" w:rsidTr="004E2054">
        <w:trPr>
          <w:trHeight w:val="175"/>
        </w:trPr>
        <w:tc>
          <w:tcPr>
            <w:tcW w:w="9184" w:type="dxa"/>
            <w:gridSpan w:val="3"/>
            <w:tcBorders>
              <w:top w:val="nil"/>
              <w:left w:val="nil"/>
              <w:bottom w:val="single" w:sz="4" w:space="0" w:color="auto"/>
              <w:right w:val="nil"/>
            </w:tcBorders>
          </w:tcPr>
          <w:p w14:paraId="73974667"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33068">
              <w:rPr>
                <w:rFonts w:ascii="Times" w:eastAsia="Palatino Linotype" w:hAnsi="Times"/>
                <w:b/>
                <w:bCs/>
                <w:color w:val="000000" w:themeColor="text1"/>
                <w:sz w:val="22"/>
                <w:lang w:val="en-GB"/>
              </w:rPr>
              <w:t>Supplementary Table 1</w:t>
            </w:r>
            <w:r w:rsidRPr="00C33068">
              <w:rPr>
                <w:rFonts w:ascii="Times" w:eastAsia="Palatino Linotype" w:hAnsi="Times"/>
                <w:color w:val="000000" w:themeColor="text1"/>
                <w:sz w:val="22"/>
                <w:lang w:val="en-GB"/>
              </w:rPr>
              <w:t xml:space="preserve">. </w:t>
            </w:r>
            <w:r w:rsidRPr="00C33068">
              <w:rPr>
                <w:rFonts w:ascii="Times" w:hAnsi="Times"/>
                <w:color w:val="000000" w:themeColor="text1"/>
                <w:sz w:val="22"/>
                <w:lang w:val="en-GB"/>
              </w:rPr>
              <w:t>Main characteristics of articles assessed for quality and included in the systematic review</w:t>
            </w:r>
          </w:p>
        </w:tc>
      </w:tr>
      <w:tr w:rsidR="00C33068" w:rsidRPr="00A26864" w14:paraId="6C349011" w14:textId="77777777" w:rsidTr="004E2054">
        <w:trPr>
          <w:trHeight w:val="383"/>
        </w:trPr>
        <w:tc>
          <w:tcPr>
            <w:tcW w:w="4103" w:type="dxa"/>
            <w:tcBorders>
              <w:top w:val="single" w:sz="4" w:space="0" w:color="auto"/>
            </w:tcBorders>
          </w:tcPr>
          <w:p w14:paraId="567E2FFC"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c>
          <w:tcPr>
            <w:tcW w:w="2500" w:type="dxa"/>
            <w:tcBorders>
              <w:top w:val="single" w:sz="4" w:space="0" w:color="auto"/>
            </w:tcBorders>
          </w:tcPr>
          <w:p w14:paraId="4203C8BD" w14:textId="3B88A2CB"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Stud</w:t>
            </w:r>
            <w:r w:rsidR="00F23257">
              <w:rPr>
                <w:rFonts w:ascii="Times" w:eastAsia="Palatino Linotype" w:hAnsi="Times"/>
                <w:color w:val="000000" w:themeColor="text1"/>
                <w:sz w:val="16"/>
                <w:szCs w:val="16"/>
                <w:lang w:val="en-GB"/>
              </w:rPr>
              <w:t>ies</w:t>
            </w:r>
            <w:r w:rsidRPr="00CB1590">
              <w:rPr>
                <w:rFonts w:ascii="Times" w:eastAsia="Palatino Linotype" w:hAnsi="Times"/>
                <w:color w:val="000000" w:themeColor="text1"/>
                <w:sz w:val="16"/>
                <w:szCs w:val="16"/>
                <w:lang w:val="en-GB"/>
              </w:rPr>
              <w:t xml:space="preserve"> assessed for quality (n=34)</w:t>
            </w:r>
          </w:p>
        </w:tc>
        <w:tc>
          <w:tcPr>
            <w:tcW w:w="2581" w:type="dxa"/>
            <w:tcBorders>
              <w:top w:val="single" w:sz="4" w:space="0" w:color="auto"/>
            </w:tcBorders>
          </w:tcPr>
          <w:p w14:paraId="2638CD9C" w14:textId="369E8714"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Stud</w:t>
            </w:r>
            <w:r w:rsidR="00F23257">
              <w:rPr>
                <w:rFonts w:ascii="Times" w:eastAsia="Palatino Linotype" w:hAnsi="Times"/>
                <w:color w:val="000000" w:themeColor="text1"/>
                <w:sz w:val="16"/>
                <w:szCs w:val="16"/>
                <w:lang w:val="en-GB"/>
              </w:rPr>
              <w:t>ies</w:t>
            </w:r>
            <w:r w:rsidRPr="00CB1590">
              <w:rPr>
                <w:rFonts w:ascii="Times" w:eastAsia="Palatino Linotype" w:hAnsi="Times"/>
                <w:color w:val="000000" w:themeColor="text1"/>
                <w:sz w:val="16"/>
                <w:szCs w:val="16"/>
                <w:lang w:val="en-GB"/>
              </w:rPr>
              <w:t xml:space="preserve"> included in the systematic review (n=23)</w:t>
            </w:r>
          </w:p>
        </w:tc>
      </w:tr>
      <w:tr w:rsidR="00C33068" w:rsidRPr="00CB1590" w14:paraId="548D0E00" w14:textId="77777777" w:rsidTr="004E2054">
        <w:trPr>
          <w:trHeight w:val="250"/>
        </w:trPr>
        <w:tc>
          <w:tcPr>
            <w:tcW w:w="4103" w:type="dxa"/>
          </w:tcPr>
          <w:p w14:paraId="3787D76F"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Year of publication</w:t>
            </w:r>
          </w:p>
        </w:tc>
        <w:tc>
          <w:tcPr>
            <w:tcW w:w="2500" w:type="dxa"/>
          </w:tcPr>
          <w:p w14:paraId="71608F85"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c>
          <w:tcPr>
            <w:tcW w:w="2581" w:type="dxa"/>
          </w:tcPr>
          <w:p w14:paraId="206EC520"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r>
      <w:tr w:rsidR="00C33068" w:rsidRPr="00CB1590" w14:paraId="2FA15B98" w14:textId="77777777" w:rsidTr="004E2054">
        <w:trPr>
          <w:trHeight w:val="259"/>
        </w:trPr>
        <w:tc>
          <w:tcPr>
            <w:tcW w:w="4103" w:type="dxa"/>
          </w:tcPr>
          <w:p w14:paraId="425F0ABD"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2018</w:t>
            </w:r>
          </w:p>
        </w:tc>
        <w:tc>
          <w:tcPr>
            <w:tcW w:w="2500" w:type="dxa"/>
          </w:tcPr>
          <w:p w14:paraId="532BCE59"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c>
          <w:tcPr>
            <w:tcW w:w="2581" w:type="dxa"/>
          </w:tcPr>
          <w:p w14:paraId="5298166E"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0</w:t>
            </w:r>
          </w:p>
        </w:tc>
      </w:tr>
      <w:tr w:rsidR="00C33068" w:rsidRPr="00CB1590" w14:paraId="3538B270" w14:textId="77777777" w:rsidTr="004E2054">
        <w:trPr>
          <w:trHeight w:val="259"/>
        </w:trPr>
        <w:tc>
          <w:tcPr>
            <w:tcW w:w="4103" w:type="dxa"/>
          </w:tcPr>
          <w:p w14:paraId="5C43A3B1"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2019</w:t>
            </w:r>
          </w:p>
        </w:tc>
        <w:tc>
          <w:tcPr>
            <w:tcW w:w="2500" w:type="dxa"/>
          </w:tcPr>
          <w:p w14:paraId="29EBB676"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3</w:t>
            </w:r>
          </w:p>
        </w:tc>
        <w:tc>
          <w:tcPr>
            <w:tcW w:w="2581" w:type="dxa"/>
          </w:tcPr>
          <w:p w14:paraId="52C39BB1"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0</w:t>
            </w:r>
          </w:p>
        </w:tc>
      </w:tr>
      <w:tr w:rsidR="00C33068" w:rsidRPr="00CB1590" w14:paraId="5C37CB53" w14:textId="77777777" w:rsidTr="004E2054">
        <w:trPr>
          <w:trHeight w:val="250"/>
        </w:trPr>
        <w:tc>
          <w:tcPr>
            <w:tcW w:w="4103" w:type="dxa"/>
          </w:tcPr>
          <w:p w14:paraId="5B22440F"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2020</w:t>
            </w:r>
          </w:p>
        </w:tc>
        <w:tc>
          <w:tcPr>
            <w:tcW w:w="2500" w:type="dxa"/>
          </w:tcPr>
          <w:p w14:paraId="4C99D754"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20</w:t>
            </w:r>
          </w:p>
        </w:tc>
        <w:tc>
          <w:tcPr>
            <w:tcW w:w="2581" w:type="dxa"/>
          </w:tcPr>
          <w:p w14:paraId="44E6903A"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15</w:t>
            </w:r>
          </w:p>
        </w:tc>
      </w:tr>
      <w:tr w:rsidR="00C33068" w:rsidRPr="00CB1590" w14:paraId="29F2C92C" w14:textId="77777777" w:rsidTr="004E2054">
        <w:trPr>
          <w:trHeight w:val="259"/>
        </w:trPr>
        <w:tc>
          <w:tcPr>
            <w:tcW w:w="4103" w:type="dxa"/>
          </w:tcPr>
          <w:p w14:paraId="63800937"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2021</w:t>
            </w:r>
          </w:p>
        </w:tc>
        <w:tc>
          <w:tcPr>
            <w:tcW w:w="2500" w:type="dxa"/>
          </w:tcPr>
          <w:p w14:paraId="41EE698F"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10</w:t>
            </w:r>
          </w:p>
        </w:tc>
        <w:tc>
          <w:tcPr>
            <w:tcW w:w="2581" w:type="dxa"/>
          </w:tcPr>
          <w:p w14:paraId="72545FF9"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8</w:t>
            </w:r>
          </w:p>
        </w:tc>
      </w:tr>
      <w:tr w:rsidR="00C33068" w:rsidRPr="00CB1590" w14:paraId="17B2A34B" w14:textId="77777777" w:rsidTr="004E2054">
        <w:trPr>
          <w:trHeight w:val="250"/>
        </w:trPr>
        <w:tc>
          <w:tcPr>
            <w:tcW w:w="4103" w:type="dxa"/>
          </w:tcPr>
          <w:p w14:paraId="621C5E3F"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Country</w:t>
            </w:r>
          </w:p>
        </w:tc>
        <w:tc>
          <w:tcPr>
            <w:tcW w:w="2500" w:type="dxa"/>
          </w:tcPr>
          <w:p w14:paraId="755878BD"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c>
          <w:tcPr>
            <w:tcW w:w="2581" w:type="dxa"/>
          </w:tcPr>
          <w:p w14:paraId="5E1CF367"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r>
      <w:tr w:rsidR="00C33068" w:rsidRPr="00CB1590" w14:paraId="3DFC524E" w14:textId="77777777" w:rsidTr="004E2054">
        <w:trPr>
          <w:trHeight w:val="259"/>
        </w:trPr>
        <w:tc>
          <w:tcPr>
            <w:tcW w:w="4103" w:type="dxa"/>
          </w:tcPr>
          <w:p w14:paraId="3B2F24CD"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Germany</w:t>
            </w:r>
          </w:p>
        </w:tc>
        <w:tc>
          <w:tcPr>
            <w:tcW w:w="2500" w:type="dxa"/>
          </w:tcPr>
          <w:p w14:paraId="1AA39AED"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16^</w:t>
            </w:r>
          </w:p>
        </w:tc>
        <w:tc>
          <w:tcPr>
            <w:tcW w:w="2581" w:type="dxa"/>
          </w:tcPr>
          <w:p w14:paraId="117B3065"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10</w:t>
            </w:r>
          </w:p>
        </w:tc>
      </w:tr>
      <w:tr w:rsidR="00C33068" w:rsidRPr="00CB1590" w14:paraId="502D2E94" w14:textId="77777777" w:rsidTr="004E2054">
        <w:trPr>
          <w:trHeight w:val="259"/>
        </w:trPr>
        <w:tc>
          <w:tcPr>
            <w:tcW w:w="4103" w:type="dxa"/>
          </w:tcPr>
          <w:p w14:paraId="13EE5C58"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China</w:t>
            </w:r>
          </w:p>
        </w:tc>
        <w:tc>
          <w:tcPr>
            <w:tcW w:w="2500" w:type="dxa"/>
          </w:tcPr>
          <w:p w14:paraId="3A5965EC"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10</w:t>
            </w:r>
          </w:p>
        </w:tc>
        <w:tc>
          <w:tcPr>
            <w:tcW w:w="2581" w:type="dxa"/>
          </w:tcPr>
          <w:p w14:paraId="12A7F34B"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9</w:t>
            </w:r>
          </w:p>
        </w:tc>
      </w:tr>
      <w:tr w:rsidR="00C33068" w:rsidRPr="00CB1590" w14:paraId="49A67896" w14:textId="77777777" w:rsidTr="004E2054">
        <w:trPr>
          <w:trHeight w:val="250"/>
        </w:trPr>
        <w:tc>
          <w:tcPr>
            <w:tcW w:w="4103" w:type="dxa"/>
          </w:tcPr>
          <w:p w14:paraId="7060D5A7"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Germany/France</w:t>
            </w:r>
          </w:p>
        </w:tc>
        <w:tc>
          <w:tcPr>
            <w:tcW w:w="2500" w:type="dxa"/>
          </w:tcPr>
          <w:p w14:paraId="4DF16B77"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c>
          <w:tcPr>
            <w:tcW w:w="2581" w:type="dxa"/>
          </w:tcPr>
          <w:p w14:paraId="41B4A18D"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0</w:t>
            </w:r>
          </w:p>
        </w:tc>
      </w:tr>
      <w:tr w:rsidR="00C33068" w:rsidRPr="00CB1590" w14:paraId="73F0A76A" w14:textId="77777777" w:rsidTr="004E2054">
        <w:trPr>
          <w:trHeight w:val="259"/>
        </w:trPr>
        <w:tc>
          <w:tcPr>
            <w:tcW w:w="4103" w:type="dxa"/>
          </w:tcPr>
          <w:p w14:paraId="126CEE95"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Germany/US</w:t>
            </w:r>
          </w:p>
        </w:tc>
        <w:tc>
          <w:tcPr>
            <w:tcW w:w="2500" w:type="dxa"/>
          </w:tcPr>
          <w:p w14:paraId="780986AB"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c>
          <w:tcPr>
            <w:tcW w:w="2581" w:type="dxa"/>
          </w:tcPr>
          <w:p w14:paraId="20804556"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r>
      <w:tr w:rsidR="00C33068" w:rsidRPr="00CB1590" w14:paraId="70549A17" w14:textId="77777777" w:rsidTr="004E2054">
        <w:trPr>
          <w:trHeight w:val="259"/>
        </w:trPr>
        <w:tc>
          <w:tcPr>
            <w:tcW w:w="4103" w:type="dxa"/>
          </w:tcPr>
          <w:p w14:paraId="72539008"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 xml:space="preserve">Germany/Switzerland </w:t>
            </w:r>
          </w:p>
        </w:tc>
        <w:tc>
          <w:tcPr>
            <w:tcW w:w="2500" w:type="dxa"/>
          </w:tcPr>
          <w:p w14:paraId="0AC96CEF"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c>
          <w:tcPr>
            <w:tcW w:w="2581" w:type="dxa"/>
          </w:tcPr>
          <w:p w14:paraId="6C64C132"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r>
      <w:tr w:rsidR="00C33068" w:rsidRPr="00CB1590" w14:paraId="4EDD9569" w14:textId="77777777" w:rsidTr="004E2054">
        <w:trPr>
          <w:trHeight w:val="259"/>
        </w:trPr>
        <w:tc>
          <w:tcPr>
            <w:tcW w:w="4103" w:type="dxa"/>
          </w:tcPr>
          <w:p w14:paraId="78A8592A"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China/Austria</w:t>
            </w:r>
          </w:p>
        </w:tc>
        <w:tc>
          <w:tcPr>
            <w:tcW w:w="2500" w:type="dxa"/>
          </w:tcPr>
          <w:p w14:paraId="6D71A75A"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w:t>
            </w:r>
          </w:p>
        </w:tc>
        <w:tc>
          <w:tcPr>
            <w:tcW w:w="2581" w:type="dxa"/>
          </w:tcPr>
          <w:p w14:paraId="3C2E14B7"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w:t>
            </w:r>
          </w:p>
        </w:tc>
      </w:tr>
      <w:tr w:rsidR="00C33068" w:rsidRPr="00CB1590" w14:paraId="1E15BC42" w14:textId="77777777" w:rsidTr="004E2054">
        <w:trPr>
          <w:trHeight w:val="250"/>
        </w:trPr>
        <w:tc>
          <w:tcPr>
            <w:tcW w:w="4103" w:type="dxa"/>
          </w:tcPr>
          <w:p w14:paraId="25B9AA53"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US/France</w:t>
            </w:r>
          </w:p>
        </w:tc>
        <w:tc>
          <w:tcPr>
            <w:tcW w:w="2500" w:type="dxa"/>
          </w:tcPr>
          <w:p w14:paraId="5EC7E913"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c>
          <w:tcPr>
            <w:tcW w:w="2581" w:type="dxa"/>
          </w:tcPr>
          <w:p w14:paraId="36455D36"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0</w:t>
            </w:r>
          </w:p>
        </w:tc>
      </w:tr>
      <w:tr w:rsidR="00C33068" w:rsidRPr="00CB1590" w14:paraId="0E4ACC14" w14:textId="77777777" w:rsidTr="004E2054">
        <w:trPr>
          <w:trHeight w:val="259"/>
        </w:trPr>
        <w:tc>
          <w:tcPr>
            <w:tcW w:w="4103" w:type="dxa"/>
          </w:tcPr>
          <w:p w14:paraId="42E3E912"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India/Germany/Chile</w:t>
            </w:r>
          </w:p>
        </w:tc>
        <w:tc>
          <w:tcPr>
            <w:tcW w:w="2500" w:type="dxa"/>
          </w:tcPr>
          <w:p w14:paraId="3C71411D"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c>
          <w:tcPr>
            <w:tcW w:w="2581" w:type="dxa"/>
          </w:tcPr>
          <w:p w14:paraId="5FDBCCC0"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0</w:t>
            </w:r>
          </w:p>
        </w:tc>
      </w:tr>
      <w:tr w:rsidR="00C33068" w:rsidRPr="00CB1590" w14:paraId="756A4B27" w14:textId="77777777" w:rsidTr="004E2054">
        <w:trPr>
          <w:trHeight w:val="250"/>
        </w:trPr>
        <w:tc>
          <w:tcPr>
            <w:tcW w:w="4103" w:type="dxa"/>
          </w:tcPr>
          <w:p w14:paraId="6683C513"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Germany/France</w:t>
            </w:r>
          </w:p>
        </w:tc>
        <w:tc>
          <w:tcPr>
            <w:tcW w:w="2500" w:type="dxa"/>
          </w:tcPr>
          <w:p w14:paraId="682C5160"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c>
          <w:tcPr>
            <w:tcW w:w="2581" w:type="dxa"/>
          </w:tcPr>
          <w:p w14:paraId="073ACA29"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0</w:t>
            </w:r>
          </w:p>
        </w:tc>
      </w:tr>
      <w:tr w:rsidR="00C33068" w:rsidRPr="00CB1590" w14:paraId="463375B1" w14:textId="77777777" w:rsidTr="004E2054">
        <w:trPr>
          <w:trHeight w:val="259"/>
        </w:trPr>
        <w:tc>
          <w:tcPr>
            <w:tcW w:w="4103" w:type="dxa"/>
          </w:tcPr>
          <w:p w14:paraId="09D20338"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Study design</w:t>
            </w:r>
          </w:p>
        </w:tc>
        <w:tc>
          <w:tcPr>
            <w:tcW w:w="2500" w:type="dxa"/>
          </w:tcPr>
          <w:p w14:paraId="58D22C1F"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c>
          <w:tcPr>
            <w:tcW w:w="2581" w:type="dxa"/>
          </w:tcPr>
          <w:p w14:paraId="11F3849F"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r>
      <w:tr w:rsidR="00C33068" w:rsidRPr="00CB1590" w14:paraId="7A933531" w14:textId="77777777" w:rsidTr="004E2054">
        <w:trPr>
          <w:trHeight w:val="259"/>
        </w:trPr>
        <w:tc>
          <w:tcPr>
            <w:tcW w:w="4103" w:type="dxa"/>
          </w:tcPr>
          <w:p w14:paraId="3F36EE67"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Retrospective</w:t>
            </w:r>
          </w:p>
        </w:tc>
        <w:tc>
          <w:tcPr>
            <w:tcW w:w="2500" w:type="dxa"/>
          </w:tcPr>
          <w:p w14:paraId="3964BCDC"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27</w:t>
            </w:r>
          </w:p>
        </w:tc>
        <w:tc>
          <w:tcPr>
            <w:tcW w:w="2581" w:type="dxa"/>
          </w:tcPr>
          <w:p w14:paraId="68AE1CC9"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16</w:t>
            </w:r>
          </w:p>
        </w:tc>
      </w:tr>
      <w:tr w:rsidR="00C33068" w:rsidRPr="00CB1590" w14:paraId="34C4309F" w14:textId="77777777" w:rsidTr="004E2054">
        <w:trPr>
          <w:trHeight w:val="250"/>
        </w:trPr>
        <w:tc>
          <w:tcPr>
            <w:tcW w:w="4103" w:type="dxa"/>
          </w:tcPr>
          <w:p w14:paraId="7C6C8166"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Prospective</w:t>
            </w:r>
          </w:p>
        </w:tc>
        <w:tc>
          <w:tcPr>
            <w:tcW w:w="2500" w:type="dxa"/>
          </w:tcPr>
          <w:p w14:paraId="69AD15C5"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7</w:t>
            </w:r>
          </w:p>
        </w:tc>
        <w:tc>
          <w:tcPr>
            <w:tcW w:w="2581" w:type="dxa"/>
          </w:tcPr>
          <w:p w14:paraId="3029202D"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7</w:t>
            </w:r>
          </w:p>
        </w:tc>
      </w:tr>
      <w:tr w:rsidR="00C33068" w:rsidRPr="00CB1590" w14:paraId="27AC85B2" w14:textId="77777777" w:rsidTr="004E2054">
        <w:trPr>
          <w:trHeight w:val="259"/>
        </w:trPr>
        <w:tc>
          <w:tcPr>
            <w:tcW w:w="4103" w:type="dxa"/>
          </w:tcPr>
          <w:p w14:paraId="658A082B"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Clinical setting</w:t>
            </w:r>
          </w:p>
        </w:tc>
        <w:tc>
          <w:tcPr>
            <w:tcW w:w="2500" w:type="dxa"/>
          </w:tcPr>
          <w:p w14:paraId="7B68539A"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c>
          <w:tcPr>
            <w:tcW w:w="2581" w:type="dxa"/>
          </w:tcPr>
          <w:p w14:paraId="6C5C300E"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r>
      <w:tr w:rsidR="00C33068" w:rsidRPr="00CB1590" w14:paraId="72D1189A" w14:textId="77777777" w:rsidTr="004E2054">
        <w:trPr>
          <w:trHeight w:val="259"/>
        </w:trPr>
        <w:tc>
          <w:tcPr>
            <w:tcW w:w="4103" w:type="dxa"/>
          </w:tcPr>
          <w:p w14:paraId="2091B3D7"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Non-oncology</w:t>
            </w:r>
          </w:p>
        </w:tc>
        <w:tc>
          <w:tcPr>
            <w:tcW w:w="2500" w:type="dxa"/>
          </w:tcPr>
          <w:p w14:paraId="10ACFF19"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5</w:t>
            </w:r>
          </w:p>
        </w:tc>
        <w:tc>
          <w:tcPr>
            <w:tcW w:w="2581" w:type="dxa"/>
          </w:tcPr>
          <w:p w14:paraId="57C31A34"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5</w:t>
            </w:r>
          </w:p>
        </w:tc>
      </w:tr>
      <w:tr w:rsidR="00C33068" w:rsidRPr="00CB1590" w14:paraId="4E088C7B" w14:textId="77777777" w:rsidTr="004E2054">
        <w:trPr>
          <w:trHeight w:val="250"/>
        </w:trPr>
        <w:tc>
          <w:tcPr>
            <w:tcW w:w="4103" w:type="dxa"/>
          </w:tcPr>
          <w:p w14:paraId="5AA9B25F" w14:textId="77777777" w:rsidR="00C33068" w:rsidRPr="00CB1590" w:rsidRDefault="00C33068" w:rsidP="004E2054">
            <w:pPr>
              <w:pStyle w:val="MDPI31text"/>
              <w:spacing w:line="360" w:lineRule="auto"/>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Cardiology</w:t>
            </w:r>
          </w:p>
        </w:tc>
        <w:tc>
          <w:tcPr>
            <w:tcW w:w="2500" w:type="dxa"/>
          </w:tcPr>
          <w:p w14:paraId="3B2CCC0A"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3</w:t>
            </w:r>
          </w:p>
        </w:tc>
        <w:tc>
          <w:tcPr>
            <w:tcW w:w="2581" w:type="dxa"/>
          </w:tcPr>
          <w:p w14:paraId="409C7A31"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3</w:t>
            </w:r>
          </w:p>
        </w:tc>
      </w:tr>
      <w:tr w:rsidR="00C33068" w:rsidRPr="00CB1590" w14:paraId="76E20920" w14:textId="77777777" w:rsidTr="004E2054">
        <w:trPr>
          <w:trHeight w:val="259"/>
        </w:trPr>
        <w:tc>
          <w:tcPr>
            <w:tcW w:w="4103" w:type="dxa"/>
          </w:tcPr>
          <w:p w14:paraId="39022CFE" w14:textId="77777777" w:rsidR="00C33068" w:rsidRPr="00CB1590" w:rsidRDefault="00C33068" w:rsidP="004E2054">
            <w:pPr>
              <w:pStyle w:val="MDPI31text"/>
              <w:spacing w:line="360" w:lineRule="auto"/>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Rheumatology</w:t>
            </w:r>
          </w:p>
        </w:tc>
        <w:tc>
          <w:tcPr>
            <w:tcW w:w="2500" w:type="dxa"/>
          </w:tcPr>
          <w:p w14:paraId="2384CBBD"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3</w:t>
            </w:r>
          </w:p>
        </w:tc>
        <w:tc>
          <w:tcPr>
            <w:tcW w:w="2581" w:type="dxa"/>
          </w:tcPr>
          <w:p w14:paraId="3888E5BB"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3</w:t>
            </w:r>
          </w:p>
        </w:tc>
      </w:tr>
      <w:tr w:rsidR="00C33068" w:rsidRPr="00CB1590" w14:paraId="0B4DDAB6" w14:textId="77777777" w:rsidTr="004E2054">
        <w:trPr>
          <w:trHeight w:val="250"/>
        </w:trPr>
        <w:tc>
          <w:tcPr>
            <w:tcW w:w="4103" w:type="dxa"/>
          </w:tcPr>
          <w:p w14:paraId="58851ACB"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lastRenderedPageBreak/>
              <w:t>Oncology</w:t>
            </w:r>
          </w:p>
        </w:tc>
        <w:tc>
          <w:tcPr>
            <w:tcW w:w="2500" w:type="dxa"/>
          </w:tcPr>
          <w:p w14:paraId="0561B57E"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28</w:t>
            </w:r>
          </w:p>
        </w:tc>
        <w:tc>
          <w:tcPr>
            <w:tcW w:w="2581" w:type="dxa"/>
          </w:tcPr>
          <w:p w14:paraId="107C4ACA"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17</w:t>
            </w:r>
          </w:p>
        </w:tc>
      </w:tr>
      <w:tr w:rsidR="00C33068" w:rsidRPr="00CB1590" w14:paraId="0A30D193" w14:textId="77777777" w:rsidTr="004E2054">
        <w:trPr>
          <w:trHeight w:val="259"/>
        </w:trPr>
        <w:tc>
          <w:tcPr>
            <w:tcW w:w="4103" w:type="dxa"/>
          </w:tcPr>
          <w:p w14:paraId="44CC3BDA" w14:textId="77777777" w:rsidR="00C33068" w:rsidRPr="00CB1590" w:rsidRDefault="00C33068" w:rsidP="004E2054">
            <w:pPr>
              <w:pStyle w:val="MDPI31text"/>
              <w:spacing w:line="360" w:lineRule="auto"/>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Brain</w:t>
            </w:r>
          </w:p>
        </w:tc>
        <w:tc>
          <w:tcPr>
            <w:tcW w:w="2500" w:type="dxa"/>
          </w:tcPr>
          <w:p w14:paraId="6A20FBD3"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w:t>
            </w:r>
          </w:p>
        </w:tc>
        <w:tc>
          <w:tcPr>
            <w:tcW w:w="2581" w:type="dxa"/>
          </w:tcPr>
          <w:p w14:paraId="0E69C17F"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w:t>
            </w:r>
          </w:p>
        </w:tc>
      </w:tr>
      <w:tr w:rsidR="00C33068" w:rsidRPr="00CB1590" w14:paraId="446D3D30" w14:textId="77777777" w:rsidTr="004E2054">
        <w:trPr>
          <w:trHeight w:val="228"/>
        </w:trPr>
        <w:tc>
          <w:tcPr>
            <w:tcW w:w="4103" w:type="dxa"/>
          </w:tcPr>
          <w:p w14:paraId="0DE49CDE" w14:textId="77777777" w:rsidR="00C33068" w:rsidRPr="00CB1590" w:rsidRDefault="00C33068" w:rsidP="004E2054">
            <w:pPr>
              <w:pStyle w:val="MDPI31text"/>
              <w:spacing w:line="360" w:lineRule="auto"/>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Gastro-entero-pancreatic and liver tumours</w:t>
            </w:r>
          </w:p>
        </w:tc>
        <w:tc>
          <w:tcPr>
            <w:tcW w:w="2500" w:type="dxa"/>
          </w:tcPr>
          <w:p w14:paraId="1662A76D"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11</w:t>
            </w:r>
          </w:p>
        </w:tc>
        <w:tc>
          <w:tcPr>
            <w:tcW w:w="2581" w:type="dxa"/>
          </w:tcPr>
          <w:p w14:paraId="61BDAB9B"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8</w:t>
            </w:r>
          </w:p>
        </w:tc>
      </w:tr>
      <w:tr w:rsidR="00C33068" w:rsidRPr="00CB1590" w14:paraId="6D00162A" w14:textId="77777777" w:rsidTr="004E2054">
        <w:trPr>
          <w:trHeight w:val="259"/>
        </w:trPr>
        <w:tc>
          <w:tcPr>
            <w:tcW w:w="4103" w:type="dxa"/>
          </w:tcPr>
          <w:p w14:paraId="2DD13926" w14:textId="77777777" w:rsidR="00C33068" w:rsidRPr="00CB1590" w:rsidRDefault="00C33068" w:rsidP="004E2054">
            <w:pPr>
              <w:pStyle w:val="MDPI31text"/>
              <w:spacing w:line="360" w:lineRule="auto"/>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Miscellaneous</w:t>
            </w:r>
          </w:p>
        </w:tc>
        <w:tc>
          <w:tcPr>
            <w:tcW w:w="2500" w:type="dxa"/>
          </w:tcPr>
          <w:p w14:paraId="4E8A310F"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11</w:t>
            </w:r>
          </w:p>
        </w:tc>
        <w:tc>
          <w:tcPr>
            <w:tcW w:w="2581" w:type="dxa"/>
          </w:tcPr>
          <w:p w14:paraId="2688E684"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4</w:t>
            </w:r>
          </w:p>
        </w:tc>
      </w:tr>
      <w:tr w:rsidR="00C33068" w:rsidRPr="00CB1590" w14:paraId="3CB6483B" w14:textId="77777777" w:rsidTr="004E2054">
        <w:trPr>
          <w:trHeight w:val="250"/>
        </w:trPr>
        <w:tc>
          <w:tcPr>
            <w:tcW w:w="4103" w:type="dxa"/>
          </w:tcPr>
          <w:p w14:paraId="375F3CA6" w14:textId="77777777" w:rsidR="00C33068" w:rsidRPr="00CB1590" w:rsidRDefault="00C33068" w:rsidP="004E2054">
            <w:pPr>
              <w:pStyle w:val="MDPI31text"/>
              <w:spacing w:line="360" w:lineRule="auto"/>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Lung</w:t>
            </w:r>
          </w:p>
        </w:tc>
        <w:tc>
          <w:tcPr>
            <w:tcW w:w="2500" w:type="dxa"/>
          </w:tcPr>
          <w:p w14:paraId="5BA67BA7"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c>
          <w:tcPr>
            <w:tcW w:w="2581" w:type="dxa"/>
          </w:tcPr>
          <w:p w14:paraId="1CE29D39"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0</w:t>
            </w:r>
          </w:p>
        </w:tc>
      </w:tr>
      <w:tr w:rsidR="00C33068" w:rsidRPr="00CB1590" w14:paraId="49F41C3C" w14:textId="77777777" w:rsidTr="004E2054">
        <w:trPr>
          <w:trHeight w:val="259"/>
        </w:trPr>
        <w:tc>
          <w:tcPr>
            <w:tcW w:w="4103" w:type="dxa"/>
          </w:tcPr>
          <w:p w14:paraId="37FDE5F0" w14:textId="77777777" w:rsidR="00C33068" w:rsidRPr="00CB1590" w:rsidRDefault="00C33068" w:rsidP="004E2054">
            <w:pPr>
              <w:pStyle w:val="MDPI31text"/>
              <w:spacing w:line="360" w:lineRule="auto"/>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Head and neck</w:t>
            </w:r>
          </w:p>
        </w:tc>
        <w:tc>
          <w:tcPr>
            <w:tcW w:w="2500" w:type="dxa"/>
          </w:tcPr>
          <w:p w14:paraId="226AEE3F"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3</w:t>
            </w:r>
          </w:p>
        </w:tc>
        <w:tc>
          <w:tcPr>
            <w:tcW w:w="2581" w:type="dxa"/>
          </w:tcPr>
          <w:p w14:paraId="7B42BA5B"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3</w:t>
            </w:r>
          </w:p>
        </w:tc>
      </w:tr>
      <w:tr w:rsidR="00C33068" w:rsidRPr="00CB1590" w14:paraId="3175125B" w14:textId="77777777" w:rsidTr="004E2054">
        <w:trPr>
          <w:trHeight w:val="259"/>
        </w:trPr>
        <w:tc>
          <w:tcPr>
            <w:tcW w:w="4103" w:type="dxa"/>
          </w:tcPr>
          <w:p w14:paraId="34EC0848"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Hybrid imaging</w:t>
            </w:r>
          </w:p>
        </w:tc>
        <w:tc>
          <w:tcPr>
            <w:tcW w:w="2500" w:type="dxa"/>
          </w:tcPr>
          <w:p w14:paraId="5E068DDE"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c>
          <w:tcPr>
            <w:tcW w:w="2581" w:type="dxa"/>
          </w:tcPr>
          <w:p w14:paraId="3C7D6413"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r>
      <w:tr w:rsidR="00C33068" w:rsidRPr="00CB1590" w14:paraId="20B7A803" w14:textId="77777777" w:rsidTr="004E2054">
        <w:trPr>
          <w:trHeight w:val="259"/>
        </w:trPr>
        <w:tc>
          <w:tcPr>
            <w:tcW w:w="4103" w:type="dxa"/>
          </w:tcPr>
          <w:p w14:paraId="734E04A6" w14:textId="77777777" w:rsidR="00C33068" w:rsidRPr="00CB1590" w:rsidRDefault="00C33068" w:rsidP="004E2054">
            <w:pPr>
              <w:pStyle w:val="MDPI31text"/>
              <w:spacing w:line="360" w:lineRule="auto"/>
              <w:ind w:left="175"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PET/CT</w:t>
            </w:r>
          </w:p>
        </w:tc>
        <w:tc>
          <w:tcPr>
            <w:tcW w:w="2500" w:type="dxa"/>
          </w:tcPr>
          <w:p w14:paraId="13153B1C"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33</w:t>
            </w:r>
          </w:p>
        </w:tc>
        <w:tc>
          <w:tcPr>
            <w:tcW w:w="2581" w:type="dxa"/>
          </w:tcPr>
          <w:p w14:paraId="30895CBE"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22</w:t>
            </w:r>
          </w:p>
        </w:tc>
      </w:tr>
      <w:tr w:rsidR="00C33068" w:rsidRPr="00CB1590" w14:paraId="60A17494" w14:textId="77777777" w:rsidTr="004E2054">
        <w:trPr>
          <w:trHeight w:val="259"/>
        </w:trPr>
        <w:tc>
          <w:tcPr>
            <w:tcW w:w="4103" w:type="dxa"/>
          </w:tcPr>
          <w:p w14:paraId="40B53D67" w14:textId="77777777" w:rsidR="00C33068" w:rsidRPr="00CB1590" w:rsidRDefault="00C33068" w:rsidP="004E2054">
            <w:pPr>
              <w:pStyle w:val="MDPI31text"/>
              <w:spacing w:line="360" w:lineRule="auto"/>
              <w:ind w:left="175"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PET/MRI</w:t>
            </w:r>
          </w:p>
        </w:tc>
        <w:tc>
          <w:tcPr>
            <w:tcW w:w="2500" w:type="dxa"/>
          </w:tcPr>
          <w:p w14:paraId="040168BF"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c>
          <w:tcPr>
            <w:tcW w:w="2581" w:type="dxa"/>
          </w:tcPr>
          <w:p w14:paraId="451C1013"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r>
      <w:tr w:rsidR="00C33068" w:rsidRPr="00CB1590" w14:paraId="21CB7D14" w14:textId="77777777" w:rsidTr="004E2054">
        <w:trPr>
          <w:trHeight w:val="259"/>
        </w:trPr>
        <w:tc>
          <w:tcPr>
            <w:tcW w:w="4103" w:type="dxa"/>
          </w:tcPr>
          <w:p w14:paraId="2D023D24"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FAPI molecule</w:t>
            </w:r>
          </w:p>
        </w:tc>
        <w:tc>
          <w:tcPr>
            <w:tcW w:w="2500" w:type="dxa"/>
          </w:tcPr>
          <w:p w14:paraId="49F04CB8"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c>
          <w:tcPr>
            <w:tcW w:w="2581" w:type="dxa"/>
          </w:tcPr>
          <w:p w14:paraId="22BC02FE"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r>
      <w:tr w:rsidR="00C33068" w:rsidRPr="00CB1590" w14:paraId="7366A620" w14:textId="77777777" w:rsidTr="004E2054">
        <w:trPr>
          <w:trHeight w:val="250"/>
        </w:trPr>
        <w:tc>
          <w:tcPr>
            <w:tcW w:w="4103" w:type="dxa"/>
          </w:tcPr>
          <w:p w14:paraId="168A2197"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FAPI-02</w:t>
            </w:r>
          </w:p>
        </w:tc>
        <w:tc>
          <w:tcPr>
            <w:tcW w:w="2500" w:type="dxa"/>
          </w:tcPr>
          <w:p w14:paraId="4C374F9C"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c>
          <w:tcPr>
            <w:tcW w:w="2581" w:type="dxa"/>
          </w:tcPr>
          <w:p w14:paraId="00F5DE88"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0</w:t>
            </w:r>
          </w:p>
        </w:tc>
      </w:tr>
      <w:tr w:rsidR="00C33068" w:rsidRPr="00CB1590" w14:paraId="423CE30C" w14:textId="77777777" w:rsidTr="004E2054">
        <w:trPr>
          <w:trHeight w:val="259"/>
        </w:trPr>
        <w:tc>
          <w:tcPr>
            <w:tcW w:w="4103" w:type="dxa"/>
          </w:tcPr>
          <w:p w14:paraId="44000599"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FAPI-04</w:t>
            </w:r>
          </w:p>
        </w:tc>
        <w:tc>
          <w:tcPr>
            <w:tcW w:w="2500" w:type="dxa"/>
          </w:tcPr>
          <w:p w14:paraId="4FE39A38"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18</w:t>
            </w:r>
          </w:p>
        </w:tc>
        <w:tc>
          <w:tcPr>
            <w:tcW w:w="2581" w:type="dxa"/>
          </w:tcPr>
          <w:p w14:paraId="69A035CD"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16</w:t>
            </w:r>
          </w:p>
        </w:tc>
      </w:tr>
      <w:tr w:rsidR="00C33068" w:rsidRPr="00CB1590" w14:paraId="2EF2AEA7" w14:textId="77777777" w:rsidTr="004E2054">
        <w:trPr>
          <w:trHeight w:val="259"/>
        </w:trPr>
        <w:tc>
          <w:tcPr>
            <w:tcW w:w="4103" w:type="dxa"/>
          </w:tcPr>
          <w:p w14:paraId="34DF1A94"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FAPI-46</w:t>
            </w:r>
          </w:p>
        </w:tc>
        <w:tc>
          <w:tcPr>
            <w:tcW w:w="2500" w:type="dxa"/>
          </w:tcPr>
          <w:p w14:paraId="6E0B63B9"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w:t>
            </w:r>
          </w:p>
        </w:tc>
        <w:tc>
          <w:tcPr>
            <w:tcW w:w="2581" w:type="dxa"/>
          </w:tcPr>
          <w:p w14:paraId="45FDA6BE"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r>
      <w:tr w:rsidR="00C33068" w:rsidRPr="00CB1590" w14:paraId="18DD5A06" w14:textId="77777777" w:rsidTr="004E2054">
        <w:trPr>
          <w:trHeight w:val="250"/>
        </w:trPr>
        <w:tc>
          <w:tcPr>
            <w:tcW w:w="4103" w:type="dxa"/>
          </w:tcPr>
          <w:p w14:paraId="2F22F82A"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FAPI-74</w:t>
            </w:r>
          </w:p>
        </w:tc>
        <w:tc>
          <w:tcPr>
            <w:tcW w:w="2500" w:type="dxa"/>
          </w:tcPr>
          <w:p w14:paraId="6B971F46"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c>
          <w:tcPr>
            <w:tcW w:w="2581" w:type="dxa"/>
          </w:tcPr>
          <w:p w14:paraId="1F97AD3A"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0</w:t>
            </w:r>
          </w:p>
        </w:tc>
      </w:tr>
      <w:tr w:rsidR="00C33068" w:rsidRPr="00CB1590" w14:paraId="5EF97215" w14:textId="77777777" w:rsidTr="004E2054">
        <w:trPr>
          <w:trHeight w:val="259"/>
        </w:trPr>
        <w:tc>
          <w:tcPr>
            <w:tcW w:w="4103" w:type="dxa"/>
          </w:tcPr>
          <w:p w14:paraId="7ED34462"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FAPI-02 and FAPI-04</w:t>
            </w:r>
          </w:p>
        </w:tc>
        <w:tc>
          <w:tcPr>
            <w:tcW w:w="2500" w:type="dxa"/>
          </w:tcPr>
          <w:p w14:paraId="09F36A40"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3</w:t>
            </w:r>
          </w:p>
        </w:tc>
        <w:tc>
          <w:tcPr>
            <w:tcW w:w="2581" w:type="dxa"/>
          </w:tcPr>
          <w:p w14:paraId="5A3FDC76"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w:t>
            </w:r>
          </w:p>
        </w:tc>
      </w:tr>
      <w:tr w:rsidR="00C33068" w:rsidRPr="00CB1590" w14:paraId="0913F78E" w14:textId="77777777" w:rsidTr="004E2054">
        <w:trPr>
          <w:trHeight w:val="250"/>
        </w:trPr>
        <w:tc>
          <w:tcPr>
            <w:tcW w:w="4103" w:type="dxa"/>
          </w:tcPr>
          <w:p w14:paraId="229A79F4"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FAPI-04 and FAPI-46</w:t>
            </w:r>
          </w:p>
        </w:tc>
        <w:tc>
          <w:tcPr>
            <w:tcW w:w="2500" w:type="dxa"/>
          </w:tcPr>
          <w:p w14:paraId="1B4555D1"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3</w:t>
            </w:r>
          </w:p>
        </w:tc>
        <w:tc>
          <w:tcPr>
            <w:tcW w:w="2581" w:type="dxa"/>
          </w:tcPr>
          <w:p w14:paraId="4DF9F40A"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r>
      <w:tr w:rsidR="00C33068" w:rsidRPr="00CB1590" w14:paraId="4C9F7755" w14:textId="77777777" w:rsidTr="004E2054">
        <w:trPr>
          <w:trHeight w:val="259"/>
        </w:trPr>
        <w:tc>
          <w:tcPr>
            <w:tcW w:w="4103" w:type="dxa"/>
          </w:tcPr>
          <w:p w14:paraId="5E0CC6D8"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FAPI-21 and FAPI-46</w:t>
            </w:r>
          </w:p>
        </w:tc>
        <w:tc>
          <w:tcPr>
            <w:tcW w:w="2500" w:type="dxa"/>
          </w:tcPr>
          <w:p w14:paraId="2B353884"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c>
          <w:tcPr>
            <w:tcW w:w="2581" w:type="dxa"/>
          </w:tcPr>
          <w:p w14:paraId="33C5F6F2"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0</w:t>
            </w:r>
          </w:p>
        </w:tc>
      </w:tr>
      <w:tr w:rsidR="00C33068" w:rsidRPr="00CB1590" w14:paraId="42E15B92" w14:textId="77777777" w:rsidTr="004E2054">
        <w:trPr>
          <w:trHeight w:val="259"/>
        </w:trPr>
        <w:tc>
          <w:tcPr>
            <w:tcW w:w="4103" w:type="dxa"/>
          </w:tcPr>
          <w:p w14:paraId="1CB1D46B"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FAPI-34 and FAPI-46</w:t>
            </w:r>
          </w:p>
        </w:tc>
        <w:tc>
          <w:tcPr>
            <w:tcW w:w="2500" w:type="dxa"/>
          </w:tcPr>
          <w:p w14:paraId="6D2ECCDC"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c>
          <w:tcPr>
            <w:tcW w:w="2581" w:type="dxa"/>
          </w:tcPr>
          <w:p w14:paraId="3775F268"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0</w:t>
            </w:r>
          </w:p>
        </w:tc>
      </w:tr>
      <w:tr w:rsidR="00C33068" w:rsidRPr="00CB1590" w14:paraId="7D135219" w14:textId="77777777" w:rsidTr="004E2054">
        <w:trPr>
          <w:trHeight w:val="250"/>
        </w:trPr>
        <w:tc>
          <w:tcPr>
            <w:tcW w:w="4103" w:type="dxa"/>
          </w:tcPr>
          <w:p w14:paraId="5A82B712" w14:textId="77777777" w:rsidR="00C33068" w:rsidRPr="00CB1590" w:rsidRDefault="00C33068" w:rsidP="004E2054">
            <w:pPr>
              <w:pStyle w:val="MDPI31text"/>
              <w:spacing w:line="360" w:lineRule="auto"/>
              <w:ind w:firstLine="170"/>
              <w:rPr>
                <w:rFonts w:ascii="Times" w:eastAsia="Palatino Linotype" w:hAnsi="Times"/>
                <w:color w:val="000000" w:themeColor="text1"/>
                <w:sz w:val="16"/>
                <w:szCs w:val="16"/>
                <w:lang w:val="en-GB"/>
              </w:rPr>
            </w:pPr>
            <w:proofErr w:type="spellStart"/>
            <w:r w:rsidRPr="00CB1590">
              <w:rPr>
                <w:rFonts w:ascii="Times" w:eastAsia="Palatino Linotype" w:hAnsi="Times"/>
                <w:color w:val="000000" w:themeColor="text1"/>
                <w:sz w:val="16"/>
                <w:szCs w:val="16"/>
                <w:lang w:val="en-GB"/>
              </w:rPr>
              <w:t>DOTA.SA.FAPi</w:t>
            </w:r>
            <w:proofErr w:type="spellEnd"/>
          </w:p>
        </w:tc>
        <w:tc>
          <w:tcPr>
            <w:tcW w:w="2500" w:type="dxa"/>
          </w:tcPr>
          <w:p w14:paraId="63B60EDE"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w:t>
            </w:r>
          </w:p>
        </w:tc>
        <w:tc>
          <w:tcPr>
            <w:tcW w:w="2581" w:type="dxa"/>
          </w:tcPr>
          <w:p w14:paraId="5A6558FA"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0</w:t>
            </w:r>
          </w:p>
        </w:tc>
      </w:tr>
      <w:tr w:rsidR="00C33068" w:rsidRPr="00CB1590" w14:paraId="0418A02B" w14:textId="77777777" w:rsidTr="004E2054">
        <w:trPr>
          <w:trHeight w:val="259"/>
        </w:trPr>
        <w:tc>
          <w:tcPr>
            <w:tcW w:w="4103" w:type="dxa"/>
          </w:tcPr>
          <w:p w14:paraId="69417CC5" w14:textId="77777777" w:rsidR="00C33068" w:rsidRPr="00CB1590" w:rsidRDefault="00C33068" w:rsidP="004E2054">
            <w:pPr>
              <w:pStyle w:val="MDPI31text"/>
              <w:spacing w:line="360" w:lineRule="auto"/>
              <w:ind w:left="453" w:hanging="283"/>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FAPI-04 and others*</w:t>
            </w:r>
          </w:p>
        </w:tc>
        <w:tc>
          <w:tcPr>
            <w:tcW w:w="2500" w:type="dxa"/>
          </w:tcPr>
          <w:p w14:paraId="105C7CCB"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3</w:t>
            </w:r>
          </w:p>
        </w:tc>
        <w:tc>
          <w:tcPr>
            <w:tcW w:w="2581" w:type="dxa"/>
          </w:tcPr>
          <w:p w14:paraId="472C2873"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w:t>
            </w:r>
          </w:p>
        </w:tc>
      </w:tr>
      <w:tr w:rsidR="00C33068" w:rsidRPr="00CB1590" w14:paraId="13F4293D" w14:textId="77777777" w:rsidTr="004E2054">
        <w:trPr>
          <w:trHeight w:val="259"/>
        </w:trPr>
        <w:tc>
          <w:tcPr>
            <w:tcW w:w="4103" w:type="dxa"/>
          </w:tcPr>
          <w:p w14:paraId="3FC543AC"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Comparator</w:t>
            </w:r>
          </w:p>
        </w:tc>
        <w:tc>
          <w:tcPr>
            <w:tcW w:w="2500" w:type="dxa"/>
          </w:tcPr>
          <w:p w14:paraId="0DC20437"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c>
          <w:tcPr>
            <w:tcW w:w="2581" w:type="dxa"/>
          </w:tcPr>
          <w:p w14:paraId="67286694"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r>
      <w:tr w:rsidR="00C33068" w:rsidRPr="00CB1590" w14:paraId="70C7B9EA" w14:textId="77777777" w:rsidTr="004E2054">
        <w:trPr>
          <w:trHeight w:val="259"/>
        </w:trPr>
        <w:tc>
          <w:tcPr>
            <w:tcW w:w="4103" w:type="dxa"/>
          </w:tcPr>
          <w:p w14:paraId="18DECB1A" w14:textId="77777777" w:rsidR="00C33068" w:rsidRPr="00CB1590" w:rsidRDefault="00C33068" w:rsidP="004E2054">
            <w:pPr>
              <w:pStyle w:val="MDPI31text"/>
              <w:spacing w:line="360" w:lineRule="auto"/>
              <w:ind w:left="453" w:hanging="283"/>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MRI</w:t>
            </w:r>
          </w:p>
        </w:tc>
        <w:tc>
          <w:tcPr>
            <w:tcW w:w="2500" w:type="dxa"/>
          </w:tcPr>
          <w:p w14:paraId="362251ED"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3</w:t>
            </w:r>
          </w:p>
        </w:tc>
        <w:tc>
          <w:tcPr>
            <w:tcW w:w="2581" w:type="dxa"/>
          </w:tcPr>
          <w:p w14:paraId="5DADD4C0"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2</w:t>
            </w:r>
          </w:p>
        </w:tc>
      </w:tr>
      <w:tr w:rsidR="00C33068" w:rsidRPr="00CB1590" w14:paraId="23BD51F0" w14:textId="77777777" w:rsidTr="004E2054">
        <w:trPr>
          <w:trHeight w:val="250"/>
        </w:trPr>
        <w:tc>
          <w:tcPr>
            <w:tcW w:w="4103" w:type="dxa"/>
          </w:tcPr>
          <w:p w14:paraId="393442FD" w14:textId="77777777" w:rsidR="00C33068" w:rsidRPr="00CB1590" w:rsidRDefault="00C33068" w:rsidP="004E2054">
            <w:pPr>
              <w:pStyle w:val="MDPI31text"/>
              <w:spacing w:line="360" w:lineRule="auto"/>
              <w:ind w:left="453" w:hanging="283"/>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CT</w:t>
            </w:r>
          </w:p>
        </w:tc>
        <w:tc>
          <w:tcPr>
            <w:tcW w:w="2500" w:type="dxa"/>
          </w:tcPr>
          <w:p w14:paraId="24FABCDA"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5</w:t>
            </w:r>
          </w:p>
        </w:tc>
        <w:tc>
          <w:tcPr>
            <w:tcW w:w="2581" w:type="dxa"/>
          </w:tcPr>
          <w:p w14:paraId="422BC1F9"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3</w:t>
            </w:r>
          </w:p>
        </w:tc>
      </w:tr>
      <w:tr w:rsidR="00C33068" w:rsidRPr="00CB1590" w14:paraId="52428E4B" w14:textId="77777777" w:rsidTr="004E2054">
        <w:trPr>
          <w:trHeight w:val="259"/>
        </w:trPr>
        <w:tc>
          <w:tcPr>
            <w:tcW w:w="4103" w:type="dxa"/>
          </w:tcPr>
          <w:p w14:paraId="30FD2DEB" w14:textId="77777777" w:rsidR="00C33068" w:rsidRPr="00CB1590" w:rsidRDefault="00C33068" w:rsidP="004E2054">
            <w:pPr>
              <w:pStyle w:val="MDPI31text"/>
              <w:spacing w:line="360" w:lineRule="auto"/>
              <w:ind w:left="453" w:hanging="283"/>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FDG</w:t>
            </w:r>
          </w:p>
        </w:tc>
        <w:tc>
          <w:tcPr>
            <w:tcW w:w="2500" w:type="dxa"/>
          </w:tcPr>
          <w:p w14:paraId="7BD76004"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9</w:t>
            </w:r>
          </w:p>
        </w:tc>
        <w:tc>
          <w:tcPr>
            <w:tcW w:w="2581" w:type="dxa"/>
          </w:tcPr>
          <w:p w14:paraId="108B7CE1"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7</w:t>
            </w:r>
          </w:p>
        </w:tc>
      </w:tr>
      <w:tr w:rsidR="00C33068" w:rsidRPr="00CB1590" w14:paraId="2A71E141" w14:textId="77777777" w:rsidTr="004E2054">
        <w:trPr>
          <w:trHeight w:val="259"/>
        </w:trPr>
        <w:tc>
          <w:tcPr>
            <w:tcW w:w="4103" w:type="dxa"/>
          </w:tcPr>
          <w:p w14:paraId="5E59A2D2" w14:textId="77777777" w:rsidR="00C33068" w:rsidRPr="00CB1590" w:rsidRDefault="00C33068" w:rsidP="004E2054">
            <w:pPr>
              <w:pStyle w:val="MDPI31text"/>
              <w:spacing w:line="360" w:lineRule="auto"/>
              <w:ind w:left="453" w:hanging="283"/>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Miscellaneous</w:t>
            </w:r>
          </w:p>
        </w:tc>
        <w:tc>
          <w:tcPr>
            <w:tcW w:w="2500" w:type="dxa"/>
          </w:tcPr>
          <w:p w14:paraId="2FC82862"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7</w:t>
            </w:r>
          </w:p>
        </w:tc>
        <w:tc>
          <w:tcPr>
            <w:tcW w:w="2581" w:type="dxa"/>
          </w:tcPr>
          <w:p w14:paraId="2CC20621"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6</w:t>
            </w:r>
          </w:p>
        </w:tc>
      </w:tr>
      <w:tr w:rsidR="00C33068" w:rsidRPr="00CB1590" w14:paraId="29547F9E" w14:textId="77777777" w:rsidTr="004E2054">
        <w:trPr>
          <w:trHeight w:val="250"/>
        </w:trPr>
        <w:tc>
          <w:tcPr>
            <w:tcW w:w="4103" w:type="dxa"/>
          </w:tcPr>
          <w:p w14:paraId="6DDB361B" w14:textId="77777777" w:rsidR="00C33068" w:rsidRPr="00CB1590" w:rsidRDefault="00C33068" w:rsidP="004E2054">
            <w:pPr>
              <w:pStyle w:val="MDPI31text"/>
              <w:spacing w:line="360" w:lineRule="auto"/>
              <w:ind w:left="453" w:hanging="283"/>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None</w:t>
            </w:r>
          </w:p>
        </w:tc>
        <w:tc>
          <w:tcPr>
            <w:tcW w:w="2500" w:type="dxa"/>
          </w:tcPr>
          <w:p w14:paraId="0DB78C31"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10</w:t>
            </w:r>
          </w:p>
        </w:tc>
        <w:tc>
          <w:tcPr>
            <w:tcW w:w="2581" w:type="dxa"/>
          </w:tcPr>
          <w:p w14:paraId="5589FA4F"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5</w:t>
            </w:r>
          </w:p>
        </w:tc>
      </w:tr>
      <w:tr w:rsidR="00C33068" w:rsidRPr="00CB1590" w14:paraId="6297980B" w14:textId="77777777" w:rsidTr="004E2054">
        <w:trPr>
          <w:trHeight w:val="259"/>
        </w:trPr>
        <w:tc>
          <w:tcPr>
            <w:tcW w:w="4103" w:type="dxa"/>
          </w:tcPr>
          <w:p w14:paraId="29B09EDA"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Reference standard</w:t>
            </w:r>
          </w:p>
        </w:tc>
        <w:tc>
          <w:tcPr>
            <w:tcW w:w="2500" w:type="dxa"/>
          </w:tcPr>
          <w:p w14:paraId="77CACB7D"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c>
          <w:tcPr>
            <w:tcW w:w="2581" w:type="dxa"/>
          </w:tcPr>
          <w:p w14:paraId="39ED6063"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p>
        </w:tc>
      </w:tr>
      <w:tr w:rsidR="00C33068" w:rsidRPr="00CB1590" w14:paraId="22CC0257" w14:textId="77777777" w:rsidTr="004E2054">
        <w:trPr>
          <w:trHeight w:val="250"/>
        </w:trPr>
        <w:tc>
          <w:tcPr>
            <w:tcW w:w="4103" w:type="dxa"/>
          </w:tcPr>
          <w:p w14:paraId="6CB0D548" w14:textId="77777777" w:rsidR="00C33068" w:rsidRPr="00CB1590" w:rsidRDefault="00C33068" w:rsidP="004E2054">
            <w:pPr>
              <w:pStyle w:val="MDPI31text"/>
              <w:spacing w:line="360" w:lineRule="auto"/>
              <w:ind w:left="453" w:hanging="283"/>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Pathology</w:t>
            </w:r>
          </w:p>
        </w:tc>
        <w:tc>
          <w:tcPr>
            <w:tcW w:w="2500" w:type="dxa"/>
          </w:tcPr>
          <w:p w14:paraId="56F30B97"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5</w:t>
            </w:r>
          </w:p>
        </w:tc>
        <w:tc>
          <w:tcPr>
            <w:tcW w:w="2581" w:type="dxa"/>
          </w:tcPr>
          <w:p w14:paraId="45107101"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5</w:t>
            </w:r>
          </w:p>
        </w:tc>
      </w:tr>
      <w:tr w:rsidR="00C33068" w:rsidRPr="00CB1590" w14:paraId="01A105A7" w14:textId="77777777" w:rsidTr="004E2054">
        <w:trPr>
          <w:trHeight w:val="259"/>
        </w:trPr>
        <w:tc>
          <w:tcPr>
            <w:tcW w:w="4103" w:type="dxa"/>
          </w:tcPr>
          <w:p w14:paraId="07828852" w14:textId="77777777" w:rsidR="00C33068" w:rsidRPr="00CB1590" w:rsidRDefault="00C33068" w:rsidP="004E2054">
            <w:pPr>
              <w:pStyle w:val="MDPI31text"/>
              <w:spacing w:line="360" w:lineRule="auto"/>
              <w:ind w:left="453" w:hanging="283"/>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Imaging</w:t>
            </w:r>
          </w:p>
        </w:tc>
        <w:tc>
          <w:tcPr>
            <w:tcW w:w="2500" w:type="dxa"/>
          </w:tcPr>
          <w:p w14:paraId="35B4548F"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9</w:t>
            </w:r>
          </w:p>
        </w:tc>
        <w:tc>
          <w:tcPr>
            <w:tcW w:w="2581" w:type="dxa"/>
          </w:tcPr>
          <w:p w14:paraId="621CB036"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8</w:t>
            </w:r>
          </w:p>
        </w:tc>
      </w:tr>
      <w:tr w:rsidR="00C33068" w:rsidRPr="00CB1590" w14:paraId="13B205B5" w14:textId="77777777" w:rsidTr="004E2054">
        <w:trPr>
          <w:trHeight w:val="259"/>
        </w:trPr>
        <w:tc>
          <w:tcPr>
            <w:tcW w:w="4103" w:type="dxa"/>
          </w:tcPr>
          <w:p w14:paraId="196278B7" w14:textId="77777777" w:rsidR="00C33068" w:rsidRPr="00CB1590" w:rsidRDefault="00C33068" w:rsidP="004E2054">
            <w:pPr>
              <w:pStyle w:val="MDPI31text"/>
              <w:spacing w:line="360" w:lineRule="auto"/>
              <w:ind w:left="453" w:hanging="283"/>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Pathology, imaging and clinical data</w:t>
            </w:r>
          </w:p>
        </w:tc>
        <w:tc>
          <w:tcPr>
            <w:tcW w:w="2500" w:type="dxa"/>
          </w:tcPr>
          <w:p w14:paraId="71BDBBED"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12</w:t>
            </w:r>
          </w:p>
        </w:tc>
        <w:tc>
          <w:tcPr>
            <w:tcW w:w="2581" w:type="dxa"/>
          </w:tcPr>
          <w:p w14:paraId="16DF6853"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10</w:t>
            </w:r>
          </w:p>
        </w:tc>
      </w:tr>
      <w:tr w:rsidR="00C33068" w:rsidRPr="00CB1590" w14:paraId="29A8388D" w14:textId="77777777" w:rsidTr="004E2054">
        <w:trPr>
          <w:trHeight w:val="241"/>
        </w:trPr>
        <w:tc>
          <w:tcPr>
            <w:tcW w:w="4103" w:type="dxa"/>
          </w:tcPr>
          <w:p w14:paraId="2F91A428" w14:textId="77777777" w:rsidR="00C33068" w:rsidRPr="00CB1590" w:rsidRDefault="00C33068" w:rsidP="004E2054">
            <w:pPr>
              <w:spacing w:line="360" w:lineRule="auto"/>
              <w:ind w:left="170"/>
              <w:jc w:val="both"/>
              <w:rPr>
                <w:rFonts w:ascii="Times" w:hAnsi="Times"/>
                <w:color w:val="000000" w:themeColor="text1"/>
                <w:sz w:val="16"/>
                <w:szCs w:val="16"/>
                <w:lang w:val="en-GB"/>
              </w:rPr>
            </w:pPr>
            <w:r w:rsidRPr="00CB1590">
              <w:rPr>
                <w:rFonts w:ascii="Times" w:eastAsia="Palatino Linotype" w:hAnsi="Times"/>
                <w:color w:val="000000" w:themeColor="text1"/>
                <w:sz w:val="16"/>
                <w:szCs w:val="16"/>
                <w:lang w:val="en-GB"/>
              </w:rPr>
              <w:t>Not applicable (</w:t>
            </w:r>
            <w:r w:rsidRPr="00CB1590">
              <w:rPr>
                <w:rFonts w:ascii="Times" w:hAnsi="Times"/>
                <w:color w:val="000000" w:themeColor="text1"/>
                <w:sz w:val="16"/>
                <w:szCs w:val="16"/>
                <w:lang w:val="en-GB"/>
              </w:rPr>
              <w:t xml:space="preserve">studies on </w:t>
            </w:r>
            <w:r w:rsidRPr="00CB1590">
              <w:rPr>
                <w:rFonts w:ascii="Times" w:eastAsia="Palatino Linotype" w:hAnsi="Times"/>
                <w:color w:val="000000" w:themeColor="text1"/>
                <w:sz w:val="16"/>
                <w:szCs w:val="16"/>
                <w:lang w:val="en-GB"/>
              </w:rPr>
              <w:t>biodistribution and dosimetry)</w:t>
            </w:r>
          </w:p>
        </w:tc>
        <w:tc>
          <w:tcPr>
            <w:tcW w:w="2500" w:type="dxa"/>
          </w:tcPr>
          <w:p w14:paraId="01535D3D"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8</w:t>
            </w:r>
          </w:p>
        </w:tc>
        <w:tc>
          <w:tcPr>
            <w:tcW w:w="2581" w:type="dxa"/>
          </w:tcPr>
          <w:p w14:paraId="762CA44E"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sidRPr="00CB1590">
              <w:rPr>
                <w:rFonts w:ascii="Times" w:eastAsia="Palatino Linotype" w:hAnsi="Times"/>
                <w:color w:val="000000" w:themeColor="text1"/>
                <w:sz w:val="16"/>
                <w:szCs w:val="16"/>
                <w:lang w:val="en-GB"/>
              </w:rPr>
              <w:t>0</w:t>
            </w:r>
          </w:p>
        </w:tc>
      </w:tr>
      <w:tr w:rsidR="00C33068" w:rsidRPr="00B55CEC" w14:paraId="46B05EE8" w14:textId="77777777" w:rsidTr="004E2054">
        <w:trPr>
          <w:trHeight w:val="268"/>
        </w:trPr>
        <w:tc>
          <w:tcPr>
            <w:tcW w:w="9184" w:type="dxa"/>
            <w:gridSpan w:val="3"/>
          </w:tcPr>
          <w:p w14:paraId="358E541D" w14:textId="77777777" w:rsidR="00C33068" w:rsidRDefault="00C33068" w:rsidP="004E2054">
            <w:pPr>
              <w:pStyle w:val="MDPI31text"/>
              <w:spacing w:line="360" w:lineRule="auto"/>
              <w:ind w:firstLine="0"/>
              <w:rPr>
                <w:rFonts w:ascii="Times" w:hAnsi="Times"/>
                <w:color w:val="000000" w:themeColor="text1"/>
                <w:sz w:val="16"/>
                <w:szCs w:val="16"/>
                <w:lang w:val="en-GB"/>
              </w:rPr>
            </w:pPr>
            <w:r w:rsidRPr="00CB1590">
              <w:rPr>
                <w:rFonts w:ascii="Times" w:eastAsia="Palatino Linotype" w:hAnsi="Times"/>
                <w:color w:val="000000" w:themeColor="text1"/>
                <w:sz w:val="16"/>
                <w:szCs w:val="16"/>
                <w:lang w:val="en-GB"/>
              </w:rPr>
              <w:t xml:space="preserve">  </w:t>
            </w:r>
            <w:r w:rsidRPr="00CB1590">
              <w:rPr>
                <w:rFonts w:ascii="Times" w:hAnsi="Times"/>
                <w:color w:val="000000" w:themeColor="text1"/>
                <w:sz w:val="16"/>
                <w:szCs w:val="16"/>
                <w:lang w:val="en-GB"/>
              </w:rPr>
              <w:t>* Others: FAPI-02, FAPI-46, FAPI-21 and FAPI-25</w:t>
            </w:r>
          </w:p>
          <w:p w14:paraId="303D9CAD" w14:textId="77777777" w:rsidR="00C33068" w:rsidRPr="00CB1590" w:rsidRDefault="00C33068" w:rsidP="004E2054">
            <w:pPr>
              <w:pStyle w:val="MDPI31text"/>
              <w:spacing w:line="360" w:lineRule="auto"/>
              <w:ind w:firstLine="0"/>
              <w:rPr>
                <w:rFonts w:ascii="Times" w:eastAsia="Palatino Linotype" w:hAnsi="Times"/>
                <w:color w:val="000000" w:themeColor="text1"/>
                <w:sz w:val="16"/>
                <w:szCs w:val="16"/>
                <w:lang w:val="en-GB"/>
              </w:rPr>
            </w:pPr>
            <w:r>
              <w:rPr>
                <w:rFonts w:ascii="Times" w:eastAsia="Palatino Linotype" w:hAnsi="Times"/>
                <w:color w:val="000000" w:themeColor="text1"/>
                <w:sz w:val="16"/>
                <w:szCs w:val="16"/>
                <w:lang w:val="en-GB"/>
              </w:rPr>
              <w:t xml:space="preserve">^At least one co-author had multiple affiliations located in different countries </w:t>
            </w:r>
          </w:p>
        </w:tc>
      </w:tr>
    </w:tbl>
    <w:p w14:paraId="033A6DE9" w14:textId="28A6BBDF" w:rsidR="00C33068" w:rsidRDefault="00C33068">
      <w:pPr>
        <w:rPr>
          <w:lang w:val="en-US"/>
        </w:rPr>
      </w:pPr>
    </w:p>
    <w:p w14:paraId="1F821EF3" w14:textId="5DEA07F3" w:rsidR="008E35B3" w:rsidRDefault="008E35B3">
      <w:pPr>
        <w:rPr>
          <w:lang w:val="en-US"/>
        </w:rPr>
      </w:pPr>
    </w:p>
    <w:tbl>
      <w:tblPr>
        <w:tblStyle w:val="Grigliatabella"/>
        <w:tblW w:w="0" w:type="auto"/>
        <w:tblLook w:val="04A0" w:firstRow="1" w:lastRow="0" w:firstColumn="1" w:lastColumn="0" w:noHBand="0" w:noVBand="1"/>
      </w:tblPr>
      <w:tblGrid>
        <w:gridCol w:w="1231"/>
        <w:gridCol w:w="575"/>
        <w:gridCol w:w="669"/>
        <w:gridCol w:w="573"/>
        <w:gridCol w:w="668"/>
        <w:gridCol w:w="1165"/>
        <w:gridCol w:w="650"/>
        <w:gridCol w:w="757"/>
        <w:gridCol w:w="716"/>
        <w:gridCol w:w="728"/>
        <w:gridCol w:w="1294"/>
      </w:tblGrid>
      <w:tr w:rsidR="008E35B3" w:rsidRPr="00B55CEC" w14:paraId="5B72A1CC" w14:textId="77777777" w:rsidTr="004E2054">
        <w:tc>
          <w:tcPr>
            <w:tcW w:w="0" w:type="auto"/>
            <w:gridSpan w:val="11"/>
            <w:tcBorders>
              <w:top w:val="nil"/>
              <w:left w:val="nil"/>
              <w:bottom w:val="single" w:sz="4" w:space="0" w:color="auto"/>
              <w:right w:val="nil"/>
            </w:tcBorders>
            <w:vAlign w:val="center"/>
          </w:tcPr>
          <w:p w14:paraId="08BD264A" w14:textId="77777777" w:rsidR="008E35B3" w:rsidRPr="008E35B3" w:rsidRDefault="008E35B3" w:rsidP="008E35B3">
            <w:pPr>
              <w:spacing w:line="360" w:lineRule="auto"/>
              <w:rPr>
                <w:rFonts w:ascii="Times" w:hAnsi="Times" w:cstheme="minorHAnsi"/>
                <w:color w:val="000000" w:themeColor="text1"/>
                <w:lang w:val="en-GB"/>
              </w:rPr>
            </w:pPr>
            <w:r w:rsidRPr="008E35B3">
              <w:rPr>
                <w:rFonts w:ascii="Times" w:hAnsi="Times" w:cstheme="minorHAnsi"/>
                <w:b/>
                <w:bCs/>
                <w:color w:val="000000" w:themeColor="text1"/>
                <w:lang w:val="en-GB"/>
              </w:rPr>
              <w:t>Supplementary Table 2.</w:t>
            </w:r>
            <w:r w:rsidRPr="008E35B3">
              <w:rPr>
                <w:rFonts w:ascii="Times" w:hAnsi="Times" w:cstheme="minorHAnsi"/>
                <w:color w:val="000000" w:themeColor="text1"/>
                <w:lang w:val="en-GB"/>
              </w:rPr>
              <w:t xml:space="preserve"> Details on data availability for each paper for the purpose of meta-analysis</w:t>
            </w:r>
          </w:p>
        </w:tc>
      </w:tr>
      <w:tr w:rsidR="008E35B3" w:rsidRPr="00CB1590" w14:paraId="4A58CBC3" w14:textId="77777777" w:rsidTr="004E2054">
        <w:tc>
          <w:tcPr>
            <w:tcW w:w="0" w:type="auto"/>
            <w:vMerge w:val="restart"/>
            <w:tcBorders>
              <w:top w:val="single" w:sz="4" w:space="0" w:color="auto"/>
            </w:tcBorders>
            <w:vAlign w:val="center"/>
          </w:tcPr>
          <w:p w14:paraId="57B602CC"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b/>
                <w:bCs/>
                <w:color w:val="000000" w:themeColor="text1"/>
                <w:sz w:val="18"/>
                <w:szCs w:val="18"/>
                <w:lang w:val="en-GB"/>
              </w:rPr>
              <w:t>Reference</w:t>
            </w:r>
          </w:p>
        </w:tc>
        <w:tc>
          <w:tcPr>
            <w:tcW w:w="0" w:type="auto"/>
            <w:gridSpan w:val="2"/>
            <w:tcBorders>
              <w:top w:val="single" w:sz="4" w:space="0" w:color="auto"/>
            </w:tcBorders>
            <w:vAlign w:val="center"/>
          </w:tcPr>
          <w:p w14:paraId="7C963754"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Patient-based analyses</w:t>
            </w:r>
          </w:p>
        </w:tc>
        <w:tc>
          <w:tcPr>
            <w:tcW w:w="0" w:type="auto"/>
            <w:gridSpan w:val="2"/>
            <w:tcBorders>
              <w:top w:val="single" w:sz="4" w:space="0" w:color="auto"/>
            </w:tcBorders>
            <w:vAlign w:val="center"/>
          </w:tcPr>
          <w:p w14:paraId="29D58EF3"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Lesion-based analyses</w:t>
            </w:r>
          </w:p>
        </w:tc>
        <w:tc>
          <w:tcPr>
            <w:tcW w:w="0" w:type="auto"/>
            <w:tcBorders>
              <w:top w:val="single" w:sz="4" w:space="0" w:color="auto"/>
            </w:tcBorders>
            <w:vAlign w:val="center"/>
          </w:tcPr>
          <w:p w14:paraId="00D9B674"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Primary tumour detection</w:t>
            </w:r>
          </w:p>
        </w:tc>
        <w:tc>
          <w:tcPr>
            <w:tcW w:w="0" w:type="auto"/>
            <w:gridSpan w:val="2"/>
            <w:tcBorders>
              <w:top w:val="single" w:sz="4" w:space="0" w:color="auto"/>
            </w:tcBorders>
            <w:vAlign w:val="center"/>
          </w:tcPr>
          <w:p w14:paraId="3B394021"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Non-primary tumour evaluation</w:t>
            </w:r>
          </w:p>
        </w:tc>
        <w:tc>
          <w:tcPr>
            <w:tcW w:w="0" w:type="auto"/>
            <w:gridSpan w:val="2"/>
            <w:tcBorders>
              <w:top w:val="single" w:sz="4" w:space="0" w:color="auto"/>
            </w:tcBorders>
            <w:vAlign w:val="center"/>
          </w:tcPr>
          <w:p w14:paraId="1E5E107A"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Nodal involvement assessment</w:t>
            </w:r>
          </w:p>
        </w:tc>
        <w:tc>
          <w:tcPr>
            <w:tcW w:w="0" w:type="auto"/>
            <w:tcBorders>
              <w:top w:val="single" w:sz="4" w:space="0" w:color="auto"/>
            </w:tcBorders>
            <w:vAlign w:val="center"/>
          </w:tcPr>
          <w:p w14:paraId="19AAD923"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Distant metastases detection</w:t>
            </w:r>
          </w:p>
        </w:tc>
      </w:tr>
      <w:tr w:rsidR="008E35B3" w:rsidRPr="00CB1590" w14:paraId="2000CEFB" w14:textId="77777777" w:rsidTr="004E2054">
        <w:tc>
          <w:tcPr>
            <w:tcW w:w="0" w:type="auto"/>
            <w:vMerge/>
            <w:vAlign w:val="center"/>
          </w:tcPr>
          <w:p w14:paraId="4B8DCC95" w14:textId="77777777" w:rsidR="008E35B3" w:rsidRPr="00CB1590" w:rsidRDefault="008E35B3" w:rsidP="004E2054">
            <w:pPr>
              <w:spacing w:line="360" w:lineRule="auto"/>
              <w:jc w:val="center"/>
              <w:rPr>
                <w:rFonts w:ascii="Times" w:hAnsi="Times" w:cstheme="minorHAnsi"/>
                <w:b/>
                <w:bCs/>
                <w:color w:val="000000" w:themeColor="text1"/>
                <w:sz w:val="18"/>
                <w:szCs w:val="18"/>
                <w:lang w:val="en-GB"/>
              </w:rPr>
            </w:pPr>
          </w:p>
        </w:tc>
        <w:tc>
          <w:tcPr>
            <w:tcW w:w="0" w:type="auto"/>
            <w:vAlign w:val="center"/>
          </w:tcPr>
          <w:p w14:paraId="19EE5AAE"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Sen</w:t>
            </w:r>
          </w:p>
        </w:tc>
        <w:tc>
          <w:tcPr>
            <w:tcW w:w="0" w:type="auto"/>
            <w:vAlign w:val="center"/>
          </w:tcPr>
          <w:p w14:paraId="681983EC"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Spec</w:t>
            </w:r>
          </w:p>
        </w:tc>
        <w:tc>
          <w:tcPr>
            <w:tcW w:w="0" w:type="auto"/>
            <w:vAlign w:val="center"/>
          </w:tcPr>
          <w:p w14:paraId="35E6F636"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Sen</w:t>
            </w:r>
          </w:p>
        </w:tc>
        <w:tc>
          <w:tcPr>
            <w:tcW w:w="0" w:type="auto"/>
            <w:vAlign w:val="center"/>
          </w:tcPr>
          <w:p w14:paraId="78804AA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Spec</w:t>
            </w:r>
          </w:p>
        </w:tc>
        <w:tc>
          <w:tcPr>
            <w:tcW w:w="0" w:type="auto"/>
            <w:vAlign w:val="center"/>
          </w:tcPr>
          <w:p w14:paraId="6CBD1573"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Sen</w:t>
            </w:r>
          </w:p>
        </w:tc>
        <w:tc>
          <w:tcPr>
            <w:tcW w:w="0" w:type="auto"/>
            <w:vAlign w:val="center"/>
          </w:tcPr>
          <w:p w14:paraId="2CECD7E3"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Sen</w:t>
            </w:r>
          </w:p>
        </w:tc>
        <w:tc>
          <w:tcPr>
            <w:tcW w:w="0" w:type="auto"/>
            <w:vAlign w:val="center"/>
          </w:tcPr>
          <w:p w14:paraId="1522E3BA"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Spec</w:t>
            </w:r>
          </w:p>
        </w:tc>
        <w:tc>
          <w:tcPr>
            <w:tcW w:w="0" w:type="auto"/>
            <w:vAlign w:val="center"/>
          </w:tcPr>
          <w:p w14:paraId="76871C40"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Sens</w:t>
            </w:r>
          </w:p>
        </w:tc>
        <w:tc>
          <w:tcPr>
            <w:tcW w:w="0" w:type="auto"/>
            <w:vAlign w:val="center"/>
          </w:tcPr>
          <w:p w14:paraId="3853C09B"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Spec</w:t>
            </w:r>
          </w:p>
        </w:tc>
        <w:tc>
          <w:tcPr>
            <w:tcW w:w="0" w:type="auto"/>
            <w:vAlign w:val="center"/>
          </w:tcPr>
          <w:p w14:paraId="0010CFCE"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Sens</w:t>
            </w:r>
          </w:p>
        </w:tc>
      </w:tr>
      <w:tr w:rsidR="008E35B3" w:rsidRPr="00CB1590" w14:paraId="74FA9F93" w14:textId="77777777" w:rsidTr="004E2054">
        <w:tc>
          <w:tcPr>
            <w:tcW w:w="0" w:type="auto"/>
            <w:vAlign w:val="center"/>
          </w:tcPr>
          <w:p w14:paraId="5A112F0D" w14:textId="1F8B4CB9"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Calibri"/>
                <w:color w:val="000000" w:themeColor="text1"/>
                <w:sz w:val="18"/>
                <w:szCs w:val="18"/>
                <w:lang w:val="en-GB"/>
              </w:rPr>
              <w:t xml:space="preserve">Pang et al. </w:t>
            </w:r>
            <w:r w:rsidRPr="00CB1590">
              <w:rPr>
                <w:rFonts w:ascii="Times" w:hAnsi="Times" w:cs="Calibri"/>
                <w:color w:val="000000" w:themeColor="text1"/>
                <w:sz w:val="18"/>
                <w:szCs w:val="18"/>
                <w:lang w:val="en-GB"/>
              </w:rPr>
              <w:fldChar w:fldCharType="begin" w:fldLock="1"/>
            </w:r>
            <w:r w:rsidR="00A20267">
              <w:rPr>
                <w:rFonts w:ascii="Times" w:hAnsi="Times" w:cs="Calibri"/>
                <w:color w:val="000000" w:themeColor="text1"/>
                <w:sz w:val="18"/>
                <w:szCs w:val="18"/>
                <w:lang w:val="en-GB"/>
              </w:rPr>
              <w:instrText>ADDIN CSL_CITATION {"citationItems":[{"id":"ITEM-1","itemData":{"DOI":"10.1148/radiol.2020203275","ISSN":"0033-8419","PMID":"33258746","abstract":"Background: Accurate clinical staging is crucial to managing gastrointestinal cancer, but fluorine 18 (18F) fluorodeoxyglucose (FDG) PET/CT has limitations. Targeting fibroblast-activation protein is a newer diagnostic approach for the visualization of tumor stroma, and gallium 68 (68Ga)-labeled fibroblast-activation protein inhibitors (FAPIs), hereafter 68Ga-FAPIs, present a promising alternative to 18F-FDG. Purpose: To compare the diagnostic efficacy of 68Ga-FAPI PET/CT in primary and metastatic lesions of gastrointestinal malignancies with that of 18F-FDG PET/CT. Materials and Methods: Images from patients with gastric, duodenal, and colorectal cancers who underwent contemporaneous 18F-FDG and 68Ga-FAPI PET/CT between October 2019 through June 2020 were retrospectively analyzed. 18F-FDG and 68Ga- FAPI uptakes were compared by using the Wilcoxon signed-rank test. The McNemar test was used to compare the diagnostic performance between the two techniques. Results: Thirty-five patients (median age, 64 years [interquartile range, 53-68 years]; 18 men) were evaluated. In treatment-naive patients (n = 19), 68Ga-FAPI PET/CT led to upstaging of the clinical TNM stage in four (21%) patients compared with 18F-FDG PET/CT. Tracer uptake was higher with 68Ga-FAPI PET/CT than with 18F-FDG PET/CT in primary lesions (gastric cancer: 12.7 vs 3.7, respectively, P = .003; colorectal cancer: 15.9 vs 7.9, P = .03), involved lymph nodes (6.7 vs 2.4, P &lt;001), and bone and visceral metastases (liver metastases: 9.7 vs 5.2, P &lt;001; peritoneal metastases: 8.4 vs 3.6, P &lt;001; bone metastases: 4.3 vs 2.2, P &lt;001; lung metastases: 4.4 vs 1.9, P = .01). In addition, the sensitivity of 68Ga-FAPI PET/CT was higher than that of 18F-FDG PET/CT in the detection of primary tumors (100% [19 of 19] vs 53% [10 of 19], respectively; P = .004), lymph nodes (79% [22 of 28] vs 54% [15 of 28], P &lt;001), and bone and visceral metastases (89% [31 of 35] vs 57% [20 of 35], P &lt;001). Conclusion: Gallium 68 fibroblast-activation protein inhibitor PET/CT was superior to fluorine 18 fluorodeoxyglucose PET/CT in the detection of primary and metastatic lesions in gastric, duodenal, and colorectal cancers, with higher tracer uptake in most primary and metastatic lesions.","author":[{"dropping-particle":"","family":"Pang","given":"Yizhen","non-dropping-particle":"","parse-names":false,"suffix":""},{"dropping-particle":"","family":"Zhao","given":"Liang","non-dropping-particle":"","parse-names":false,"suffix":""},{"dropping-particle":"","family":"Luo","given":"Zuoming","non-dropping-particle":"","parse-names":false,"suffix":""},{"dropping-particle":"","family":"Hao","given":"Bing","non-dropping-particle":"","parse-names":false,"suffix":""},{"dropping-particle":"","family":"Wu","given":"Hua","non-dropping-particle":"","parse-names":false,"suffix":""},{"dropping-particle":"","family":"Lin","given":"Qin","non-dropping-particle":"","parse-names":false,"suffix":""},{"dropping-particle":"","family":"Sun","given":"Long","non-dropping-particle":"","parse-names":false,"suffix":""},{"dropping-particle":"","family":"Chen","given":"Haojun","non-dropping-particle":"","parse-names":false,"suffix":""}],"container-title":"Radiology","id":"ITEM-1","issue":"2","issued":{"date-parts":[["2021","2"]]},"page":"393-402","title":"Comparison of 68 Ga-FAPI and 18 F-FDG Uptake in Gastric, Duodenal, and Colorectal Cancers","type":"article-journal","volume":"298"},"uris":["http://www.mendeley.com/documents/?uuid=916e1a36-0608-4b9b-80f5-795b4c1582a5","http://www.mendeley.com/documents/?uuid=6c551e71-9628-4f57-a4a5-02c6a4a1e615"]}],"mendeley":{"formattedCitation":"(1)","plainTextFormattedCitation":"(1)","previouslyFormattedCitation":"(1)"},"properties":{"noteIndex":0},"schema":"https://github.com/citation-style-language/schema/raw/master/csl-citation.json"}</w:instrText>
            </w:r>
            <w:r w:rsidRPr="00CB1590">
              <w:rPr>
                <w:rFonts w:ascii="Times" w:hAnsi="Times" w:cs="Calibri"/>
                <w:color w:val="000000" w:themeColor="text1"/>
                <w:sz w:val="18"/>
                <w:szCs w:val="18"/>
                <w:lang w:val="en-GB"/>
              </w:rPr>
              <w:fldChar w:fldCharType="separate"/>
            </w:r>
            <w:r w:rsidR="00BE34B7" w:rsidRPr="00BE34B7">
              <w:rPr>
                <w:rFonts w:ascii="Times" w:hAnsi="Times" w:cs="Calibri"/>
                <w:noProof/>
                <w:color w:val="000000" w:themeColor="text1"/>
                <w:sz w:val="18"/>
                <w:szCs w:val="18"/>
                <w:lang w:val="en-GB"/>
              </w:rPr>
              <w:t>(1)</w:t>
            </w:r>
            <w:r w:rsidRPr="00CB1590">
              <w:rPr>
                <w:rFonts w:ascii="Times" w:hAnsi="Times" w:cs="Calibri"/>
                <w:color w:val="000000" w:themeColor="text1"/>
                <w:sz w:val="18"/>
                <w:szCs w:val="18"/>
                <w:lang w:val="en-GB"/>
              </w:rPr>
              <w:fldChar w:fldCharType="end"/>
            </w:r>
            <w:r w:rsidRPr="00CB1590">
              <w:rPr>
                <w:rFonts w:ascii="Times" w:hAnsi="Times" w:cstheme="minorHAnsi"/>
                <w:color w:val="000000" w:themeColor="text1"/>
                <w:sz w:val="18"/>
                <w:szCs w:val="18"/>
                <w:lang w:val="en-GB"/>
              </w:rPr>
              <w:t>*</w:t>
            </w:r>
          </w:p>
        </w:tc>
        <w:tc>
          <w:tcPr>
            <w:tcW w:w="0" w:type="auto"/>
            <w:vAlign w:val="center"/>
          </w:tcPr>
          <w:p w14:paraId="6046F23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1CC728C9"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1F7463B7"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4F221BE7"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6A953E23"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7A7DC10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4562C3C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78FD263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22B02164"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59FDB44C"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r>
      <w:tr w:rsidR="008E35B3" w:rsidRPr="00CB1590" w14:paraId="50EDA99A" w14:textId="77777777" w:rsidTr="004E2054">
        <w:tc>
          <w:tcPr>
            <w:tcW w:w="0" w:type="auto"/>
            <w:vAlign w:val="center"/>
          </w:tcPr>
          <w:p w14:paraId="4DC8ADAF" w14:textId="2C67F2BF"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Calibri"/>
                <w:color w:val="000000" w:themeColor="text1"/>
                <w:sz w:val="18"/>
                <w:szCs w:val="18"/>
                <w:lang w:val="en-GB"/>
              </w:rPr>
              <w:t xml:space="preserve">Shi et al. </w:t>
            </w:r>
            <w:r w:rsidRPr="00CB1590">
              <w:rPr>
                <w:rFonts w:ascii="Times" w:hAnsi="Times" w:cs="Calibri"/>
                <w:color w:val="000000" w:themeColor="text1"/>
                <w:sz w:val="18"/>
                <w:szCs w:val="18"/>
                <w:lang w:val="en-GB"/>
              </w:rPr>
              <w:fldChar w:fldCharType="begin" w:fldLock="1"/>
            </w:r>
            <w:r w:rsidR="00A20267">
              <w:rPr>
                <w:rFonts w:ascii="Times" w:hAnsi="Times" w:cs="Calibri"/>
                <w:color w:val="000000" w:themeColor="text1"/>
                <w:sz w:val="18"/>
                <w:szCs w:val="18"/>
                <w:lang w:val="en-GB"/>
              </w:rPr>
              <w:instrText>ADDIN CSL_CITATION {"citationItems":[{"id":"ITEM-1","itemData":{"DOI":"10.1007/s00259-020-04882-z","ISSN":"1619-7070","abstract":"68Ga-FAPI-04 is a rapidly evolving PET tracer for whole-body imaging in a variety of cancers. We aimed to evaluate the diagnostic performance of 68Ga-FAPI-04 for detecting and characterizing hepatic nodules in patients with suspected carcinoma. Twenty-five patients showing suspicious hepatic lesions for malignancy underwent 68Ga-FAPI-04 PET. The maximum and mean standardised uptake values (SUVmax, SUVmean) were measured for all detected lesions and normal hepatic tissues, respectively. The target-to-background ratio (TBR) was calculated by dividing the lesion SUVmax with the SUVmean of non-tumour liver tissue. Lesion uptake value was correlated with the in vitro hepatic FAP expression determined by immunohistochemistry (IHC). In total, 17 patients who underwent surgery or biopsy were recruited for the final analysis. A total of 28 intrahepatic malignant lesions were detected in 16 patients; the mean SUVmax was 8.36</w:instrText>
            </w:r>
            <w:r w:rsidR="00A20267">
              <w:rPr>
                <w:rFonts w:ascii="Times New Roman" w:hAnsi="Times New Roman" w:cs="Times New Roman"/>
                <w:color w:val="000000" w:themeColor="text1"/>
                <w:sz w:val="18"/>
                <w:szCs w:val="18"/>
                <w:lang w:val="en-GB"/>
              </w:rPr>
              <w:instrText> </w:instrText>
            </w:r>
            <w:r w:rsidR="00A20267">
              <w:rPr>
                <w:rFonts w:ascii="Times" w:hAnsi="Times" w:cs="Calibri"/>
                <w:color w:val="000000" w:themeColor="text1"/>
                <w:sz w:val="18"/>
                <w:szCs w:val="18"/>
                <w:lang w:val="en-GB"/>
              </w:rPr>
              <w:instrText>±</w:instrText>
            </w:r>
            <w:r w:rsidR="00A20267">
              <w:rPr>
                <w:rFonts w:ascii="Times New Roman" w:hAnsi="Times New Roman" w:cs="Times New Roman"/>
                <w:color w:val="000000" w:themeColor="text1"/>
                <w:sz w:val="18"/>
                <w:szCs w:val="18"/>
                <w:lang w:val="en-GB"/>
              </w:rPr>
              <w:instrText> </w:instrText>
            </w:r>
            <w:r w:rsidR="00A20267">
              <w:rPr>
                <w:rFonts w:ascii="Times" w:hAnsi="Times" w:cs="Calibri"/>
                <w:color w:val="000000" w:themeColor="text1"/>
                <w:sz w:val="18"/>
                <w:szCs w:val="18"/>
                <w:lang w:val="en-GB"/>
              </w:rPr>
              <w:instrText>4.21 (range 2.21 to 15.86), and mean TBR was 13.15</w:instrText>
            </w:r>
            <w:r w:rsidR="00A20267">
              <w:rPr>
                <w:rFonts w:ascii="Times New Roman" w:hAnsi="Times New Roman" w:cs="Times New Roman"/>
                <w:color w:val="000000" w:themeColor="text1"/>
                <w:sz w:val="18"/>
                <w:szCs w:val="18"/>
                <w:lang w:val="en-GB"/>
              </w:rPr>
              <w:instrText> </w:instrText>
            </w:r>
            <w:r w:rsidR="00A20267">
              <w:rPr>
                <w:rFonts w:ascii="Times" w:hAnsi="Times" w:cs="Calibri"/>
                <w:color w:val="000000" w:themeColor="text1"/>
                <w:sz w:val="18"/>
                <w:szCs w:val="18"/>
                <w:lang w:val="en-GB"/>
              </w:rPr>
              <w:instrText>±</w:instrText>
            </w:r>
            <w:r w:rsidR="00A20267">
              <w:rPr>
                <w:rFonts w:ascii="Times New Roman" w:hAnsi="Times New Roman" w:cs="Times New Roman"/>
                <w:color w:val="000000" w:themeColor="text1"/>
                <w:sz w:val="18"/>
                <w:szCs w:val="18"/>
                <w:lang w:val="en-GB"/>
              </w:rPr>
              <w:instrText> </w:instrText>
            </w:r>
            <w:r w:rsidR="00A20267">
              <w:rPr>
                <w:rFonts w:ascii="Times" w:hAnsi="Times" w:cs="Calibri"/>
                <w:color w:val="000000" w:themeColor="text1"/>
                <w:sz w:val="18"/>
                <w:szCs w:val="18"/>
                <w:lang w:val="en-GB"/>
              </w:rPr>
              <w:instrText>9.48 (range 2.79 to 38.12) in all detected lesions (n =</w:instrText>
            </w:r>
            <w:r w:rsidR="00A20267">
              <w:rPr>
                <w:rFonts w:ascii="Times New Roman" w:hAnsi="Times New Roman" w:cs="Times New Roman"/>
                <w:color w:val="000000" w:themeColor="text1"/>
                <w:sz w:val="18"/>
                <w:szCs w:val="18"/>
                <w:lang w:val="en-GB"/>
              </w:rPr>
              <w:instrText> </w:instrText>
            </w:r>
            <w:r w:rsidR="00A20267">
              <w:rPr>
                <w:rFonts w:ascii="Times" w:hAnsi="Times" w:cs="Calibri"/>
                <w:color w:val="000000" w:themeColor="text1"/>
                <w:sz w:val="18"/>
                <w:szCs w:val="18"/>
                <w:lang w:val="en-GB"/>
              </w:rPr>
              <w:instrText>28). One benign patient showed negligible hepatic uptake (SUVmax =</w:instrText>
            </w:r>
            <w:r w:rsidR="00A20267">
              <w:rPr>
                <w:rFonts w:ascii="Times New Roman" w:hAnsi="Times New Roman" w:cs="Times New Roman"/>
                <w:color w:val="000000" w:themeColor="text1"/>
                <w:sz w:val="18"/>
                <w:szCs w:val="18"/>
                <w:lang w:val="en-GB"/>
              </w:rPr>
              <w:instrText> </w:instrText>
            </w:r>
            <w:r w:rsidR="00A20267">
              <w:rPr>
                <w:rFonts w:ascii="Times" w:hAnsi="Times" w:cs="Calibri"/>
                <w:color w:val="000000" w:themeColor="text1"/>
                <w:sz w:val="18"/>
                <w:szCs w:val="18"/>
                <w:lang w:val="en-GB"/>
              </w:rPr>
              <w:instrText>0.47), whereas 75% of the primary intrahepatic hepatocellular carcinoma (HCC) lesions (n =</w:instrText>
            </w:r>
            <w:r w:rsidR="00A20267">
              <w:rPr>
                <w:rFonts w:ascii="Times New Roman" w:hAnsi="Times New Roman" w:cs="Times New Roman"/>
                <w:color w:val="000000" w:themeColor="text1"/>
                <w:sz w:val="18"/>
                <w:szCs w:val="18"/>
                <w:lang w:val="en-GB"/>
              </w:rPr>
              <w:instrText> </w:instrText>
            </w:r>
            <w:r w:rsidR="00A20267">
              <w:rPr>
                <w:rFonts w:ascii="Times" w:hAnsi="Times" w:cs="Calibri"/>
                <w:color w:val="000000" w:themeColor="text1"/>
                <w:sz w:val="18"/>
                <w:szCs w:val="18"/>
                <w:lang w:val="en-GB"/>
              </w:rPr>
              <w:instrText>6) showed prominent FAP expression, 12.5% of the lesions (n =</w:instrText>
            </w:r>
            <w:r w:rsidR="00A20267">
              <w:rPr>
                <w:rFonts w:ascii="Times New Roman" w:hAnsi="Times New Roman" w:cs="Times New Roman"/>
                <w:color w:val="000000" w:themeColor="text1"/>
                <w:sz w:val="18"/>
                <w:szCs w:val="18"/>
                <w:lang w:val="en-GB"/>
              </w:rPr>
              <w:instrText> </w:instrText>
            </w:r>
            <w:r w:rsidR="00A20267">
              <w:rPr>
                <w:rFonts w:ascii="Times" w:hAnsi="Times" w:cs="Calibri"/>
                <w:color w:val="000000" w:themeColor="text1"/>
                <w:sz w:val="18"/>
                <w:szCs w:val="18"/>
                <w:lang w:val="en-GB"/>
              </w:rPr>
              <w:instrText>1) showed moderate expression in stromal cells, and one showed negligible expression. 68Ga-FAPI-04 showed high sensitivity in detecting hepatic malignancies, particularly in poorly differentiated forms with concordantly elevated FAP expression.","author":[{"dropping-particle":"","family":"Shi","given":"Ximin","non-dropping-particle":"","parse-names":false,"suffix":""},{"dropping-particle":"","family":"Xing","given":"Haiqun","non-dropping-particle":"","parse-names":false,"suffix":""},{"dropping-particle":"","family":"Yang","given":"Xiaobo","non-dropping-particle":"","parse-names":false,"suffix":""},{"dropping-particle":"","family":"Li","given":"Fang","non-dropping-particle":"","parse-names":false,"suffix":""},{"dropping-particle":"","family":"Yao","given":"Shaobo","non-dropping-particle":"","parse-names":false,"suffix":""},{"dropping-particle":"","family":"Zhang","given":"Hui","non-dropping-particle":"","parse-names":false,"suffix":""},{"dropping-particle":"","family":"Zhao","given":"Haitao","non-dropping-particle":"","parse-names":false,"suffix":""},{"dropping-particle":"","family":"Hacker","given":"Marcus","non-dropping-particle":"","parse-names":false,"suffix":""},{"dropping-particle":"","family":"Huo","given":"Li","non-dropping-particle":"","parse-names":false,"suffix":""},{"dropping-particle":"","family":"Li","given":"Xiang","non-dropping-particle":"","parse-names":false,"suffix":""}],"container-title":"European Journal of Nuclear Medicine and Molecular Imaging","id":"ITEM-1","issued":{"date-parts":[["2020","5","29"]]},"page":"1-8","publisher":"Springer","title":"Fibroblast imaging of hepatic carcinoma with 68Ga-FAPI-04 PET/CT: a pilot study in patients with suspected hepatic nodules","type":"article-journal"},"uris":["http://www.mendeley.com/documents/?uuid=881d9287-63b3-451d-a45f-c110bb5740f0","http://www.mendeley.com/documents/?uuid=c9d29c24-8db2-3a13-a490-0cc62bc18632"]}],"mendeley":{"formattedCitation":"(2)","plainTextFormattedCitation":"(2)","previouslyFormattedCitation":"(2)"},"properties":{"noteIndex":0},"schema":"https://github.com/citation-style-language/schema/raw/master/csl-citation.json"}</w:instrText>
            </w:r>
            <w:r w:rsidRPr="00CB1590">
              <w:rPr>
                <w:rFonts w:ascii="Times" w:hAnsi="Times" w:cs="Calibri"/>
                <w:color w:val="000000" w:themeColor="text1"/>
                <w:sz w:val="18"/>
                <w:szCs w:val="18"/>
                <w:lang w:val="en-GB"/>
              </w:rPr>
              <w:fldChar w:fldCharType="separate"/>
            </w:r>
            <w:r w:rsidR="00BE34B7" w:rsidRPr="00BE34B7">
              <w:rPr>
                <w:rFonts w:ascii="Times" w:hAnsi="Times" w:cs="Calibri"/>
                <w:noProof/>
                <w:color w:val="000000" w:themeColor="text1"/>
                <w:sz w:val="18"/>
                <w:szCs w:val="18"/>
                <w:lang w:val="en-GB"/>
              </w:rPr>
              <w:t>(2)</w:t>
            </w:r>
            <w:r w:rsidRPr="00CB1590">
              <w:rPr>
                <w:rFonts w:ascii="Times" w:hAnsi="Times" w:cs="Calibri"/>
                <w:color w:val="000000" w:themeColor="text1"/>
                <w:sz w:val="18"/>
                <w:szCs w:val="18"/>
                <w:lang w:val="en-GB"/>
              </w:rPr>
              <w:fldChar w:fldCharType="end"/>
            </w:r>
            <w:r w:rsidRPr="00CB1590">
              <w:rPr>
                <w:rFonts w:ascii="Times" w:hAnsi="Times" w:cstheme="minorHAnsi"/>
                <w:color w:val="000000" w:themeColor="text1"/>
                <w:sz w:val="18"/>
                <w:szCs w:val="18"/>
                <w:lang w:val="en-GB"/>
              </w:rPr>
              <w:t xml:space="preserve"> *</w:t>
            </w:r>
          </w:p>
        </w:tc>
        <w:tc>
          <w:tcPr>
            <w:tcW w:w="0" w:type="auto"/>
            <w:vAlign w:val="center"/>
          </w:tcPr>
          <w:p w14:paraId="26BBDFFA"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108C45A7"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7058C43F"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186DA804"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41D35022"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62B6086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7C6D78BC"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0EBDC746"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21928F64"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0E93A35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r>
      <w:tr w:rsidR="008E35B3" w:rsidRPr="00CB1590" w14:paraId="37CDB4AA" w14:textId="77777777" w:rsidTr="004E2054">
        <w:tc>
          <w:tcPr>
            <w:tcW w:w="0" w:type="auto"/>
            <w:vAlign w:val="center"/>
          </w:tcPr>
          <w:p w14:paraId="48905BDA" w14:textId="4C02A3C4"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Calibri"/>
                <w:color w:val="000000" w:themeColor="text1"/>
                <w:sz w:val="18"/>
                <w:szCs w:val="18"/>
                <w:lang w:val="en-GB"/>
              </w:rPr>
              <w:lastRenderedPageBreak/>
              <w:t>Shi et al. (2)</w:t>
            </w:r>
            <w:r w:rsidRPr="00CB1590">
              <w:rPr>
                <w:rFonts w:ascii="Times" w:hAnsi="Times" w:cs="Calibri"/>
                <w:color w:val="000000" w:themeColor="text1"/>
                <w:sz w:val="18"/>
                <w:szCs w:val="18"/>
                <w:lang w:val="en-GB"/>
              </w:rPr>
              <w:fldChar w:fldCharType="begin" w:fldLock="1"/>
            </w:r>
            <w:r w:rsidR="00A20267">
              <w:rPr>
                <w:rFonts w:ascii="Times" w:hAnsi="Times" w:cs="Calibri"/>
                <w:color w:val="000000" w:themeColor="text1"/>
                <w:sz w:val="18"/>
                <w:szCs w:val="18"/>
                <w:lang w:val="en-GB"/>
              </w:rPr>
              <w:instrText>ADDIN CSL_CITATION {"citationItems":[{"id":"ITEM-1","itemData":{"DOI":"10.1007/s00259-020-05070-9","ISSN":"1619-7070","abstract":"Purpose: This study aimed to compare the performance of 68Ga-labelled fibroblast activating protein inhibitor (FAPI) PET and 18F-FDG PET for imaging of hepatic tumours. Methods: We prospectively assessed 20 patients with suspected intrahepatic lesions. Tumour radiological features, pathology, or follow-up examinations were assessed as ground truth in correlation with PET scans. Semiquantitative analysis was additionally performed by measuring the standardised uptake value (SUV). Tumour-to-liver background ratios (TBR) were calculated and compared between 68Ga-FAPI PET and 18F-FDG PET. FAPI expression was assessed by immunochemistry in samples obtained from 7 patients with hepatocellular carcinomas (HCC)/intrahepatic cholangiocarcinoma (ICC) or granulomas. Results: Primary intrahepatic tumours, including 16 HCC in 14 patients and 4 ICC in 3 patients with extrahepatic metastases, were determined by histology (n = 14) and clinical examinations (n = 3). Based on visual analysis, 17 patients presented elevated 68Ga-FAPI uptake (sensitivity: 100%, specificity: 100%), while 7 patients presented 18F-FDG avid tumours (sensitivity: 58.8%, specificity: 100%). 68Ga-FAPI PET/CT identified 17 extrahepatic metastases vs. 13 in 18F-FDG PET/CT in 2 ICC patients. Three benign liver nodules in three patients showed negligible uptake in dual-PET scans. The SUVmax_HCC = 8.47 ± 4.06 and TBRmax_HCC = 7.13 ± 5.52, and SUVmax_ICC = 14.14 ± 2.20 TBRmax_ICC = 26.46 ± 4.94 in 68Ga-FAPI-04 PET/CT were significantly higher than the 18F-FDG uptake presenting SUVmax_HCC = 4.86 ± 3.58 and TBRmax_HCC = 2.39 ± 2.21, and SUVmax_ICC = 9.19 ± 3.60 and TBRmax_ICC = 2.39 ± 2.21 (all p values &lt; 0.05). ICC patients showed higher levels of FAPI uptake in the primary hepatic lesions compared to extrahepatic metastases, TBRmax_ICC = 15.18 ± 5.80 (p = 0.04). Conclusions: 68Ga-FAPI PET-CT has superior potential in the detection of primary hepatic malignancy compared to 18F-FDG.","author":[{"dropping-particle":"","family":"Shi","given":"Ximin","non-dropping-particle":"","parse-names":false,"suffix":""},{"dropping-particle":"","family":"Xing","given":"Haiqun","non-dropping-particle":"","parse-names":false,"suffix":""},{"dropping-particle":"","family":"Yang","given":"Xiaobo","non-dropping-particle":"","parse-names":false,"suffix":""},{"dropping-particle":"","family":"Li","given":"Fang","non-dropping-particle":"","parse-names":false,"suffix":""},{"dropping-particle":"","family":"Yao","given":"Shaobo","non-dropping-particle":"","parse-names":false,"suffix":""},{"dropping-particle":"","family":"Congwei","given":"Jia","non-dropping-particle":"","parse-names":false,"suffix":""},{"dropping-particle":"","family":"Zhao","given":"Haitao","non-dropping-particle":"","parse-names":false,"suffix":""},{"dropping-particle":"","family":"Hacker","given":"Marcus","non-dropping-particle":"","parse-names":false,"suffix":""},{"dropping-particle":"","family":"Huo","given":"Li","non-dropping-particle":"","parse-names":false,"suffix":""},{"dropping-particle":"","family":"Li","given":"Xiang","non-dropping-particle":"","parse-names":false,"suffix":""}],"container-title":"European Journal of Nuclear Medicine and Molecular Imaging","id":"ITEM-1","issue":"5","issued":{"date-parts":[["2021","5","24"]]},"page":"1593-1603","title":"Comparison of PET imaging of activated fibroblasts and 18F-FDG for diagnosis of primary hepatic tumours: a prospective pilot study","type":"article-journal","volume":"48"},"uris":["http://www.mendeley.com/documents/?uuid=4eb7af72-31fb-4ae3-a760-a175286c4351","http://www.mendeley.com/documents/?uuid=3712f604-6c14-4f42-940e-b4c9dc040beb"]}],"mendeley":{"formattedCitation":"(3)","plainTextFormattedCitation":"(3)","previouslyFormattedCitation":"(3)"},"properties":{"noteIndex":0},"schema":"https://github.com/citation-style-language/schema/raw/master/csl-citation.json"}</w:instrText>
            </w:r>
            <w:r w:rsidRPr="00CB1590">
              <w:rPr>
                <w:rFonts w:ascii="Times" w:hAnsi="Times" w:cs="Calibri"/>
                <w:color w:val="000000" w:themeColor="text1"/>
                <w:sz w:val="18"/>
                <w:szCs w:val="18"/>
                <w:lang w:val="en-GB"/>
              </w:rPr>
              <w:fldChar w:fldCharType="separate"/>
            </w:r>
            <w:r w:rsidR="00BE34B7" w:rsidRPr="00BE34B7">
              <w:rPr>
                <w:rFonts w:ascii="Times" w:hAnsi="Times" w:cs="Calibri"/>
                <w:noProof/>
                <w:color w:val="000000" w:themeColor="text1"/>
                <w:sz w:val="18"/>
                <w:szCs w:val="18"/>
                <w:lang w:val="en-GB"/>
              </w:rPr>
              <w:t>(3)</w:t>
            </w:r>
            <w:r w:rsidRPr="00CB1590">
              <w:rPr>
                <w:rFonts w:ascii="Times" w:hAnsi="Times" w:cs="Calibri"/>
                <w:color w:val="000000" w:themeColor="text1"/>
                <w:sz w:val="18"/>
                <w:szCs w:val="18"/>
                <w:lang w:val="en-GB"/>
              </w:rPr>
              <w:fldChar w:fldCharType="end"/>
            </w:r>
            <w:r w:rsidRPr="00CB1590">
              <w:rPr>
                <w:rFonts w:ascii="Times" w:hAnsi="Times" w:cstheme="minorHAnsi"/>
                <w:color w:val="000000" w:themeColor="text1"/>
                <w:sz w:val="18"/>
                <w:szCs w:val="18"/>
                <w:lang w:val="en-GB"/>
              </w:rPr>
              <w:t xml:space="preserve"> *</w:t>
            </w:r>
          </w:p>
        </w:tc>
        <w:tc>
          <w:tcPr>
            <w:tcW w:w="0" w:type="auto"/>
            <w:vAlign w:val="center"/>
          </w:tcPr>
          <w:p w14:paraId="65208B0A"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2C82FE76"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3868CA10"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271C8F72"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0DB7D4C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606A4090"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673BBA96"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79720A5E"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2704BE59"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7C071C1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r>
      <w:tr w:rsidR="008E35B3" w:rsidRPr="00CB1590" w14:paraId="162081F1" w14:textId="77777777" w:rsidTr="004E2054">
        <w:tc>
          <w:tcPr>
            <w:tcW w:w="0" w:type="auto"/>
            <w:vAlign w:val="center"/>
          </w:tcPr>
          <w:p w14:paraId="69989F9E" w14:textId="17EC6BB9"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Calibri"/>
                <w:color w:val="000000" w:themeColor="text1"/>
                <w:sz w:val="18"/>
                <w:szCs w:val="18"/>
                <w:lang w:val="en-GB"/>
              </w:rPr>
              <w:t xml:space="preserve">Guo et al. </w:t>
            </w:r>
            <w:r w:rsidRPr="00CB1590">
              <w:rPr>
                <w:rFonts w:ascii="Times" w:hAnsi="Times" w:cs="Calibri"/>
                <w:color w:val="000000" w:themeColor="text1"/>
                <w:sz w:val="18"/>
                <w:szCs w:val="18"/>
                <w:lang w:val="en-GB"/>
              </w:rPr>
              <w:fldChar w:fldCharType="begin" w:fldLock="1"/>
            </w:r>
            <w:r w:rsidR="00A20267">
              <w:rPr>
                <w:rFonts w:ascii="Times" w:hAnsi="Times" w:cs="Calibri"/>
                <w:color w:val="000000" w:themeColor="text1"/>
                <w:sz w:val="18"/>
                <w:szCs w:val="18"/>
                <w:lang w:val="en-GB"/>
              </w:rPr>
              <w:instrText>ADDIN CSL_CITATION {"citationItems":[{"id":"ITEM-1","itemData":{"DOI":"10.1007/s00259-020-05095-0","ISSN":"1619-7070","abstract":"Purpose: This study aimed to evaluate the potential utility of [68Ga]Ga-FAPI-04 PET/CT for diagnosing primary and metastatic lesions in patients with liver cancer, as well as to compare it with contrast-enhanced CT (CE-CT), liver MRI, and [18F]-FDG PET/CT. Methods: We performed a single-center post hoc retrospective analysis of data obtained from a prospective parent study (NCT04416165). This study included 34 patients diagnosed with or suspected hepatic lesions who underwent concomitant [68Ga]Ga-FAPI-04 and [18F]-FDG/CT scans. Moreover, these patients underwent liver MRI (n = 34) and CE-CT (n = 25). Histopathologic (n = 62) or radiographic follow-up (n = 128) served as the reference standard for the final diagnosis. Results: Among the 34 patients, 20, 12, and 2 patients presented with hepatocellular carcinomas, intrahepatic cholangiocarcinomas, and benign hepatic nodules, respectively. The sensitivities of CE-CT, MRI, [68Ga]Ga-FAPI-04, and [18F]-FDG/CT for detecting primary liver tumors were 96%, 100%, 96%, and 65%, respectively. Regarding the diagnosis of all intrahepatic lesions, the per-lesion detection rate of [68Ga]Ga-FAPI-04 PET/CT was slightly lower than that of MRI (85% vs. 100%, P = 0.34) and significantly higher than that of [18F]-FDG PET/CT (85% vs. 52%, P &lt; 0.001). Regarding the diagnosis of all malignant lesions (including extrahepatic disease), the tumor detection rate of [68Ga]Ga-FAPI-04 PET/CT was 87.4%, which was significantly higher than that of [18F]-FDG PET/CT (65.0%, P &lt; 0.001). Conclusions: Our findings indicate that the sensitivity of [68Ga]Ga-FAPI-04 PET/CT to correctly identify primary liver tumors and metastatic lesions is equivalent to that of CE-CT and liver MRI. Moreover, [68Ga]Ga-FAPI-04 PET/CT is better at identifying liver lesions than [18F]-FDG PET/CT, and its use may improve tumor staging, recurrence detection, and implementation of necessary treatment modifications.","author":[{"dropping-particle":"","family":"Guo","given":"Wei","non-dropping-particle":"","parse-names":false,"suffix":""},{"dropping-particle":"","family":"Pang","given":"Yizhen","non-dropping-particle":"","parse-names":false,"suffix":""},{"dropping-particle":"","family":"Yao","given":"Lanlin","non-dropping-particle":"","parse-names":false,"suffix":""},{"dropping-particle":"","family":"Zhao","given":"Liang","non-dropping-particle":"","parse-names":false,"suffix":""},{"dropping-particle":"","family":"Fan","given":"Chunlei","non-dropping-particle":"","parse-names":false,"suffix":""},{"dropping-particle":"","family":"Ke","given":"Jingpeng","non-dropping-particle":"","parse-names":false,"suffix":""},{"dropping-particle":"","family":"Guo","given":"Ping","non-dropping-particle":"","parse-names":false,"suffix":""},{"dropping-particle":"","family":"Hao","given":"Bing","non-dropping-particle":"","parse-names":false,"suffix":""},{"dropping-particle":"","family":"Fu","given":"Hao","non-dropping-particle":"","parse-names":false,"suffix":""},{"dropping-particle":"","family":"Xie","given":"Chengrong","non-dropping-particle":"","parse-names":false,"suffix":""},{"dropping-particle":"","family":"Lin","given":"Qin","non-dropping-particle":"","parse-names":false,"suffix":""},{"dropping-particle":"","family":"Wu","given":"Hua","non-dropping-particle":"","parse-names":false,"suffix":""},{"dropping-particle":"","family":"Sun","given":"Long","non-dropping-particle":"","parse-names":false,"suffix":""},{"dropping-particle":"","family":"Chen","given":"Haojun","non-dropping-particle":"","parse-names":false,"suffix":""}],"container-title":"European Journal of Nuclear Medicine and Molecular Imaging","id":"ITEM-1","issue":"5","issued":{"date-parts":[["2021","5","11"]]},"page":"1604-1617","title":"Imaging fibroblast activation protein in liver cancer: a single-center post hoc retrospective analysis to compare [68Ga]Ga-FAPI-04 PET/CT versus MRI and [18F]-FDG PET/CT","type":"article-journal","volume":"48"},"uris":["http://www.mendeley.com/documents/?uuid=28e39287-56f8-4f31-a238-9daa54d08c96","http://www.mendeley.com/documents/?uuid=bb37cc5f-ad8a-4a33-8b32-e1946de54cbe"]}],"mendeley":{"formattedCitation":"(4)","plainTextFormattedCitation":"(4)","previouslyFormattedCitation":"(4)"},"properties":{"noteIndex":0},"schema":"https://github.com/citation-style-language/schema/raw/master/csl-citation.json"}</w:instrText>
            </w:r>
            <w:r w:rsidRPr="00CB1590">
              <w:rPr>
                <w:rFonts w:ascii="Times" w:hAnsi="Times" w:cs="Calibri"/>
                <w:color w:val="000000" w:themeColor="text1"/>
                <w:sz w:val="18"/>
                <w:szCs w:val="18"/>
                <w:lang w:val="en-GB"/>
              </w:rPr>
              <w:fldChar w:fldCharType="separate"/>
            </w:r>
            <w:r w:rsidR="00BE34B7" w:rsidRPr="00BE34B7">
              <w:rPr>
                <w:rFonts w:ascii="Times" w:hAnsi="Times" w:cs="Calibri"/>
                <w:noProof/>
                <w:color w:val="000000" w:themeColor="text1"/>
                <w:sz w:val="18"/>
                <w:szCs w:val="18"/>
                <w:lang w:val="en-GB"/>
              </w:rPr>
              <w:t>(4)</w:t>
            </w:r>
            <w:r w:rsidRPr="00CB1590">
              <w:rPr>
                <w:rFonts w:ascii="Times" w:hAnsi="Times" w:cs="Calibri"/>
                <w:color w:val="000000" w:themeColor="text1"/>
                <w:sz w:val="18"/>
                <w:szCs w:val="18"/>
                <w:lang w:val="en-GB"/>
              </w:rPr>
              <w:fldChar w:fldCharType="end"/>
            </w:r>
            <w:r w:rsidRPr="00CB1590">
              <w:rPr>
                <w:rFonts w:ascii="Times" w:hAnsi="Times" w:cstheme="minorHAnsi"/>
                <w:color w:val="000000" w:themeColor="text1"/>
                <w:sz w:val="18"/>
                <w:szCs w:val="18"/>
                <w:lang w:val="en-GB"/>
              </w:rPr>
              <w:t>*</w:t>
            </w:r>
          </w:p>
        </w:tc>
        <w:tc>
          <w:tcPr>
            <w:tcW w:w="0" w:type="auto"/>
            <w:vAlign w:val="center"/>
          </w:tcPr>
          <w:p w14:paraId="1F3063A4"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1E6B4BFE"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154F18B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16738B8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69BCA796"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057614C4"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1E074C91"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1911145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3F463A40"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043591A1"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r>
      <w:tr w:rsidR="008E35B3" w:rsidRPr="00CB1590" w14:paraId="7253CC6D" w14:textId="77777777" w:rsidTr="004E2054">
        <w:tc>
          <w:tcPr>
            <w:tcW w:w="0" w:type="auto"/>
            <w:vAlign w:val="center"/>
          </w:tcPr>
          <w:p w14:paraId="7825B3B8" w14:textId="32C3A39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Calibri"/>
                <w:color w:val="000000" w:themeColor="text1"/>
                <w:sz w:val="18"/>
                <w:szCs w:val="18"/>
                <w:lang w:val="en-GB"/>
              </w:rPr>
              <w:t xml:space="preserve">Chen et al. </w:t>
            </w:r>
            <w:r w:rsidRPr="00CB1590">
              <w:rPr>
                <w:rFonts w:ascii="Times" w:hAnsi="Times" w:cs="Calibri"/>
                <w:color w:val="000000" w:themeColor="text1"/>
                <w:sz w:val="18"/>
                <w:szCs w:val="18"/>
                <w:lang w:val="en-GB"/>
              </w:rPr>
              <w:fldChar w:fldCharType="begin" w:fldLock="1"/>
            </w:r>
            <w:r w:rsidR="00A20267">
              <w:rPr>
                <w:rFonts w:ascii="Times" w:hAnsi="Times" w:cs="Calibri"/>
                <w:color w:val="000000" w:themeColor="text1"/>
                <w:sz w:val="18"/>
                <w:szCs w:val="18"/>
                <w:lang w:val="en-GB"/>
              </w:rPr>
              <w:instrText>ADDIN CSL_CITATION {"citationItems":[{"id":"ITEM-1","itemData":{"DOI":"10.1007/s00259-020-04940-6","ISSN":"1619-7089","PMID":"32588089","abstract":"PURPOSE This prospective study aimed to evaluate the potential usefulness of [68Ga]Ga-DOTA-FAPI-04 positron emission tomography/computed tomography (PET/CT) in the oncological evaluation of patients presenting with inconclusive [18F]FDG PET/CT findings. METHODS [68Ga]Ga-DOTA-FAPI-04 was performed in patients presenting with inconclusive [18F]FDG PET/CT findings. Tumour uptake was quantified by the maximum standard uptake value (SUV). Histopathology or follow-up imaging served as the standard for the final diagnosis. RESULTS A total of 68 patients with inconclusive [18F]FDG PET/CT findings underwent additional [68Ga]Ga-DOTA-FAPI-04 PET/CT. Of them, 18 (26.5%) were for discrimination of mass lesions detected on conventional imaging, 6 (8.8%) for detection of the unknown primary site in biopsy-proven metastatic malignancy, 21 (30.9%) for the staging of cancer, and the other 23 (33.8%) for evaluation of suspected disease recurrence. Most of the primary and metastatic lesions demonstrated higher uptake of [68Ga]Ga-DOTA-FAPI-04 than did [18F]FDG, which resulted in favourable tumour-to-background contrast in various types of cancer. As a result, [68Ga]Ga-DOTA-FAPI-04 PET/CT identified suspicious mass lesions with an accuracy of 12/18 (66.7%), detected the primary site in 4/6 patients (66.7%) with unknown malignancy, upgraded tumour staging in 7/21 patients (33.3%), and detected disease recurrence in 20/23 patients (87.0%). CONCLUSIONS In patients undergoing oncological evaluation with inconclusive [18F]FDG PET/CT findings, [68Ga]Ga-DOTA-FAPI-04 may have a complementary role in discriminating mass lesions on conventional imaging, locating the primary site of unknown malignancy, modifying tumour staging, and detecting suspected disease recurrence. Nevertheless, careful attention should be paid when reading the [68Ga]Ga-DOTA-FAPI-04 PET/CT images in tumours complicated with inflammation.","author":[{"dropping-particle":"","family":"Chen","given":"Haojun","non-dropping-particle":"","parse-names":false,"suffix":""},{"dropping-particle":"","family":"Zhao","given":"Liang","non-dropping-particle":"","parse-names":false,"suffix":""},{"dropping-particle":"","family":"Ruan","given":"Dan","non-dropping-particle":"","parse-names":false,"suffix":""},{"dropping-particle":"","family":"Pang","given":"Yizhen","non-dropping-particle":"","parse-names":false,"suffix":""},{"dropping-particle":"","family":"Hao","given":"Bing","non-dropping-particle":"","parse-names":false,"suffix":""},{"dropping-particle":"","family":"Dai","given":"Yaqing","non-dropping-particle":"","parse-names":false,"suffix":""},{"dropping-particle":"","family":"Wu","given":"Xiurong","non-dropping-particle":"","parse-names":false,"suffix":""},{"dropping-particle":"","family":"Guo","given":"Wei","non-dropping-particle":"","parse-names":false,"suffix":""},{"dropping-particle":"","family":"Fan","given":"Chunlei","non-dropping-particle":"","parse-names":false,"suffix":""},{"dropping-particle":"","family":"Wu","given":"Jingxun","non-dropping-particle":"","parse-names":false,"suffix":""},{"dropping-particle":"","family":"Huang","given":"Weipeng","non-dropping-particle":"","parse-names":false,"suffix":""},{"dropping-particle":"","family":"Lin","given":"Qin","non-dropping-particle":"","parse-names":false,"suffix":""},{"dropping-particle":"","family":"Sun","given":"Long","non-dropping-particle":"","parse-names":false,"suffix":""},{"dropping-particle":"","family":"Wu","given":"Hua","non-dropping-particle":"","parse-names":false,"suffix":""}],"container-title":"European journal of nuclear medicine and molecular imaging","id":"ITEM-1","issue":"1","issued":{"date-parts":[["2021","1"]]},"page":"73-86","title":"Usefulness of [68Ga]Ga-DOTA-FAPI-04 PET/CT in patients presenting with inconclusive [18F]FDG PET/CT findings.","type":"article-journal","volume":"48"},"uris":["http://www.mendeley.com/documents/?uuid=8f0faac5-6272-449e-a09a-f224ec796e59","http://www.mendeley.com/documents/?uuid=c5bf0120-dccf-49fe-ae76-7889c60e3d72"]}],"mendeley":{"formattedCitation":"(5)","plainTextFormattedCitation":"(5)","previouslyFormattedCitation":"(5)"},"properties":{"noteIndex":0},"schema":"https://github.com/citation-style-language/schema/raw/master/csl-citation.json"}</w:instrText>
            </w:r>
            <w:r w:rsidRPr="00CB1590">
              <w:rPr>
                <w:rFonts w:ascii="Times" w:hAnsi="Times" w:cs="Calibri"/>
                <w:color w:val="000000" w:themeColor="text1"/>
                <w:sz w:val="18"/>
                <w:szCs w:val="18"/>
                <w:lang w:val="en-GB"/>
              </w:rPr>
              <w:fldChar w:fldCharType="separate"/>
            </w:r>
            <w:r w:rsidR="00BE34B7" w:rsidRPr="00BE34B7">
              <w:rPr>
                <w:rFonts w:ascii="Times" w:hAnsi="Times" w:cs="Calibri"/>
                <w:noProof/>
                <w:color w:val="000000" w:themeColor="text1"/>
                <w:sz w:val="18"/>
                <w:szCs w:val="18"/>
                <w:lang w:val="en-GB"/>
              </w:rPr>
              <w:t>(5)</w:t>
            </w:r>
            <w:r w:rsidRPr="00CB1590">
              <w:rPr>
                <w:rFonts w:ascii="Times" w:hAnsi="Times" w:cs="Calibri"/>
                <w:color w:val="000000" w:themeColor="text1"/>
                <w:sz w:val="18"/>
                <w:szCs w:val="18"/>
                <w:lang w:val="en-GB"/>
              </w:rPr>
              <w:fldChar w:fldCharType="end"/>
            </w:r>
          </w:p>
        </w:tc>
        <w:tc>
          <w:tcPr>
            <w:tcW w:w="0" w:type="auto"/>
            <w:vAlign w:val="center"/>
          </w:tcPr>
          <w:p w14:paraId="596C8A63"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3405CB36"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5D51A8E3"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20C8F73D"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58C1B2C7"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19F47169"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51AF78F3"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53BFD7C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01C58413"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116888C6"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r>
      <w:tr w:rsidR="008E35B3" w:rsidRPr="00B55CEC" w14:paraId="56E0D1F5" w14:textId="77777777" w:rsidTr="004E2054">
        <w:tc>
          <w:tcPr>
            <w:tcW w:w="0" w:type="auto"/>
            <w:vAlign w:val="center"/>
          </w:tcPr>
          <w:p w14:paraId="13D660CB" w14:textId="50316523"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Calibri"/>
                <w:color w:val="000000" w:themeColor="text1"/>
                <w:sz w:val="18"/>
                <w:szCs w:val="18"/>
                <w:lang w:val="en-GB"/>
              </w:rPr>
              <w:t xml:space="preserve">Chen et al. </w:t>
            </w:r>
            <w:r w:rsidRPr="00CB1590">
              <w:rPr>
                <w:rFonts w:ascii="Times" w:hAnsi="Times" w:cs="Calibri"/>
                <w:color w:val="000000" w:themeColor="text1"/>
                <w:sz w:val="18"/>
                <w:szCs w:val="18"/>
                <w:lang w:val="en-GB"/>
              </w:rPr>
              <w:fldChar w:fldCharType="begin" w:fldLock="1"/>
            </w:r>
            <w:r w:rsidR="00A20267">
              <w:rPr>
                <w:rFonts w:ascii="Times" w:hAnsi="Times" w:cs="Calibri"/>
                <w:color w:val="000000" w:themeColor="text1"/>
                <w:sz w:val="18"/>
                <w:szCs w:val="18"/>
                <w:lang w:val="en-GB"/>
              </w:rPr>
              <w:instrText>ADDIN CSL_CITATION {"citationItems":[{"id":"ITEM-1","itemData":{"DOI":"10.1007/s00259-020-04769-z","ISSN":"1619-7070","PMID":"32222810","abstract":"PURPOSE We evaluated the potential usefulness of [68Ga]Ga-DOTA-FAPI-04 positron emission tomography/computed tomography (PET/CT) for the diagnosis of primary and metastatic lesions in various types of cancer, compared with [18F] FDG PET/CT. METHODS A total of 75 patients with various types of cancer underwent contemporaneous [68Ga]Ga-DOTA-FAPI-04 and [18F] FDG PET/CT either for an initial assessment or for recurrence detection. Tumour uptake was quantified by the maximum standard uptake value (SUVmax). The sensitivity, specificity, positive predictive value (PPV), negative predictive value (NPV) and accuracy of [18F] FDG and [68Ga]Ga-DOTA-FAPI-04 PET/CT were calculated and compared to evaluate the diagnostic efficacy. RESULTS The study cohort consisted of 75 patients (47 males and 28 females; median age, 61.5 years; age range, 32-85 years). Fifty-four patients with 12 different tumour entities underwent paired [68Ga]Ga-DOTA-FAPI-04 and [18F] FDG PET/CT for initial assessment, while the other 21 patients underwent paired scans for recurrence detection. [68Ga]Ga-DOTA-FAPI-04 PET/CT was able to clearly identify 12 types of malignant tumours with favourable tumour-to-background contrast, which resulted in a higher detection rate of primary tumours than did [18F] FDG PET/CT (98.2% vs. 82.1%, P = 0.021). Meanwhile, [68Ga]Ga-DOTA-FAPI-04 PET/CT showed a better sensitivity than [18F] FDG PET/CT in the detection of lymph nodes (86.4% vs. 45.5%, P = 0.004) and bone and visceral metastases (83.8% vs. 59.5%, P = 0.004). CONCLUSION [68Ga]Ga-DOTA-FAPI-04 PET/CT showed a superior diagnostic efficacy than [18F] FDG PET/CT for the diagnosis of primary and metastatic lesions in patients with various types of cancer, especially in identifying liver metastases, peritoneal carcinomatosis, and brain tumours.","author":[{"dropping-particle":"","family":"Chen","given":"Haojun","non-dropping-particle":"","parse-names":false,"suffix":""},{"dropping-particle":"","family":"Pang","given":"Yizhen","non-dropping-particle":"","parse-names":false,"suffix":""},{"dropping-particle":"","family":"Wu","given":"Jingxun","non-dropping-particle":"","parse-names":false,"suffix":""},{"dropping-particle":"","family":"Zhao","given":"Liang","non-dropping-particle":"","parse-names":false,"suffix":""},{"dropping-particle":"","family":"Hao","given":"Bing","non-dropping-particle":"","parse-names":false,"suffix":""},{"dropping-particle":"","family":"Wu","given":"Jing","non-dropping-particle":"","parse-names":false,"suffix":""},{"dropping-particle":"","family":"Wei","given":"Jihong","non-dropping-particle":"","parse-names":false,"suffix":""},{"dropping-particle":"","family":"Wu","given":"Siming","non-dropping-particle":"","parse-names":false,"suffix":""},{"dropping-particle":"","family":"Zhao","given":"Long","non-dropping-particle":"","parse-names":false,"suffix":""},{"dropping-particle":"","family":"Luo","given":"Zuoming","non-dropping-particle":"","parse-names":false,"suffix":""},{"dropping-particle":"","family":"Lin","given":"Xuehua","non-dropping-particle":"","parse-names":false,"suffix":""},{"dropping-particle":"","family":"Xie","given":"Chengrong","non-dropping-particle":"","parse-names":false,"suffix":""},{"dropping-particle":"","family":"Sun","given":"Long","non-dropping-particle":"","parse-names":false,"suffix":""},{"dropping-particle":"","family":"Lin","given":"Qin","non-dropping-particle":"","parse-names":false,"suffix":""},{"dropping-particle":"","family":"Wu","given":"Hua","non-dropping-particle":"","parse-names":false,"suffix":""}],"container-title":"European Journal of Nuclear Medicine and Molecular Imaging","id":"ITEM-1","issue":"8","issued":{"date-parts":[["2020","7","28"]]},"page":"1820-1832","publisher":"Eur J Nucl Med Mol Imaging","title":"Comparison of [68Ga]Ga-DOTA-FAPI-04 and [18F] FDG PET/CT for the diagnosis of primary and metastatic lesions in patients with various types of cancer","type":"article-journal","volume":"47"},"uris":["http://www.mendeley.com/documents/?uuid=e34c1e55-4f6f-4d96-88e6-5b423ff69510","http://www.mendeley.com/documents/?uuid=671a57a6-02f3-3d6c-a05e-ca044a4386b9"]}],"mendeley":{"formattedCitation":"(6)","plainTextFormattedCitation":"(6)","previouslyFormattedCitation":"(6)"},"properties":{"noteIndex":0},"schema":"https://github.com/citation-style-language/schema/raw/master/csl-citation.json"}</w:instrText>
            </w:r>
            <w:r w:rsidRPr="00CB1590">
              <w:rPr>
                <w:rFonts w:ascii="Times" w:hAnsi="Times" w:cs="Calibri"/>
                <w:color w:val="000000" w:themeColor="text1"/>
                <w:sz w:val="18"/>
                <w:szCs w:val="18"/>
                <w:lang w:val="en-GB"/>
              </w:rPr>
              <w:fldChar w:fldCharType="separate"/>
            </w:r>
            <w:r w:rsidR="00BE34B7" w:rsidRPr="00BE34B7">
              <w:rPr>
                <w:rFonts w:ascii="Times" w:hAnsi="Times" w:cs="Calibri"/>
                <w:noProof/>
                <w:color w:val="000000" w:themeColor="text1"/>
                <w:sz w:val="18"/>
                <w:szCs w:val="18"/>
                <w:lang w:val="en-GB"/>
              </w:rPr>
              <w:t>(6)</w:t>
            </w:r>
            <w:r w:rsidRPr="00CB1590">
              <w:rPr>
                <w:rFonts w:ascii="Times" w:hAnsi="Times" w:cs="Calibri"/>
                <w:color w:val="000000" w:themeColor="text1"/>
                <w:sz w:val="18"/>
                <w:szCs w:val="18"/>
                <w:lang w:val="en-GB"/>
              </w:rPr>
              <w:fldChar w:fldCharType="end"/>
            </w:r>
          </w:p>
        </w:tc>
        <w:tc>
          <w:tcPr>
            <w:tcW w:w="0" w:type="auto"/>
            <w:vAlign w:val="center"/>
          </w:tcPr>
          <w:p w14:paraId="224C1481"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5BBB5AA6"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3D917E94"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11B1B94D"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6A1E8807"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30555234"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543F70AD"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20D28A3F"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480E4DDB"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67CDA286"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r>
      <w:tr w:rsidR="008E35B3" w:rsidRPr="00CB1590" w14:paraId="7F582D9F" w14:textId="77777777" w:rsidTr="004E2054">
        <w:tc>
          <w:tcPr>
            <w:tcW w:w="0" w:type="auto"/>
            <w:vAlign w:val="center"/>
          </w:tcPr>
          <w:p w14:paraId="09E397B2" w14:textId="5E0A2094" w:rsidR="008E35B3" w:rsidRPr="00CB1590" w:rsidRDefault="008E35B3" w:rsidP="004E2054">
            <w:pPr>
              <w:spacing w:line="360" w:lineRule="auto"/>
              <w:jc w:val="center"/>
              <w:rPr>
                <w:rFonts w:ascii="Times" w:hAnsi="Times" w:cstheme="minorHAnsi"/>
                <w:color w:val="000000" w:themeColor="text1"/>
                <w:sz w:val="18"/>
                <w:szCs w:val="18"/>
                <w:lang w:val="en-GB"/>
              </w:rPr>
            </w:pPr>
            <w:proofErr w:type="spellStart"/>
            <w:r w:rsidRPr="00CB1590">
              <w:rPr>
                <w:rFonts w:ascii="Times" w:hAnsi="Times" w:cs="Calibri"/>
                <w:color w:val="000000" w:themeColor="text1"/>
                <w:sz w:val="18"/>
                <w:szCs w:val="18"/>
                <w:lang w:val="en-GB"/>
              </w:rPr>
              <w:t>Serfling</w:t>
            </w:r>
            <w:proofErr w:type="spellEnd"/>
            <w:r w:rsidRPr="00CB1590">
              <w:rPr>
                <w:rFonts w:ascii="Times" w:hAnsi="Times" w:cs="Calibri"/>
                <w:color w:val="000000" w:themeColor="text1"/>
                <w:sz w:val="18"/>
                <w:szCs w:val="18"/>
                <w:lang w:val="en-GB"/>
              </w:rPr>
              <w:t xml:space="preserve"> S et al, 2020 </w:t>
            </w:r>
            <w:r w:rsidRPr="00CB1590">
              <w:rPr>
                <w:rFonts w:ascii="Times" w:hAnsi="Times" w:cs="Calibri"/>
                <w:color w:val="000000" w:themeColor="text1"/>
                <w:sz w:val="18"/>
                <w:szCs w:val="18"/>
                <w:lang w:val="en-GB"/>
              </w:rPr>
              <w:fldChar w:fldCharType="begin" w:fldLock="1"/>
            </w:r>
            <w:r w:rsidR="00A20267">
              <w:rPr>
                <w:rFonts w:ascii="Times" w:hAnsi="Times" w:cs="Calibri"/>
                <w:color w:val="000000" w:themeColor="text1"/>
                <w:sz w:val="18"/>
                <w:szCs w:val="18"/>
                <w:lang w:val="en-GB"/>
              </w:rPr>
              <w:instrText>ADDIN CSL_CITATION {"citationItems":[{"id":"ITEM-1","itemData":{"DOI":"10.1007/s00259-020-05055-8","ISSN":"1619-7070","abstract":"Purpose: In cancer of unknown primary (CUP), positron emission tomography/computed tomography (PET/CT) with the glucose analog [18F]FDG represents the standard imaging approach for localization of the malignant primary. Frequently, however, [18F]FDG PET/CT cannot precisely distinguish between small occult tumors and chronic inflammation, especially in Waldeyer’s tonsillar ring. To improve the accuracy for detecting primary tumors in the Waldeyer’s tonsillar ring, the novel PET tracer [68Ga]Ga-FAPI-4 for specific imaging of fibroblast activation protein (FAP) expression was used as a more specific target for cancer imaging. Methods: Eight patients with suspicion of a malignant tumor in Waldeyer’s tonsillar ring or a CUP syndrome were examined. PET/CT scans with [18F]-FDG and [68Ga]Ga-FAPI-4 were performed for pre-operative tumor localization. After surgical resection, histopathological and immunohistochemical results were compared to PET/CT findings. Results: Histopathology revealed a palatine or lingual tonsil carcinoma in all patients. In case of lymph node metastases smaller than 7 mm in size, the [18F]FDG PET/CT detection rate of cervical lymph node metastases was higher than that of [68Ga]FAPI PET/CT, while both tracers identified the primary tumors in all eight cases. The size of the primary and the lymph node metastases was directly correlated to the respective FAP expression, as detected by immunohistochemistry. The mean SUVmax for the primary tumors was 21.29 ± 7.97 for 18F-FDG and 16.06 ± 6.29 for 68Ga-FAPI, respectively (p = 0.2). The mean SUVmax for the healthy contralateral tonsils was 8.38 ± 2.45 for [18F]FDG and 3.55 ± 0.47 for [68Ga]FAPI (p &lt; 0.001). The SUVmax ratio of [68Ga]FAPI was significantly different from [18F] FDG (p = 0.03). Mean TBRmax for the [68Ga]Ga-FAPI-4 tracer was markedly higher in comparison to [18F]FDG (10.90 vs. 4.11). Conclusion: Non-invasive imaging of FAP expression by [68Ga]FAPI PET/CT resulted in a better visual detection of the malignant primary in CUP, as compared to [18F]FDG imaging. However, the detection rate of lymph node metastases was inferior, presumably due to low FAP expression in small metastases. Nevertheless, by offering a detection method for primary tumors with the potential of lower false positive rates and thus avoiding biopsies, patients with CUP syndrome may benefit from [68Ga]FAPI PET/CT imaging.","author":[{"dropping-particle":"","family":"Serfling","given":"S.","non-dropping-particle":"","parse-names":false,"suffix":""},{"dropping-particle":"","family":"Zhi","given":"Y.","non-dropping-particle":"","parse-names":false,"suffix":""},{"dropping-particle":"","family":"Schirbel","given":"A.","non-dropping-particle":"","parse-names":false,"suffix":""},{"dropping-particle":"","family":"Lindner","given":"T.","non-dropping-particle":"","parse-names":false,"suffix":""},{"dropping-particle":"","family":"Meyer","given":"T.","non-dropping-particle":"","parse-names":false,"suffix":""},{"dropping-particle":"","family":"Gerhard-Hartmann","given":"E.","non-dropping-particle":"","parse-names":false,"suffix":""},{"dropping-particle":"","family":"Lapa","given":"C.","non-dropping-particle":"","parse-names":false,"suffix":""},{"dropping-particle":"","family":"Hagen","given":"R.","non-dropping-particle":"","parse-names":false,"suffix":""},{"dropping-particle":"","family":"Hackenberg","given":"S.","non-dropping-particle":"","parse-names":false,"suffix":""},{"dropping-particle":"","family":"Buck","given":"A. K.","non-dropping-particle":"","parse-names":false,"suffix":""},{"dropping-particle":"","family":"Scherzad","given":"A.","non-dropping-particle":"","parse-names":false,"suffix":""}],"container-title":"European Journal of Nuclear Medicine and Molecular Imaging","id":"ITEM-1","issue":"4","issued":{"date-parts":[["2021","4","15"]]},"page":"1178-1187","title":"Improved cancer detection in Waldeyer’s tonsillar ring by 68Ga-FAPI PET/CT imaging","type":"article-journal","volume":"48"},"uris":["http://www.mendeley.com/documents/?uuid=e2110f47-b346-48e7-8375-adc7abb1f8cc","http://www.mendeley.com/documents/?uuid=1183c9b6-e962-4a31-bc0b-d8ea0d559429"]}],"mendeley":{"formattedCitation":"(7)","plainTextFormattedCitation":"(7)","previouslyFormattedCitation":"(7)"},"properties":{"noteIndex":0},"schema":"https://github.com/citation-style-language/schema/raw/master/csl-citation.json"}</w:instrText>
            </w:r>
            <w:r w:rsidRPr="00CB1590">
              <w:rPr>
                <w:rFonts w:ascii="Times" w:hAnsi="Times" w:cs="Calibri"/>
                <w:color w:val="000000" w:themeColor="text1"/>
                <w:sz w:val="18"/>
                <w:szCs w:val="18"/>
                <w:lang w:val="en-GB"/>
              </w:rPr>
              <w:fldChar w:fldCharType="separate"/>
            </w:r>
            <w:r w:rsidR="00BE34B7" w:rsidRPr="00BE34B7">
              <w:rPr>
                <w:rFonts w:ascii="Times" w:hAnsi="Times" w:cs="Calibri"/>
                <w:noProof/>
                <w:color w:val="000000" w:themeColor="text1"/>
                <w:sz w:val="18"/>
                <w:szCs w:val="18"/>
                <w:lang w:val="en-GB"/>
              </w:rPr>
              <w:t>(7)</w:t>
            </w:r>
            <w:r w:rsidRPr="00CB1590">
              <w:rPr>
                <w:rFonts w:ascii="Times" w:hAnsi="Times" w:cs="Calibri"/>
                <w:color w:val="000000" w:themeColor="text1"/>
                <w:sz w:val="18"/>
                <w:szCs w:val="18"/>
                <w:lang w:val="en-GB"/>
              </w:rPr>
              <w:fldChar w:fldCharType="end"/>
            </w:r>
          </w:p>
        </w:tc>
        <w:tc>
          <w:tcPr>
            <w:tcW w:w="0" w:type="auto"/>
            <w:vAlign w:val="center"/>
          </w:tcPr>
          <w:p w14:paraId="7B3F4C8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466787BF"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0CCF86ED"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1077F217"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648F147A"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6011680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16D0E156"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66615F54"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4093177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65F83D6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r>
      <w:tr w:rsidR="008E35B3" w:rsidRPr="00CB1590" w14:paraId="6BCD34CB" w14:textId="77777777" w:rsidTr="004E2054">
        <w:tc>
          <w:tcPr>
            <w:tcW w:w="0" w:type="auto"/>
            <w:vAlign w:val="center"/>
          </w:tcPr>
          <w:p w14:paraId="74DB161C" w14:textId="6E91CFE6"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Calibri"/>
                <w:color w:val="000000" w:themeColor="text1"/>
                <w:sz w:val="18"/>
                <w:szCs w:val="18"/>
                <w:lang w:val="en-GB"/>
              </w:rPr>
              <w:t xml:space="preserve">Qin C et al, 2021 </w:t>
            </w:r>
            <w:r w:rsidRPr="00CB1590">
              <w:rPr>
                <w:rFonts w:ascii="Times" w:hAnsi="Times" w:cs="Calibri"/>
                <w:color w:val="000000" w:themeColor="text1"/>
                <w:sz w:val="18"/>
                <w:szCs w:val="18"/>
                <w:lang w:val="en-GB"/>
              </w:rPr>
              <w:fldChar w:fldCharType="begin" w:fldLock="1"/>
            </w:r>
            <w:r w:rsidR="00A20267">
              <w:rPr>
                <w:rFonts w:ascii="Times" w:hAnsi="Times" w:cs="Calibri"/>
                <w:color w:val="000000" w:themeColor="text1"/>
                <w:sz w:val="18"/>
                <w:szCs w:val="18"/>
                <w:lang w:val="en-GB"/>
              </w:rPr>
              <w:instrText>ADDIN CSL_CITATION {"citationItems":[{"id":"ITEM-1","itemData":{"DOI":"10.1007/s00259-021-05255-w","ISSN":"1619-7070","abstract":"Purpose: To conduct a head-to-head comparison of the diagnostic ability of 68Ga-DOTA-FAPI-04 (68Ga-FAPI) and 18F-FDG PET/MR in nasopharyngeal carcinoma (NPC) patients. Methods: Patients diagnosed with NPC were prospectively enrolled. All patients underwent head-and-neck 68Ga-FAPI PET/MR and 18F-FDG PET/MR within 1 week. Primary tumor, lymph node numbers, and tracer uptake were compared by SUVmax and visual evaluation. The primary tumor volumes derived from 68Ga-FAPI, 18F-FDG PET, and MRI were also compared. Results: Fifteen patients were enrolled from June to August 2020. Both 68Ga-FAPI and 18F-FDG PET had 100% detection rate of the primary tumor. The 68Ga-FAPI SUVmax of primary tumors (13.87 ± 5.13) was lower than that of 18F-FDG (17.73 ± 6.84), but the difference was not significant (p = 0.078). Compared with 18F-FDG, 68Ga-FAPI PET improved the delineation of skull-base invasion in eight out of eight patients and intracranial invasion in four out of four patients. When 25%SUVmax of 68Ga-FAPI or 20%SUVmax of 18F-FDG was utilized as a threshold for determining tumor volume, it was highly consistent with MRI. 18F-FDG PET detected much more positive lymph nodes than 68Ga-FAPI (100 vs 48). The SUVmax of 48 paired lymph nodes was significantly lower on 68Ga-FAPI than 18F-FDG (8.67 ± 3.88 vs 11.79 ± 6.17, p &lt; 0.001). Additionally, 68Ga-FAPI further detected four highly suspected small, distant metastases in three patients. Compared with 18F-FDG, 68Ga-FAPI changed overall staging in six of fifteen patients, with three patients being up-staged, and three down-staged. Conclusion: 68Ga-FAPI outperforms 18F-FDG in delineating the primary tumor and detecting suspected distant metastases, particularly in the evaluation of skull-base and intracranial invasion, suggesting 68Ga-FAPI hybrid PET/MR has the potential to serve as a single-step staging modality for patients with NPC. However, its value regarding lymph node and distant metastases evaluation needs further study. Trial registration: NCT04554719. Registered September 8, 2020 - retrospectively registered, http://clinicaltrails.gov/show/NCT04554719.","author":[{"dropping-particle":"","family":"Qin","given":"Chunxia","non-dropping-particle":"","parse-names":false,"suffix":""},{"dropping-particle":"","family":"Liu","given":"Fang","non-dropping-particle":"","parse-names":false,"suffix":""},{"dropping-particle":"","family":"Huang","given":"Jing","non-dropping-particle":"","parse-names":false,"suffix":""},{"dropping-particle":"","family":"Ruan","given":"Weiwei","non-dropping-particle":"","parse-names":false,"suffix":""},{"dropping-particle":"","family":"Liu","given":"Qingyao","non-dropping-particle":"","parse-names":false,"suffix":""},{"dropping-particle":"","family":"Gai","given":"Yongkang","non-dropping-particle":"","parse-names":false,"suffix":""},{"dropping-particle":"","family":"Hu","given":"Fan","non-dropping-particle":"","parse-names":false,"suffix":""},{"dropping-particle":"","family":"Jiang","given":"Dawei","non-dropping-particle":"","parse-names":false,"suffix":""},{"dropping-particle":"","family":"Hu","given":"Yu","non-dropping-particle":"","parse-names":false,"suffix":""},{"dropping-particle":"","family":"Yang","given":"Kunyu","non-dropping-particle":"","parse-names":false,"suffix":""},{"dropping-particle":"","family":"Lan","given":"Xiaoli","non-dropping-particle":"","parse-names":false,"suffix":""}],"container-title":"European Journal of Nuclear Medicine and Molecular Imaging","id":"ITEM-1","issued":{"date-parts":[["2021","2","20"]]},"title":"A head-to-head comparison of 68Ga-DOTA-FAPI-04 and 18F-FDG PET/MR in patients with nasopharyngeal carcinoma: a prospective study","type":"article-journal"},"uris":["http://www.mendeley.com/documents/?uuid=5177a298-ab50-4dd3-99d1-91a230740696","http://www.mendeley.com/documents/?uuid=51f2de78-be59-4197-aafb-00a3bdda81cf"]}],"mendeley":{"formattedCitation":"(8)","plainTextFormattedCitation":"(8)","previouslyFormattedCitation":"(8)"},"properties":{"noteIndex":0},"schema":"https://github.com/citation-style-language/schema/raw/master/csl-citation.json"}</w:instrText>
            </w:r>
            <w:r w:rsidRPr="00CB1590">
              <w:rPr>
                <w:rFonts w:ascii="Times" w:hAnsi="Times" w:cs="Calibri"/>
                <w:color w:val="000000" w:themeColor="text1"/>
                <w:sz w:val="18"/>
                <w:szCs w:val="18"/>
                <w:lang w:val="en-GB"/>
              </w:rPr>
              <w:fldChar w:fldCharType="separate"/>
            </w:r>
            <w:r w:rsidR="00BE34B7" w:rsidRPr="00BE34B7">
              <w:rPr>
                <w:rFonts w:ascii="Times" w:hAnsi="Times" w:cs="Calibri"/>
                <w:noProof/>
                <w:color w:val="000000" w:themeColor="text1"/>
                <w:sz w:val="18"/>
                <w:szCs w:val="18"/>
                <w:lang w:val="en-GB"/>
              </w:rPr>
              <w:t>(8)</w:t>
            </w:r>
            <w:r w:rsidRPr="00CB1590">
              <w:rPr>
                <w:rFonts w:ascii="Times" w:hAnsi="Times" w:cs="Calibri"/>
                <w:color w:val="000000" w:themeColor="text1"/>
                <w:sz w:val="18"/>
                <w:szCs w:val="18"/>
                <w:lang w:val="en-GB"/>
              </w:rPr>
              <w:fldChar w:fldCharType="end"/>
            </w:r>
          </w:p>
        </w:tc>
        <w:tc>
          <w:tcPr>
            <w:tcW w:w="0" w:type="auto"/>
            <w:vAlign w:val="center"/>
          </w:tcPr>
          <w:p w14:paraId="13EC1900"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6387CCF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6BCF3A3B"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07F9D81B"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16E4423A"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4DCD6A4F"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5C743E3A"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728415A1"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503EA42B"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0E2CE801"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r>
      <w:tr w:rsidR="008E35B3" w:rsidRPr="00CB1590" w14:paraId="02972CF5" w14:textId="77777777" w:rsidTr="004E2054">
        <w:tc>
          <w:tcPr>
            <w:tcW w:w="0" w:type="auto"/>
            <w:vAlign w:val="center"/>
          </w:tcPr>
          <w:p w14:paraId="3A6F460F" w14:textId="1D099982"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Calibri"/>
                <w:color w:val="000000" w:themeColor="text1"/>
                <w:sz w:val="18"/>
                <w:szCs w:val="18"/>
                <w:lang w:val="en-GB"/>
              </w:rPr>
              <w:t>Zhao et al.  (2)</w:t>
            </w:r>
            <w:r w:rsidRPr="00CB1590">
              <w:rPr>
                <w:rFonts w:ascii="Times" w:hAnsi="Times" w:cs="Calibri"/>
                <w:color w:val="000000" w:themeColor="text1"/>
                <w:sz w:val="18"/>
                <w:szCs w:val="18"/>
                <w:lang w:val="en-GB"/>
              </w:rPr>
              <w:fldChar w:fldCharType="begin" w:fldLock="1"/>
            </w:r>
            <w:r w:rsidR="00A20267">
              <w:rPr>
                <w:rFonts w:ascii="Times" w:hAnsi="Times" w:cs="Calibri"/>
                <w:color w:val="000000" w:themeColor="text1"/>
                <w:sz w:val="18"/>
                <w:szCs w:val="18"/>
                <w:lang w:val="en-GB"/>
              </w:rPr>
              <w:instrText>ADDIN CSL_CITATION {"citationItems":[{"id":"ITEM-1","itemData":{"DOI":"10.1007/s00259-020-05146-6","ISSN":"1619-7070","abstract":"Purpose: The aim of this study was to explore the role of [68Ga]Ga-DOTA-FAPI-04 positron emission tomography/computed tomography (PET/CT), compared with 18F-fluorodeoxyglucose [18F]-FDG PET/CT, for evaluating peritoneal carcinomatosis in patients with various types of cancer. Methods: Patients with suspected peritoneal malignancy, who underwent both [18F]-FDG and [68Ga]Ga-DOTA-FAPI-04 PET/CT between October 2019 and August 2020, were retrospectively analysed. The radiotracer uptake, peritoneal cancer index (PCI) score, and diagnostic performance of [18F]-FDG and [68Ga]Ga-DOTA-FAPI-04 PET/CT were evaluated and compared. Results: Our cohort consisted of 46 patients, including 16 patients with diffuse-type peritoneal carcinomatosis, 27 with nodular-type peritoneal carcinomatosis, and 3 true-negative patients. A significant difference in standard uptake values (SUV) of lesions between [18F]-FDG and [68Ga]Ga-DOTA-FAPI-04 PET/CT examination was observed (median SUV: 3.48 vs. 9.82; P &lt; 0.001), particularly in peritoneal carcinomatosis from gastric cancer (median SUV: 3.44 vs. 8.05; P = 0.001). Moreover, [68Ga]Ga-DOTA-FAPI-04 PET/CT showed a higher PCI score and better sensitivity than [18F]-FDG PET/CT for the detection of peritoneal carcinomatosis (6 vs. 18; P &lt; 0.001; 72.09% vs. 97.67%; P = 0.002). Conclusion: [68Ga]Ga-DOTA-FAPI-04 PET/CT demonstrated superior sensitivity over [18F]-FDG PET/CT for the detection of peritoneal carcinomatosis in patients with various types of cancer, particularly gastric cancer. Furthermore, the uptake of [68Ga]Ga-DOTA-FAPI-04 in peritoneal carcinomatosis was significantly higher than that of [18F]-FDG, demonstrating a larger extent of the lesions and yielding a higher PCI score. This could help enhance the image contrast, improve physicians’ diagnostic confidence, and reduce the proportion of missed diagnoses.","author":[{"dropping-particle":"","family":"Zhao","given":"Liang","non-dropping-particle":"","parse-names":false,"suffix":""},{"dropping-particle":"","family":"Pang","given":"Yizhen","non-dropping-particle":"","parse-names":false,"suffix":""},{"dropping-particle":"","family":"Luo","given":"Zuoming","non-dropping-particle":"","parse-names":false,"suffix":""},{"dropping-particle":"","family":"Fu","given":"Kaili","non-dropping-particle":"","parse-names":false,"suffix":""},{"dropping-particle":"","family":"Yang","given":"Tingting","non-dropping-particle":"","parse-names":false,"suffix":""},{"dropping-particle":"","family":"Zhao","given":"Long","non-dropping-particle":"","parse-names":false,"suffix":""},{"dropping-particle":"","family":"Sun","given":"Long","non-dropping-particle":"","parse-names":false,"suffix":""},{"dropping-particle":"","family":"Wu","given":"Hua","non-dropping-particle":"","parse-names":false,"suffix":""},{"dropping-particle":"","family":"Lin","given":"Qin","non-dropping-particle":"","parse-names":false,"suffix":""},{"dropping-particle":"","family":"Chen","given":"Haojun","non-dropping-particle":"","parse-names":false,"suffix":""}],"container-title":"European Journal of Nuclear Medicine and Molecular Imaging","id":"ITEM-1","issue":"6","issued":{"date-parts":[["2021","6","7"]]},"page":"1944-1955","title":"Role of [68Ga]Ga-DOTA-FAPI-04 PET/CT in the evaluation of peritoneal carcinomatosis and comparison with [18F]-FDG PET/CT","type":"article-journal","volume":"48"},"uris":["http://www.mendeley.com/documents/?uuid=b27e3f3e-3aa6-45b5-a5ea-589e5bf9d53c","http://www.mendeley.com/documents/?uuid=f5556c84-db48-4d1c-bad2-098d1171fe74"]}],"mendeley":{"formattedCitation":"(9)","plainTextFormattedCitation":"(9)","previouslyFormattedCitation":"(9)"},"properties":{"noteIndex":0},"schema":"https://github.com/citation-style-language/schema/raw/master/csl-citation.json"}</w:instrText>
            </w:r>
            <w:r w:rsidRPr="00CB1590">
              <w:rPr>
                <w:rFonts w:ascii="Times" w:hAnsi="Times" w:cs="Calibri"/>
                <w:color w:val="000000" w:themeColor="text1"/>
                <w:sz w:val="18"/>
                <w:szCs w:val="18"/>
                <w:lang w:val="en-GB"/>
              </w:rPr>
              <w:fldChar w:fldCharType="separate"/>
            </w:r>
            <w:r w:rsidR="00BE34B7" w:rsidRPr="00BE34B7">
              <w:rPr>
                <w:rFonts w:ascii="Times" w:hAnsi="Times" w:cs="Calibri"/>
                <w:noProof/>
                <w:color w:val="000000" w:themeColor="text1"/>
                <w:sz w:val="18"/>
                <w:szCs w:val="18"/>
                <w:lang w:val="en-GB"/>
              </w:rPr>
              <w:t>(9)</w:t>
            </w:r>
            <w:r w:rsidRPr="00CB1590">
              <w:rPr>
                <w:rFonts w:ascii="Times" w:hAnsi="Times" w:cs="Calibri"/>
                <w:color w:val="000000" w:themeColor="text1"/>
                <w:sz w:val="18"/>
                <w:szCs w:val="18"/>
                <w:lang w:val="en-GB"/>
              </w:rPr>
              <w:fldChar w:fldCharType="end"/>
            </w:r>
            <w:r w:rsidRPr="00CB1590">
              <w:rPr>
                <w:rFonts w:ascii="Times" w:hAnsi="Times" w:cstheme="minorHAnsi"/>
                <w:color w:val="000000" w:themeColor="text1"/>
                <w:sz w:val="18"/>
                <w:szCs w:val="18"/>
                <w:lang w:val="en-GB"/>
              </w:rPr>
              <w:t>*</w:t>
            </w:r>
          </w:p>
        </w:tc>
        <w:tc>
          <w:tcPr>
            <w:tcW w:w="0" w:type="auto"/>
            <w:vAlign w:val="center"/>
          </w:tcPr>
          <w:p w14:paraId="59DF801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6E41FFF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7505B27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769C9CA7"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7132A4A2"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3EE2BF5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1BD2E9B0"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055BB532"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2A42F1BE"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6540D0CD"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r>
      <w:tr w:rsidR="008E35B3" w:rsidRPr="00CB1590" w14:paraId="36783EDE" w14:textId="77777777" w:rsidTr="004E2054">
        <w:tc>
          <w:tcPr>
            <w:tcW w:w="0" w:type="auto"/>
            <w:vAlign w:val="center"/>
          </w:tcPr>
          <w:p w14:paraId="7CA4565E" w14:textId="204CD3DF"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Calibri"/>
                <w:color w:val="000000" w:themeColor="text1"/>
                <w:sz w:val="18"/>
                <w:szCs w:val="18"/>
                <w:lang w:val="en-GB"/>
              </w:rPr>
              <w:t xml:space="preserve">Zhao et al. </w:t>
            </w:r>
            <w:r w:rsidRPr="00CB1590">
              <w:rPr>
                <w:rFonts w:ascii="Times" w:hAnsi="Times" w:cs="Calibri"/>
                <w:color w:val="000000" w:themeColor="text1"/>
                <w:sz w:val="18"/>
                <w:szCs w:val="18"/>
                <w:lang w:val="en-GB"/>
              </w:rPr>
              <w:fldChar w:fldCharType="begin" w:fldLock="1"/>
            </w:r>
            <w:r w:rsidR="00A20267">
              <w:rPr>
                <w:rFonts w:ascii="Times" w:hAnsi="Times" w:cs="Calibri"/>
                <w:color w:val="000000" w:themeColor="text1"/>
                <w:sz w:val="18"/>
                <w:szCs w:val="18"/>
                <w:lang w:val="en-GB"/>
              </w:rPr>
              <w:instrText>ADDIN CSL_CITATION {"citationItems":[{"id":"ITEM-1","itemData":{"DOI":"10.1016/j.radonc.2021.02.015","ISSN":"01678140","PMID":"33621587","abstract":"Background and purpose: To compare 68Ga-fibroblast activation protein inhibitor (FAPI) and 18F-FDG PET/CT in imaging locally advanced oesophageal cancer, and evaluate the potential usefulness of 68Ga-FAPI PET/CT on gross target volume (GTV) delineation aimed at radiotherapy planning for oesophageal cancer as compared with contrast-enhanced CT (CE-CT) and 18F-FDG PET/CT. Materials and methods: Twenty-one patients with newly diagnosed oesophageal cancer who underwent both 18F-FDG and 68Ga-FAPI PET/CT scans were selected. GTVs of the primary tumours based on CE-CT (GTVCT), PET/CT, and CE-CT plus PET/CT were delineated. Gross tumour lengths were measured by GTVs and endoscopy and recorded. Results: The 68Ga-FAPI PET showed significantly higher radiotracer uptake than 18F-FDG PET (median SUVmax 16.71 vs. 11.23; P = 0.002) in the primary tumours. SUV thresholds of FAPI ×20%, 30%, 40%, and FDG ×40% showed similar lesion lengths compared with that in endoscopic examination (P &gt; 0.05). GTVCT demonstrated the largest volume (median: 48.80 mm3, range: 14.83–162.23 mm3) than PET-based GTVs. For PET/CT-guided complementary contouring of GTVCT, four patients (19%) were increased by FAPI ×20% and 30%, two patients (9.5%) were increased by FAPI ×40%, and only one patient was increased by FDG ×40%. Furthermore, the volume of GTV based on CE-CT plus FAPI ×20%, 30%, and 40% showed no significant difference with GTVCT and planning target volume based CE-CT plus FAPI-PET and meets the organ at risk standard. Conclusion: The 68Ga-FAPI PET/CT methodology showed favourable tumour-to-background contrast in oesophageal cancer and might provide additional information for target volume delineation and help avoid tumour geographic misses.","author":[{"dropping-particle":"","family":"Zhao","given":"Liang","non-dropping-particle":"","parse-names":false,"suffix":""},{"dropping-particle":"","family":"Chen","given":"Shanyu","non-dropping-particle":"","parse-names":false,"suffix":""},{"dropping-particle":"","family":"Chen","given":"Sijia","non-dropping-particle":"","parse-names":false,"suffix":""},{"dropping-particle":"","family":"Pang","given":"Yizhen","non-dropping-particle":"","parse-names":false,"suffix":""},{"dropping-particle":"","family":"Dai","given":"Yaqing","non-dropping-particle":"","parse-names":false,"suffix":""},{"dropping-particle":"","family":"Hu","given":"Shenping","non-dropping-particle":"","parse-names":false,"suffix":""},{"dropping-particle":"","family":"Lin","given":"Li'e","non-dropping-particle":"","parse-names":false,"suffix":""},{"dropping-particle":"","family":"Fu","given":"Lirong","non-dropping-particle":"","parse-names":false,"suffix":""},{"dropping-particle":"","family":"Sun","given":"Long","non-dropping-particle":"","parse-names":false,"suffix":""},{"dropping-particle":"","family":"Wu","given":"Hua","non-dropping-particle":"","parse-names":false,"suffix":""},{"dropping-particle":"","family":"Chen","given":"Haojun","non-dropping-particle":"","parse-names":false,"suffix":""},{"dropping-particle":"","family":"Lin","given":"Qin","non-dropping-particle":"","parse-names":false,"suffix":""}],"container-title":"Radiotherapy and Oncology","id":"ITEM-1","issued":{"date-parts":[["2021","5"]]},"page":"55-61","title":"68Ga-fibroblast activation protein inhibitor PET/CT on gross tumour volume delineation for radiotherapy planning of oesophageal cancer","type":"article-journal","volume":"158"},"uris":["http://www.mendeley.com/documents/?uuid=d430e54b-28f7-4a5c-83ef-51ec770cf6a8","http://www.mendeley.com/documents/?uuid=b9e4dc5c-8f0a-46ce-bef5-db1f751c770b"]}],"mendeley":{"formattedCitation":"(10)","plainTextFormattedCitation":"(10)","previouslyFormattedCitation":"(10)"},"properties":{"noteIndex":0},"schema":"https://github.com/citation-style-language/schema/raw/master/csl-citation.json"}</w:instrText>
            </w:r>
            <w:r w:rsidRPr="00CB1590">
              <w:rPr>
                <w:rFonts w:ascii="Times" w:hAnsi="Times" w:cs="Calibri"/>
                <w:color w:val="000000" w:themeColor="text1"/>
                <w:sz w:val="18"/>
                <w:szCs w:val="18"/>
                <w:lang w:val="en-GB"/>
              </w:rPr>
              <w:fldChar w:fldCharType="separate"/>
            </w:r>
            <w:r w:rsidR="00BE34B7" w:rsidRPr="00BE34B7">
              <w:rPr>
                <w:rFonts w:ascii="Times" w:hAnsi="Times" w:cs="Calibri"/>
                <w:noProof/>
                <w:color w:val="000000" w:themeColor="text1"/>
                <w:sz w:val="18"/>
                <w:szCs w:val="18"/>
                <w:lang w:val="en-GB"/>
              </w:rPr>
              <w:t>(10)</w:t>
            </w:r>
            <w:r w:rsidRPr="00CB1590">
              <w:rPr>
                <w:rFonts w:ascii="Times" w:hAnsi="Times" w:cs="Calibri"/>
                <w:color w:val="000000" w:themeColor="text1"/>
                <w:sz w:val="18"/>
                <w:szCs w:val="18"/>
                <w:lang w:val="en-GB"/>
              </w:rPr>
              <w:fldChar w:fldCharType="end"/>
            </w:r>
            <w:r w:rsidRPr="00CB1590">
              <w:rPr>
                <w:rFonts w:ascii="Times" w:hAnsi="Times" w:cstheme="minorHAnsi"/>
                <w:color w:val="000000" w:themeColor="text1"/>
                <w:sz w:val="18"/>
                <w:szCs w:val="18"/>
                <w:lang w:val="en-GB"/>
              </w:rPr>
              <w:t>*</w:t>
            </w:r>
          </w:p>
        </w:tc>
        <w:tc>
          <w:tcPr>
            <w:tcW w:w="0" w:type="auto"/>
            <w:vAlign w:val="center"/>
          </w:tcPr>
          <w:p w14:paraId="47924A2A"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5233FAF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2F2F70B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4A039237"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060D263E"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4180DF5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08048C4F"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318770AB"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33FA0BEA"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1AA7E7E7"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r>
      <w:tr w:rsidR="008E35B3" w:rsidRPr="00B55CEC" w14:paraId="3783B925" w14:textId="77777777" w:rsidTr="004E2054">
        <w:tc>
          <w:tcPr>
            <w:tcW w:w="0" w:type="auto"/>
            <w:vAlign w:val="center"/>
          </w:tcPr>
          <w:p w14:paraId="3E109C19" w14:textId="697AC1A9"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Calibri"/>
                <w:color w:val="000000" w:themeColor="text1"/>
                <w:sz w:val="18"/>
                <w:szCs w:val="18"/>
                <w:lang w:val="en-GB"/>
              </w:rPr>
              <w:t xml:space="preserve">Syed et al. </w:t>
            </w:r>
            <w:r w:rsidRPr="00CB1590">
              <w:rPr>
                <w:rFonts w:ascii="Times" w:hAnsi="Times" w:cs="Calibri"/>
                <w:color w:val="000000" w:themeColor="text1"/>
                <w:sz w:val="18"/>
                <w:szCs w:val="18"/>
                <w:lang w:val="en-GB"/>
              </w:rPr>
              <w:fldChar w:fldCharType="begin" w:fldLock="1"/>
            </w:r>
            <w:r w:rsidR="00A20267">
              <w:rPr>
                <w:rFonts w:ascii="Times" w:hAnsi="Times" w:cs="Calibri"/>
                <w:color w:val="000000" w:themeColor="text1"/>
                <w:sz w:val="18"/>
                <w:szCs w:val="18"/>
                <w:lang w:val="en-GB"/>
              </w:rPr>
              <w:instrText>ADDIN CSL_CITATION {"citationItems":[{"id":"ITEM-1","itemData":{"DOI":"10.1007/s00259-020-04859-y","ISSN":"1619-7070","PMID":"32447444","abstract":"Purpose: Cancer-associated fibroblasts (CAFs) expressing fibroblast activation protein (FAP) have been associated with the aggressive nature of head and neck cancers (HNCs). These tumours grow diffusely, leading to extremely challenging differentiation between tumour and healthy tissue. This analysis aims to introduce a novel approach of tumour detection, contouring and targeted radiotherapy of HNCs using visualisation of CAFs: PET-CT with 68Ga-radiolabeled inhibitors of FAP (FAPI). Methods: FAPI PET-CT was performed without complications prior to radiotherapy in addition to contrast enhanced CT (CE-CT) and MRI on 14 patients with HNC. First, for tissue biodistribution analysis, volumes of interest were defined to quantify SUVmean and SUVmax in tumour and healthy parenchyma. Secondly, using four thresholds of three-, five-, seven- and tenfold increase of FAPI enhancement in the tumour as compared with normal tissue, four different gross tumour volumes (FAPI-GTV) were created automatically. These were compared with GTVs created conventionally with CE-CT and MRI (CT-GTV). Results: The biodistribution analysis revealed high FAPI avidity within tumorous lesions (e.g. primary tumours, SUVmax 14.62 ± 4.44; SUVmean 7.41 ± 2.39). In contrast, low background uptake was measured in healthy tissues of the head and neck region (e.g. salivary glands: SUVmax 1.76 ± 0.31; SUVmean 1.23 ± 0.28). Considering radiation planning, CT-GTV was of 27.3 ml, whereas contouring with FAPI resulted in significantly different GTVs of 67.7 ml (FAPI × 3, p = 0.0134), 22.1 ml (FAPI × 5, p = 0.0419), 7.6 ml (FAPI × 7, p = 0.0001) and 2.3 ml (FAPI × 10, p = 0.0001). Taking these significant disparities between the GTVs into consideration, we merged FAPI-GTVs with CT-GTVs. This resulted in median volumes, that were, as compared to CT-GTVs, significantly larger with FAPI × 3 (54.7 ml, + 200.5% relative increase, p = 0.0005) and FAPI × 5 (15.0 ml, + 54.9%, p = 0.0122). Furthermore, FAPI-GTVs were not covered by CE-CT-based planning target volumes (CT-PTVs) in several cases. Conclusion: We present first evidence of diagnostic and therapeutic potential of FAPI ligands in head and neck cancer. Larger studies with histopathological correlation are required to validate our findings.","author":[{"dropping-particle":"","family":"Syed","given":"M.","non-dropping-particle":"","parse-names":false,"suffix":""},{"dropping-particle":"","family":"Flechsig","given":"P.","non-dropping-particle":"","parse-names":false,"suffix":""},{"dropping-particle":"","family":"Liermann","given":"J.","non-dropping-particle":"","parse-names":false,"suffix":""},{"dropping-particle":"","family":"Windisch","given":"P.","non-dropping-particle":"","parse-names":false,"suffix":""},{"dropping-particle":"","family":"Staudinger","given":"F.","non-dropping-particle":"","parse-names":false,"suffix":""},{"dropping-particle":"","family":"Akbaba","given":"S.","non-dropping-particle":"","parse-names":false,"suffix":""},{"dropping-particle":"","family":"Koerber","given":"S. A.","non-dropping-particle":"","parse-names":false,"suffix":""},{"dropping-particle":"","family":"Freudlsperger","given":"C.","non-dropping-particle":"","parse-names":false,"suffix":""},{"dropping-particle":"","family":"Plinkert","given":"P. K.","non-dropping-particle":"","parse-names":false,"suffix":""},{"dropping-particle":"","family":"Debus","given":"J.","non-dropping-particle":"","parse-names":false,"suffix":""},{"dropping-particle":"","family":"Giesel","given":"F.","non-dropping-particle":"","parse-names":false,"suffix":""},{"dropping-particle":"","family":"Haberkorn","given":"U.","non-dropping-particle":"","parse-names":false,"suffix":""},{"dropping-particle":"","family":"Adeberg","given":"S.","non-dropping-particle":"","parse-names":false,"suffix":""}],"container-title":"European Journal of Nuclear Medicine and Molecular Imaging","id":"ITEM-1","issue":"12","issued":{"date-parts":[["2020","11","23"]]},"page":"2836-2845","title":"Fibroblast activation protein inhibitor (FAPI) PET for diagnostics and advanced targeted radiotherapy in head and neck cancers","type":"article-journal","volume":"47"},"uris":["http://www.mendeley.com/documents/?uuid=a1debb1f-03fa-494a-b540-90efc7549c1a","http://www.mendeley.com/documents/?uuid=33c14c1a-c600-4366-b4bf-9d86f27346f4"]}],"mendeley":{"formattedCitation":"(11)","plainTextFormattedCitation":"(11)","previouslyFormattedCitation":"(11)"},"properties":{"noteIndex":0},"schema":"https://github.com/citation-style-language/schema/raw/master/csl-citation.json"}</w:instrText>
            </w:r>
            <w:r w:rsidRPr="00CB1590">
              <w:rPr>
                <w:rFonts w:ascii="Times" w:hAnsi="Times" w:cs="Calibri"/>
                <w:color w:val="000000" w:themeColor="text1"/>
                <w:sz w:val="18"/>
                <w:szCs w:val="18"/>
                <w:lang w:val="en-GB"/>
              </w:rPr>
              <w:fldChar w:fldCharType="separate"/>
            </w:r>
            <w:r w:rsidR="00BE34B7" w:rsidRPr="00BE34B7">
              <w:rPr>
                <w:rFonts w:ascii="Times" w:hAnsi="Times" w:cs="Calibri"/>
                <w:noProof/>
                <w:color w:val="000000" w:themeColor="text1"/>
                <w:sz w:val="18"/>
                <w:szCs w:val="18"/>
                <w:lang w:val="en-GB"/>
              </w:rPr>
              <w:t>(11)</w:t>
            </w:r>
            <w:r w:rsidRPr="00CB1590">
              <w:rPr>
                <w:rFonts w:ascii="Times" w:hAnsi="Times" w:cs="Calibri"/>
                <w:color w:val="000000" w:themeColor="text1"/>
                <w:sz w:val="18"/>
                <w:szCs w:val="18"/>
                <w:lang w:val="en-GB"/>
              </w:rPr>
              <w:fldChar w:fldCharType="end"/>
            </w:r>
          </w:p>
        </w:tc>
        <w:tc>
          <w:tcPr>
            <w:tcW w:w="0" w:type="auto"/>
            <w:vAlign w:val="center"/>
          </w:tcPr>
          <w:p w14:paraId="1E412F92"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45CAA844"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0AA60356"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1DDAAA6C"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68C8C334"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78F59726"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00B49747"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2B1C25AF"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71DE6877"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7C5A83EB"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r>
      <w:tr w:rsidR="008E35B3" w:rsidRPr="00CB1590" w14:paraId="35BD462C" w14:textId="77777777" w:rsidTr="004E2054">
        <w:tc>
          <w:tcPr>
            <w:tcW w:w="0" w:type="auto"/>
            <w:vAlign w:val="center"/>
          </w:tcPr>
          <w:p w14:paraId="53629423" w14:textId="472E8B6F" w:rsidR="008E35B3" w:rsidRPr="00CB1590" w:rsidRDefault="008E35B3" w:rsidP="004E2054">
            <w:pPr>
              <w:spacing w:line="360" w:lineRule="auto"/>
              <w:jc w:val="center"/>
              <w:rPr>
                <w:rFonts w:ascii="Times" w:hAnsi="Times" w:cstheme="minorHAnsi"/>
                <w:color w:val="000000" w:themeColor="text1"/>
                <w:sz w:val="18"/>
                <w:szCs w:val="18"/>
                <w:lang w:val="en-GB"/>
              </w:rPr>
            </w:pPr>
            <w:proofErr w:type="spellStart"/>
            <w:r w:rsidRPr="00CB1590">
              <w:rPr>
                <w:rFonts w:ascii="Times" w:hAnsi="Times" w:cs="Calibri"/>
                <w:color w:val="000000" w:themeColor="text1"/>
                <w:sz w:val="18"/>
                <w:szCs w:val="18"/>
                <w:lang w:val="en-GB"/>
              </w:rPr>
              <w:t>Windisch</w:t>
            </w:r>
            <w:proofErr w:type="spellEnd"/>
            <w:r w:rsidRPr="00CB1590">
              <w:rPr>
                <w:rFonts w:ascii="Times" w:hAnsi="Times" w:cs="Calibri"/>
                <w:color w:val="000000" w:themeColor="text1"/>
                <w:sz w:val="18"/>
                <w:szCs w:val="18"/>
                <w:lang w:val="en-GB"/>
              </w:rPr>
              <w:t xml:space="preserve"> et al. </w:t>
            </w:r>
            <w:r w:rsidRPr="00CB1590">
              <w:rPr>
                <w:rFonts w:ascii="Times" w:hAnsi="Times" w:cs="Calibri"/>
                <w:color w:val="000000" w:themeColor="text1"/>
                <w:sz w:val="18"/>
                <w:szCs w:val="18"/>
                <w:lang w:val="en-GB"/>
              </w:rPr>
              <w:fldChar w:fldCharType="begin" w:fldLock="1"/>
            </w:r>
            <w:r w:rsidR="00A20267">
              <w:rPr>
                <w:rFonts w:ascii="Times" w:hAnsi="Times" w:cs="Calibri"/>
                <w:color w:val="000000" w:themeColor="text1"/>
                <w:sz w:val="18"/>
                <w:szCs w:val="18"/>
                <w:lang w:val="en-GB"/>
              </w:rPr>
              <w:instrText>ADDIN CSL_CITATION {"citationItems":[{"id":"ITEM-1","itemData":{"DOI":"10.1016/j.radonc.2020.06.040","ISSN":"18790887","PMID":"32598977","abstract":"Fibroblast Activation Protein (FAP)-specific Positron Emission Tomography (PET) has shown promising results in various cancers. This pilot study compares FAP-specific PET to MRI for treatment planning in 13 Glioblastoma patients. The resulting incongruent volumes could provide additional information for radiotherapy or biopsy planning.","author":[{"dropping-particle":"","family":"Windisch","given":"Paul","non-dropping-particle":"","parse-names":false,"suffix":""},{"dropping-particle":"","family":"Röhrich","given":"Manuel","non-dropping-particle":"","parse-names":false,"suffix":""},{"dropping-particle":"","family":"Regnery","given":"Sebastian","non-dropping-particle":"","parse-names":false,"suffix":""},{"dropping-particle":"","family":"Tonndorf-Martini","given":"Eric","non-dropping-particle":"","parse-names":false,"suffix":""},{"dropping-particle":"","family":"Held","given":"Thomas","non-dropping-particle":"","parse-names":false,"suffix":""},{"dropping-particle":"","family":"Lang","given":"Kristin","non-dropping-particle":"","parse-names":false,"suffix":""},{"dropping-particle":"","family":"Bernhardt","given":"Denise","non-dropping-particle":"","parse-names":false,"suffix":""},{"dropping-particle":"","family":"Rieken","given":"Stefan","non-dropping-particle":"","parse-names":false,"suffix":""},{"dropping-particle":"","family":"Giesel","given":"Frederik","non-dropping-particle":"","parse-names":false,"suffix":""},{"dropping-particle":"","family":"Haberkorn","given":"Uwe","non-dropping-particle":"","parse-names":false,"suffix":""},{"dropping-particle":"","family":"Debus","given":"Jürgen","non-dropping-particle":"","parse-names":false,"suffix":""},{"dropping-particle":"","family":"Adeberg","given":"Sebastian","non-dropping-particle":"","parse-names":false,"suffix":""}],"container-title":"Radiotherapy and Oncology","id":"ITEM-1","issued":{"date-parts":[["2020"]]},"title":"Fibroblast Activation Protein (FAP) specific PET for advanced target volume delineation in glioblastoma","type":"article-journal"},"uris":["http://www.mendeley.com/documents/?uuid=b67b18af-5cc5-412d-9ddc-ca0104d66ca6","http://www.mendeley.com/documents/?uuid=06774285-fc12-4654-8259-b8b9d7d923e1"]}],"mendeley":{"formattedCitation":"(12)","plainTextFormattedCitation":"(12)","previouslyFormattedCitation":"(12)"},"properties":{"noteIndex":0},"schema":"https://github.com/citation-style-language/schema/raw/master/csl-citation.json"}</w:instrText>
            </w:r>
            <w:r w:rsidRPr="00CB1590">
              <w:rPr>
                <w:rFonts w:ascii="Times" w:hAnsi="Times" w:cs="Calibri"/>
                <w:color w:val="000000" w:themeColor="text1"/>
                <w:sz w:val="18"/>
                <w:szCs w:val="18"/>
                <w:lang w:val="en-GB"/>
              </w:rPr>
              <w:fldChar w:fldCharType="separate"/>
            </w:r>
            <w:r w:rsidR="00BE34B7" w:rsidRPr="00BE34B7">
              <w:rPr>
                <w:rFonts w:ascii="Times" w:hAnsi="Times" w:cs="Calibri"/>
                <w:noProof/>
                <w:color w:val="000000" w:themeColor="text1"/>
                <w:sz w:val="18"/>
                <w:szCs w:val="18"/>
                <w:lang w:val="en-GB"/>
              </w:rPr>
              <w:t>(12)</w:t>
            </w:r>
            <w:r w:rsidRPr="00CB1590">
              <w:rPr>
                <w:rFonts w:ascii="Times" w:hAnsi="Times" w:cs="Calibri"/>
                <w:color w:val="000000" w:themeColor="text1"/>
                <w:sz w:val="18"/>
                <w:szCs w:val="18"/>
                <w:lang w:val="en-GB"/>
              </w:rPr>
              <w:fldChar w:fldCharType="end"/>
            </w:r>
          </w:p>
        </w:tc>
        <w:tc>
          <w:tcPr>
            <w:tcW w:w="0" w:type="auto"/>
            <w:vAlign w:val="center"/>
          </w:tcPr>
          <w:p w14:paraId="07D9D870"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4B50EC5F"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7A88CE60"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6D623F3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6D203B68"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0893EC90"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2DE6F37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10168A40"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4BC27C4F"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7F27D257"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r>
      <w:tr w:rsidR="008E35B3" w:rsidRPr="00EF6D9E" w14:paraId="2E1A35DD" w14:textId="77777777" w:rsidTr="004E2054">
        <w:tc>
          <w:tcPr>
            <w:tcW w:w="0" w:type="auto"/>
            <w:vAlign w:val="center"/>
          </w:tcPr>
          <w:p w14:paraId="3939D57C" w14:textId="68320F11" w:rsidR="008E35B3" w:rsidRPr="00CB1590" w:rsidRDefault="008E35B3" w:rsidP="004E2054">
            <w:pPr>
              <w:spacing w:line="360" w:lineRule="auto"/>
              <w:jc w:val="center"/>
              <w:rPr>
                <w:rFonts w:ascii="Times" w:hAnsi="Times" w:cstheme="minorHAnsi"/>
                <w:color w:val="000000" w:themeColor="text1"/>
                <w:sz w:val="18"/>
                <w:szCs w:val="18"/>
                <w:lang w:val="en-GB"/>
              </w:rPr>
            </w:pPr>
            <w:proofErr w:type="spellStart"/>
            <w:r w:rsidRPr="00CB1590">
              <w:rPr>
                <w:rFonts w:ascii="Times" w:hAnsi="Times" w:cs="Calibri"/>
                <w:color w:val="000000" w:themeColor="text1"/>
                <w:sz w:val="18"/>
                <w:szCs w:val="18"/>
                <w:lang w:val="en-GB"/>
              </w:rPr>
              <w:t>Liermann</w:t>
            </w:r>
            <w:proofErr w:type="spellEnd"/>
            <w:r w:rsidRPr="00CB1590">
              <w:rPr>
                <w:rFonts w:ascii="Times" w:hAnsi="Times" w:cs="Calibri"/>
                <w:color w:val="000000" w:themeColor="text1"/>
                <w:sz w:val="18"/>
                <w:szCs w:val="18"/>
                <w:lang w:val="en-GB"/>
              </w:rPr>
              <w:t xml:space="preserve"> et al. </w:t>
            </w:r>
            <w:r w:rsidRPr="00CB1590">
              <w:rPr>
                <w:rFonts w:ascii="Times" w:hAnsi="Times" w:cs="Calibri"/>
                <w:color w:val="000000" w:themeColor="text1"/>
                <w:sz w:val="18"/>
                <w:szCs w:val="18"/>
                <w:lang w:val="en-GB"/>
              </w:rPr>
              <w:fldChar w:fldCharType="begin" w:fldLock="1"/>
            </w:r>
            <w:r w:rsidR="00A20267">
              <w:rPr>
                <w:rFonts w:ascii="Times" w:hAnsi="Times" w:cs="Calibri"/>
                <w:color w:val="000000" w:themeColor="text1"/>
                <w:sz w:val="18"/>
                <w:szCs w:val="18"/>
                <w:lang w:val="en-GB"/>
              </w:rPr>
              <w:instrText>ADDIN CSL_CITATION {"citationItems":[{"id":"ITEM-1","itemData":{"DOI":"10.3390/cancers13040796","ISSN":"2072-6694","abstract":"(1) Background: A new radioactive positron emission tomography (PET) tracer uses inhibitors of fibroblast activation protein (FAPI) to visualize FAP-expressing cancer associated fibroblasts. Significant FAPI-uptake has recently been demonstrated in pancreatic cancer patients. Target volume delineation for radiation therapy still relies on often less precise conventional computed tomography (CT) imaging, especially in locally recurrent pancreatic cancer patients. The need for improvement in precise tumor detection and delineation led us to innovatively use the novel FAPI-PET/CT for radiation treatment planning. (2) Methods: Gross tumor volumes (GTVs) of seven locally recurrent pancreatic cancer cases were contoured by six radiation oncologists. In addition, FAPI-PET/CT was used to automatically delineate tumors. The interobserver variability in target definition was analyzed and FAPI-based automatic GTVs were compared to the manually defined GTVs. (3) Results: Target definition differed significantly between different radiation oncologists with mean dice similarity coefficients (DSCs) between 0.55 and 0.65. There was no significant difference between the volumes of automatic FAPI-GTVs based on the threshold of 2.0 and most of the manually contoured GTVs by radiation oncologists. (4) Conclusion: Due to its high tumor to background contrast, FAPI-PET/CT seems to be a superior imaging modality compared to the current gold standard contrast-enhanced CT in pancreatic cancer. For the first time, we demonstrate how FAPI-PET/CT could facilitate target definition and increases consistency in radiation oncology in pancreatic cancer.","author":[{"dropping-particle":"","family":"Liermann","given":"Jakob","non-dropping-particle":"","parse-names":false,"suffix":""},{"dropping-particle":"","family":"Syed","given":"Mustafa","non-dropping-particle":"","parse-names":false,"suffix":""},{"dropping-particle":"","family":"Ben-Josef","given":"Edgar","non-dropping-particle":"","parse-names":false,"suffix":""},{"dropping-particle":"","family":"Schubert","given":"Kai","non-dropping-particle":"","parse-names":false,"suffix":""},{"dropping-particle":"","family":"Schlampp","given":"Ingmar","non-dropping-particle":"","parse-names":false,"suffix":""},{"dropping-particle":"","family":"Sprengel","given":"Simon David","non-dropping-particle":"","parse-names":false,"suffix":""},{"dropping-particle":"","family":"Ristau","given":"Jonas","non-dropping-particle":"","parse-names":false,"suffix":""},{"dropping-particle":"","family":"Weykamp","given":"Fabian","non-dropping-particle":"","parse-names":false,"suffix":""},{"dropping-particle":"","family":"Röhrich","given":"Manuel","non-dropping-particle":"","parse-names":false,"suffix":""},{"dropping-particle":"","family":"Koerber","given":"Stefan A.","non-dropping-particle":"","parse-names":false,"suffix":""},{"dropping-particle":"","family":"Haberkorn","given":"Uwe","non-dropping-particle":"","parse-names":false,"suffix":""},{"dropping-particle":"","family":"Debus","given":"Juergen","non-dropping-particle":"","parse-names":false,"suffix":""},{"dropping-particle":"","family":"Herfarth","given":"Klaus","non-dropping-particle":"","parse-names":false,"suffix":""},{"dropping-particle":"","family":"Giesel","given":"Frederik L.","non-dropping-particle":"","parse-names":false,"suffix":""},{"dropping-particle":"","family":"Naumann","given":"Patrick","non-dropping-particle":"","parse-names":false,"suffix":""}],"container-title":"Cancers","id":"ITEM-1","issue":"4","issued":{"date-parts":[["2021","2","14"]]},"page":"796","title":"Impact of FAPI-PET/CT on Target Volume Definition in Radiation Therapy of Locally Recurrent Pancreatic Cancer","type":"article-journal","volume":"13"},"uris":["http://www.mendeley.com/documents/?uuid=e069e4b7-b5bc-4de6-b152-454c9347818c","http://www.mendeley.com/documents/?uuid=8c91e5c5-3bd0-4811-b74a-28fdbfb453f8"]}],"mendeley":{"formattedCitation":"(13)","plainTextFormattedCitation":"(13)","previouslyFormattedCitation":"(13)"},"properties":{"noteIndex":0},"schema":"https://github.com/citation-style-language/schema/raw/master/csl-citation.json"}</w:instrText>
            </w:r>
            <w:r w:rsidRPr="00CB1590">
              <w:rPr>
                <w:rFonts w:ascii="Times" w:hAnsi="Times" w:cs="Calibri"/>
                <w:color w:val="000000" w:themeColor="text1"/>
                <w:sz w:val="18"/>
                <w:szCs w:val="18"/>
                <w:lang w:val="en-GB"/>
              </w:rPr>
              <w:fldChar w:fldCharType="separate"/>
            </w:r>
            <w:r w:rsidR="00BE34B7" w:rsidRPr="00BE34B7">
              <w:rPr>
                <w:rFonts w:ascii="Times" w:hAnsi="Times" w:cs="Calibri"/>
                <w:noProof/>
                <w:color w:val="000000" w:themeColor="text1"/>
                <w:sz w:val="18"/>
                <w:szCs w:val="18"/>
                <w:lang w:val="en-GB"/>
              </w:rPr>
              <w:t>(13)</w:t>
            </w:r>
            <w:r w:rsidRPr="00CB1590">
              <w:rPr>
                <w:rFonts w:ascii="Times" w:hAnsi="Times" w:cs="Calibri"/>
                <w:color w:val="000000" w:themeColor="text1"/>
                <w:sz w:val="18"/>
                <w:szCs w:val="18"/>
                <w:lang w:val="en-GB"/>
              </w:rPr>
              <w:fldChar w:fldCharType="end"/>
            </w:r>
            <w:r w:rsidRPr="00CB1590">
              <w:rPr>
                <w:rFonts w:ascii="Times" w:hAnsi="Times" w:cstheme="minorHAnsi"/>
                <w:color w:val="000000" w:themeColor="text1"/>
                <w:sz w:val="18"/>
                <w:szCs w:val="18"/>
                <w:lang w:val="en-GB"/>
              </w:rPr>
              <w:t>*</w:t>
            </w:r>
          </w:p>
        </w:tc>
        <w:tc>
          <w:tcPr>
            <w:tcW w:w="0" w:type="auto"/>
            <w:vAlign w:val="center"/>
          </w:tcPr>
          <w:p w14:paraId="7ABFC52B"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29FBFBA2"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42F136D1"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3AD0B5E9"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73DF782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5F110EBD"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2C6F46B2"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43F7F2EE"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1A2F6D41"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287F137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r>
      <w:tr w:rsidR="008E35B3" w:rsidRPr="00B55CEC" w14:paraId="3DB20EAA" w14:textId="77777777" w:rsidTr="004E2054">
        <w:tc>
          <w:tcPr>
            <w:tcW w:w="0" w:type="auto"/>
            <w:vAlign w:val="center"/>
          </w:tcPr>
          <w:p w14:paraId="3E912844" w14:textId="5052F6B7" w:rsidR="008E35B3" w:rsidRPr="00CB1590" w:rsidRDefault="008E35B3" w:rsidP="004E2054">
            <w:pPr>
              <w:spacing w:line="360" w:lineRule="auto"/>
              <w:jc w:val="center"/>
              <w:rPr>
                <w:rFonts w:ascii="Times" w:hAnsi="Times" w:cstheme="minorHAnsi"/>
                <w:color w:val="000000" w:themeColor="text1"/>
                <w:sz w:val="18"/>
                <w:szCs w:val="18"/>
                <w:lang w:val="en-GB"/>
              </w:rPr>
            </w:pPr>
            <w:proofErr w:type="spellStart"/>
            <w:r w:rsidRPr="00CB1590">
              <w:rPr>
                <w:rFonts w:ascii="Times" w:hAnsi="Times" w:cs="Calibri"/>
                <w:color w:val="000000" w:themeColor="text1"/>
                <w:sz w:val="18"/>
                <w:szCs w:val="18"/>
                <w:lang w:val="en-GB"/>
              </w:rPr>
              <w:t>Röhrich</w:t>
            </w:r>
            <w:proofErr w:type="spellEnd"/>
            <w:r w:rsidRPr="00CB1590">
              <w:rPr>
                <w:rFonts w:ascii="Times" w:hAnsi="Times" w:cs="Calibri"/>
                <w:color w:val="000000" w:themeColor="text1"/>
                <w:sz w:val="18"/>
                <w:szCs w:val="18"/>
                <w:lang w:val="en-GB"/>
              </w:rPr>
              <w:t xml:space="preserve"> et al. </w:t>
            </w:r>
            <w:r w:rsidRPr="00CB1590">
              <w:rPr>
                <w:rFonts w:ascii="Times" w:hAnsi="Times" w:cs="Calibri"/>
                <w:color w:val="000000" w:themeColor="text1"/>
                <w:sz w:val="18"/>
                <w:szCs w:val="18"/>
                <w:lang w:val="en-GB"/>
              </w:rPr>
              <w:fldChar w:fldCharType="begin" w:fldLock="1"/>
            </w:r>
            <w:r w:rsidR="00A20267">
              <w:rPr>
                <w:rFonts w:ascii="Times" w:hAnsi="Times" w:cs="Calibri"/>
                <w:color w:val="000000" w:themeColor="text1"/>
                <w:sz w:val="18"/>
                <w:szCs w:val="18"/>
                <w:lang w:val="en-GB"/>
              </w:rPr>
              <w:instrText>ADDIN CSL_CITATION {"citationItems":[{"id":"ITEM-1","itemData":{"DOI":"10.2967/jnumed.120.253062","ISSN":"0161-5505","PMID":"33097632","abstract":"Purpose: Pancreatic ductal carcinoma (PDAC) is a highly lethal cancer and early detection and accurate staging are critical to prolonging survival. PDAC typically has a prominent stroma including cancer-associated fibroblasts (CAFs) that express Fibroblast Activation Protein (FAP). FAP is a new target molecule for PET imaging of various tumors. In this retrospective study we describe the clinical impact of PET/CT imaging using 68Ga-labelled FAP-Inhibitors (68Ga-FAPI - PET/CT) in 19 patients with PDAC (7 primary, 12 progressive/recurrent). Patients and Methods: All patients have undergone contrast enhanced Computed Tomography (ceCT) for TNM staging before they were subjected to 68Ga-FAPI - PET/CT imaging. PET-scans were acquired 60 minutes after administration of 150-250 MBq of 68Ga-labelled FAP-specific tracers. In order to characterize 68Ga-FAPI-uptake over time, additional scans after 10 minutes and/or 180 minutes were performed in six patients. SUVmax and SUVmean values of PDAC manifestations and healthy organs were analyzed. The tumor burden according to 68Ga-FAPI - PET/CT was compared to TNM staging based on ceCT and changes in oncological management were recorded. Results: Compared to ceCT, 68Ga-FAPI - PET/CT results led to changes in TNM staging in 10/19 patients. 8/12 patients with recurrent/progressive disease, were up-staged, 1 down-staged and 3 had no change. In newly diagnosed PDAC, 1/7 patients was up-staged, the staging of 6 patients did not change. Changes in oncological management occurred in seven patients. Markedly elevated uptake of 68Ga-FAPI in PDAC manifestations after 1 hour was seen in most cases. Differentiation from pancreatitis based on static imaging 1 hour p.i. was challenging. With respect to imaging after multiple time points, PDAC and pancreatitis showed a trend for differential uptake kinetics. Conclusion:68Ga-FAPI - PET/CT led to restaging in half of patients with PDAC and most patients with recurrent disease compared to standard of care imaging. The clinical value of 68Ga-FAPI - PET/CT should be further investigated.","author":[{"dropping-particle":"","family":"Röhrich","given":"Manuel","non-dropping-particle":"","parse-names":false,"suffix":""},{"dropping-particle":"","family":"Naumann","given":"Patrick","non-dropping-particle":"","parse-names":false,"suffix":""},{"dropping-particle":"","family":"Giesel","given":"Frederik Lars","non-dropping-particle":"","parse-names":false,"suffix":""},{"dropping-particle":"","family":"Choyke","given":"Peter","non-dropping-particle":"","parse-names":false,"suffix":""},{"dropping-particle":"","family":"Staudinger","given":"Fabian","non-dropping-particle":"","parse-names":false,"suffix":""},{"dropping-particle":"","family":"Wefers","given":"Annika","non-dropping-particle":"","parse-names":false,"suffix":""},{"dropping-particle":"","family":"Liew","given":"Dawn P","non-dropping-particle":"","parse-names":false,"suffix":""},{"dropping-particle":"","family":"Kratochwil","given":"Clemens","non-dropping-particle":"","parse-names":false,"suffix":""},{"dropping-particle":"","family":"Rathke","given":"Hendrik","non-dropping-particle":"","parse-names":false,"suffix":""},{"dropping-particle":"","family":"Liermann","given":"Jakob","non-dropping-particle":"","parse-names":false,"suffix":""},{"dropping-particle":"","family":"Herfarth","given":"Klaus","non-dropping-particle":"","parse-names":false,"suffix":""},{"dropping-particle":"","family":"Jäger","given":"Dirk","non-dropping-particle":"","parse-names":false,"suffix":""},{"dropping-particle":"","family":"Debus","given":"Jürgen","non-dropping-particle":"","parse-names":false,"suffix":""},{"dropping-particle":"","family":"Haberkorn","given":"Uwe A.","non-dropping-particle":"","parse-names":false,"suffix":""},{"dropping-particle":"","family":"Lang","given":"Matthias","non-dropping-particle":"","parse-names":false,"suffix":""},{"dropping-particle":"","family":"Koerber","given":"Stefan A.","non-dropping-particle":"","parse-names":false,"suffix":""}],"container-title":"Journal of Nuclear Medicine","id":"ITEM-1","issued":{"date-parts":[["2020","10","23"]]},"page":"jnumed.120.253062","title":"Impact of 68 Ga-FAPI-PET/CT imaging on the therapeutic management of primary and recurrent pancreatic ductal adenocarcinomas","type":"article-journal"},"uris":["http://www.mendeley.com/documents/?uuid=85237c81-f628-4a9e-8240-fa4b7e5a00b3","http://www.mendeley.com/documents/?uuid=1c279d43-6d25-4e61-8385-473171032e53"]}],"mendeley":{"formattedCitation":"(14)","plainTextFormattedCitation":"(14)","previouslyFormattedCitation":"(14)"},"properties":{"noteIndex":0},"schema":"https://github.com/citation-style-language/schema/raw/master/csl-citation.json"}</w:instrText>
            </w:r>
            <w:r w:rsidRPr="00CB1590">
              <w:rPr>
                <w:rFonts w:ascii="Times" w:hAnsi="Times" w:cs="Calibri"/>
                <w:color w:val="000000" w:themeColor="text1"/>
                <w:sz w:val="18"/>
                <w:szCs w:val="18"/>
                <w:lang w:val="en-GB"/>
              </w:rPr>
              <w:fldChar w:fldCharType="separate"/>
            </w:r>
            <w:r w:rsidR="00BE34B7" w:rsidRPr="00BE34B7">
              <w:rPr>
                <w:rFonts w:ascii="Times" w:hAnsi="Times" w:cs="Calibri"/>
                <w:noProof/>
                <w:color w:val="000000" w:themeColor="text1"/>
                <w:sz w:val="18"/>
                <w:szCs w:val="18"/>
                <w:lang w:val="en-GB"/>
              </w:rPr>
              <w:t>(14)</w:t>
            </w:r>
            <w:r w:rsidRPr="00CB1590">
              <w:rPr>
                <w:rFonts w:ascii="Times" w:hAnsi="Times" w:cs="Calibri"/>
                <w:color w:val="000000" w:themeColor="text1"/>
                <w:sz w:val="18"/>
                <w:szCs w:val="18"/>
                <w:lang w:val="en-GB"/>
              </w:rPr>
              <w:fldChar w:fldCharType="end"/>
            </w:r>
            <w:r w:rsidRPr="00CB1590">
              <w:rPr>
                <w:rFonts w:ascii="Times" w:hAnsi="Times" w:cstheme="minorHAnsi"/>
                <w:color w:val="000000" w:themeColor="text1"/>
                <w:sz w:val="18"/>
                <w:szCs w:val="18"/>
                <w:lang w:val="en-GB"/>
              </w:rPr>
              <w:t>*</w:t>
            </w:r>
          </w:p>
        </w:tc>
        <w:tc>
          <w:tcPr>
            <w:tcW w:w="0" w:type="auto"/>
            <w:vAlign w:val="center"/>
          </w:tcPr>
          <w:p w14:paraId="61C28F65"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0003F59B"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32F1DB9B"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038287CE"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41A09781"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p>
        </w:tc>
        <w:tc>
          <w:tcPr>
            <w:tcW w:w="0" w:type="auto"/>
            <w:vAlign w:val="center"/>
          </w:tcPr>
          <w:p w14:paraId="48E111C2"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7D731232"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428DF662"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5B31EEEF"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c>
          <w:tcPr>
            <w:tcW w:w="0" w:type="auto"/>
            <w:vAlign w:val="center"/>
          </w:tcPr>
          <w:p w14:paraId="25A81ECB" w14:textId="77777777" w:rsidR="008E35B3" w:rsidRPr="00CB1590" w:rsidRDefault="008E35B3" w:rsidP="004E2054">
            <w:pPr>
              <w:spacing w:line="360" w:lineRule="auto"/>
              <w:jc w:val="center"/>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N</w:t>
            </w:r>
          </w:p>
        </w:tc>
      </w:tr>
      <w:tr w:rsidR="008E35B3" w:rsidRPr="00B55CEC" w14:paraId="7D9161AB" w14:textId="77777777" w:rsidTr="00515085">
        <w:tc>
          <w:tcPr>
            <w:tcW w:w="0" w:type="auto"/>
            <w:gridSpan w:val="11"/>
            <w:vAlign w:val="center"/>
          </w:tcPr>
          <w:p w14:paraId="79AD4895" w14:textId="4C1F910A" w:rsidR="008E35B3" w:rsidRPr="00CB1590" w:rsidRDefault="008E35B3" w:rsidP="008E35B3">
            <w:pPr>
              <w:spacing w:line="360" w:lineRule="auto"/>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Y</w:t>
            </w:r>
            <w:r>
              <w:rPr>
                <w:rFonts w:ascii="Times" w:hAnsi="Times" w:cstheme="minorHAnsi"/>
                <w:color w:val="000000" w:themeColor="text1"/>
                <w:sz w:val="18"/>
                <w:szCs w:val="18"/>
                <w:lang w:val="en-GB"/>
              </w:rPr>
              <w:t>-</w:t>
            </w:r>
            <w:r w:rsidRPr="00CB1590">
              <w:rPr>
                <w:rFonts w:ascii="Times" w:hAnsi="Times" w:cstheme="minorHAnsi"/>
                <w:color w:val="000000" w:themeColor="text1"/>
                <w:sz w:val="18"/>
                <w:szCs w:val="18"/>
                <w:lang w:val="en-GB"/>
              </w:rPr>
              <w:t xml:space="preserve"> yes; N</w:t>
            </w:r>
            <w:r>
              <w:rPr>
                <w:rFonts w:ascii="Times" w:hAnsi="Times" w:cstheme="minorHAnsi"/>
                <w:color w:val="000000" w:themeColor="text1"/>
                <w:sz w:val="18"/>
                <w:szCs w:val="18"/>
                <w:lang w:val="en-GB"/>
              </w:rPr>
              <w:t xml:space="preserve"> -</w:t>
            </w:r>
            <w:r w:rsidRPr="00CB1590">
              <w:rPr>
                <w:rFonts w:ascii="Times" w:hAnsi="Times" w:cstheme="minorHAnsi"/>
                <w:color w:val="000000" w:themeColor="text1"/>
                <w:sz w:val="18"/>
                <w:szCs w:val="18"/>
                <w:lang w:val="en-GB"/>
              </w:rPr>
              <w:t xml:space="preserve"> no; Sen</w:t>
            </w:r>
            <w:r>
              <w:rPr>
                <w:rFonts w:ascii="Times" w:hAnsi="Times" w:cstheme="minorHAnsi"/>
                <w:color w:val="000000" w:themeColor="text1"/>
                <w:sz w:val="18"/>
                <w:szCs w:val="18"/>
                <w:lang w:val="en-GB"/>
              </w:rPr>
              <w:t xml:space="preserve"> -</w:t>
            </w:r>
            <w:r w:rsidRPr="00CB1590">
              <w:rPr>
                <w:rFonts w:ascii="Times" w:hAnsi="Times" w:cstheme="minorHAnsi"/>
                <w:color w:val="000000" w:themeColor="text1"/>
                <w:sz w:val="18"/>
                <w:szCs w:val="18"/>
                <w:lang w:val="en-GB"/>
              </w:rPr>
              <w:t xml:space="preserve"> sensitivity; Spec</w:t>
            </w:r>
            <w:r>
              <w:rPr>
                <w:rFonts w:ascii="Times" w:hAnsi="Times" w:cstheme="minorHAnsi"/>
                <w:color w:val="000000" w:themeColor="text1"/>
                <w:sz w:val="18"/>
                <w:szCs w:val="18"/>
                <w:lang w:val="en-GB"/>
              </w:rPr>
              <w:t xml:space="preserve"> -</w:t>
            </w:r>
            <w:r w:rsidRPr="00CB1590">
              <w:rPr>
                <w:rFonts w:ascii="Times" w:hAnsi="Times" w:cstheme="minorHAnsi"/>
                <w:color w:val="000000" w:themeColor="text1"/>
                <w:sz w:val="18"/>
                <w:szCs w:val="18"/>
                <w:lang w:val="en-GB"/>
              </w:rPr>
              <w:t xml:space="preserve"> specificity</w:t>
            </w:r>
          </w:p>
          <w:p w14:paraId="38465756" w14:textId="07C67E82" w:rsidR="008E35B3" w:rsidRPr="00CB1590" w:rsidRDefault="008E35B3" w:rsidP="008E35B3">
            <w:pPr>
              <w:spacing w:line="360" w:lineRule="auto"/>
              <w:rPr>
                <w:rFonts w:ascii="Times" w:hAnsi="Times" w:cstheme="minorHAnsi"/>
                <w:color w:val="000000" w:themeColor="text1"/>
                <w:sz w:val="18"/>
                <w:szCs w:val="18"/>
                <w:lang w:val="en-GB"/>
              </w:rPr>
            </w:pPr>
            <w:r w:rsidRPr="00CB1590">
              <w:rPr>
                <w:rFonts w:ascii="Times" w:hAnsi="Times" w:cstheme="minorHAnsi"/>
                <w:color w:val="000000" w:themeColor="text1"/>
                <w:sz w:val="18"/>
                <w:szCs w:val="18"/>
                <w:lang w:val="en-GB"/>
              </w:rPr>
              <w:t>*Article exclusively focused on abdominal malignancies</w:t>
            </w:r>
          </w:p>
        </w:tc>
      </w:tr>
    </w:tbl>
    <w:p w14:paraId="763FCD8A" w14:textId="52943022" w:rsidR="008E35B3" w:rsidRDefault="008E35B3">
      <w:pPr>
        <w:rPr>
          <w:lang w:val="en-US"/>
        </w:rPr>
      </w:pPr>
    </w:p>
    <w:p w14:paraId="1A0763B1" w14:textId="288840E3" w:rsidR="00D65B11" w:rsidRDefault="00D65B11">
      <w:pPr>
        <w:rPr>
          <w:lang w:val="en-US"/>
        </w:rPr>
      </w:pPr>
    </w:p>
    <w:p w14:paraId="0E2E182A" w14:textId="1961B29D" w:rsidR="00D65B11" w:rsidRDefault="00D65B11">
      <w:pPr>
        <w:rPr>
          <w:lang w:val="en-US"/>
        </w:rPr>
      </w:pPr>
    </w:p>
    <w:p w14:paraId="540E0315" w14:textId="7A2E38EE" w:rsidR="00D65B11" w:rsidRDefault="00D65B11">
      <w:pPr>
        <w:rPr>
          <w:lang w:val="en-US"/>
        </w:rPr>
      </w:pPr>
      <w:r>
        <w:rPr>
          <w:lang w:val="en-US"/>
        </w:rPr>
        <w:t xml:space="preserve">References </w:t>
      </w:r>
    </w:p>
    <w:p w14:paraId="5A4B0309" w14:textId="77777777" w:rsidR="00D65B11" w:rsidRDefault="00D65B11">
      <w:pPr>
        <w:rPr>
          <w:lang w:val="en-US"/>
        </w:rPr>
      </w:pPr>
    </w:p>
    <w:p w14:paraId="00830A47" w14:textId="123AC65D" w:rsidR="00A20267" w:rsidRPr="00B55CEC" w:rsidRDefault="00BE34B7" w:rsidP="00A20267">
      <w:pPr>
        <w:widowControl w:val="0"/>
        <w:autoSpaceDE w:val="0"/>
        <w:autoSpaceDN w:val="0"/>
        <w:adjustRightInd w:val="0"/>
        <w:ind w:left="640" w:hanging="640"/>
        <w:rPr>
          <w:rFonts w:ascii="Calibri" w:hAnsi="Calibri" w:cs="Calibri"/>
          <w:noProof/>
          <w:lang w:val="en-US"/>
        </w:rPr>
      </w:pPr>
      <w:r>
        <w:rPr>
          <w:lang w:val="en-US"/>
        </w:rPr>
        <w:fldChar w:fldCharType="begin" w:fldLock="1"/>
      </w:r>
      <w:r>
        <w:rPr>
          <w:lang w:val="en-US"/>
        </w:rPr>
        <w:instrText xml:space="preserve">ADDIN Mendeley Bibliography CSL_BIBLIOGRAPHY </w:instrText>
      </w:r>
      <w:r>
        <w:rPr>
          <w:lang w:val="en-US"/>
        </w:rPr>
        <w:fldChar w:fldCharType="separate"/>
      </w:r>
      <w:r w:rsidR="00A20267" w:rsidRPr="00B55CEC">
        <w:rPr>
          <w:rFonts w:ascii="Calibri" w:hAnsi="Calibri" w:cs="Calibri"/>
          <w:noProof/>
          <w:lang w:val="en-US"/>
        </w:rPr>
        <w:t xml:space="preserve">1. </w:t>
      </w:r>
      <w:r w:rsidR="00A20267" w:rsidRPr="00B55CEC">
        <w:rPr>
          <w:rFonts w:ascii="Calibri" w:hAnsi="Calibri" w:cs="Calibri"/>
          <w:noProof/>
          <w:lang w:val="en-US"/>
        </w:rPr>
        <w:tab/>
        <w:t xml:space="preserve">Pang Y, Zhao L, Luo Z, Hao B, Wu H, Lin Q, et al. Comparison of 68 Ga-FAPI and 18 F-FDG Uptake in Gastric, Duodenal, and Colorectal Cancers. Radiology. 2021 Feb;298(2):393–402. </w:t>
      </w:r>
    </w:p>
    <w:p w14:paraId="3E2E06D5" w14:textId="77777777" w:rsidR="00A20267" w:rsidRPr="00B55CEC" w:rsidRDefault="00A20267" w:rsidP="00A20267">
      <w:pPr>
        <w:widowControl w:val="0"/>
        <w:autoSpaceDE w:val="0"/>
        <w:autoSpaceDN w:val="0"/>
        <w:adjustRightInd w:val="0"/>
        <w:ind w:left="640" w:hanging="640"/>
        <w:rPr>
          <w:rFonts w:ascii="Calibri" w:hAnsi="Calibri" w:cs="Calibri"/>
          <w:noProof/>
          <w:lang w:val="en-US"/>
        </w:rPr>
      </w:pPr>
      <w:r w:rsidRPr="00B55CEC">
        <w:rPr>
          <w:rFonts w:ascii="Calibri" w:hAnsi="Calibri" w:cs="Calibri"/>
          <w:noProof/>
          <w:lang w:val="en-US"/>
        </w:rPr>
        <w:t xml:space="preserve">2. </w:t>
      </w:r>
      <w:r w:rsidRPr="00B55CEC">
        <w:rPr>
          <w:rFonts w:ascii="Calibri" w:hAnsi="Calibri" w:cs="Calibri"/>
          <w:noProof/>
          <w:lang w:val="en-US"/>
        </w:rPr>
        <w:tab/>
        <w:t xml:space="preserve">Shi X, Xing H, Yang X, Li F, Yao S, Zhang H, et al. Fibroblast imaging of hepatic carcinoma with 68Ga-FAPI-04 PET/CT: a pilot study in patients with suspected hepatic nodules. Eur J Nucl Med Mol Imaging. 2020 May 29;1–8. </w:t>
      </w:r>
    </w:p>
    <w:p w14:paraId="06C8E656" w14:textId="77777777" w:rsidR="00A20267" w:rsidRPr="00B55CEC" w:rsidRDefault="00A20267" w:rsidP="00A20267">
      <w:pPr>
        <w:widowControl w:val="0"/>
        <w:autoSpaceDE w:val="0"/>
        <w:autoSpaceDN w:val="0"/>
        <w:adjustRightInd w:val="0"/>
        <w:ind w:left="640" w:hanging="640"/>
        <w:rPr>
          <w:rFonts w:ascii="Calibri" w:hAnsi="Calibri" w:cs="Calibri"/>
          <w:noProof/>
          <w:lang w:val="en-US"/>
        </w:rPr>
      </w:pPr>
      <w:r w:rsidRPr="00B55CEC">
        <w:rPr>
          <w:rFonts w:ascii="Calibri" w:hAnsi="Calibri" w:cs="Calibri"/>
          <w:noProof/>
          <w:lang w:val="en-US"/>
        </w:rPr>
        <w:t xml:space="preserve">3. </w:t>
      </w:r>
      <w:r w:rsidRPr="00B55CEC">
        <w:rPr>
          <w:rFonts w:ascii="Calibri" w:hAnsi="Calibri" w:cs="Calibri"/>
          <w:noProof/>
          <w:lang w:val="en-US"/>
        </w:rPr>
        <w:tab/>
        <w:t xml:space="preserve">Shi X, Xing H, Yang X, Li F, Yao S, Congwei J, et al. Comparison of PET imaging of activated fibroblasts and 18F-FDG for diagnosis of primary hepatic tumours: a prospective pilot study. Eur J Nucl Med Mol Imaging. 2021 May 24;48(5):1593–603. </w:t>
      </w:r>
    </w:p>
    <w:p w14:paraId="64391EB9" w14:textId="77777777" w:rsidR="00A20267" w:rsidRPr="00B55CEC" w:rsidRDefault="00A20267" w:rsidP="00A20267">
      <w:pPr>
        <w:widowControl w:val="0"/>
        <w:autoSpaceDE w:val="0"/>
        <w:autoSpaceDN w:val="0"/>
        <w:adjustRightInd w:val="0"/>
        <w:ind w:left="640" w:hanging="640"/>
        <w:rPr>
          <w:rFonts w:ascii="Calibri" w:hAnsi="Calibri" w:cs="Calibri"/>
          <w:noProof/>
          <w:lang w:val="en-US"/>
        </w:rPr>
      </w:pPr>
      <w:r w:rsidRPr="00B55CEC">
        <w:rPr>
          <w:rFonts w:ascii="Calibri" w:hAnsi="Calibri" w:cs="Calibri"/>
          <w:noProof/>
          <w:lang w:val="en-US"/>
        </w:rPr>
        <w:t xml:space="preserve">4. </w:t>
      </w:r>
      <w:r w:rsidRPr="00B55CEC">
        <w:rPr>
          <w:rFonts w:ascii="Calibri" w:hAnsi="Calibri" w:cs="Calibri"/>
          <w:noProof/>
          <w:lang w:val="en-US"/>
        </w:rPr>
        <w:tab/>
        <w:t xml:space="preserve">Guo W, Pang Y, Yao L, Zhao L, Fan C, Ke J, et al. Imaging fibroblast activation protein in liver cancer: a single-center post hoc retrospective analysis to compare [68Ga]Ga-FAPI-04 PET/CT versus MRI and [18F]-FDG PET/CT. Eur J Nucl Med Mol Imaging. 2021 May 11;48(5):1604–17. </w:t>
      </w:r>
    </w:p>
    <w:p w14:paraId="7E5C82DC" w14:textId="77777777" w:rsidR="00A20267" w:rsidRPr="00B55CEC" w:rsidRDefault="00A20267" w:rsidP="00A20267">
      <w:pPr>
        <w:widowControl w:val="0"/>
        <w:autoSpaceDE w:val="0"/>
        <w:autoSpaceDN w:val="0"/>
        <w:adjustRightInd w:val="0"/>
        <w:ind w:left="640" w:hanging="640"/>
        <w:rPr>
          <w:rFonts w:ascii="Calibri" w:hAnsi="Calibri" w:cs="Calibri"/>
          <w:noProof/>
          <w:lang w:val="en-US"/>
        </w:rPr>
      </w:pPr>
      <w:r w:rsidRPr="00B55CEC">
        <w:rPr>
          <w:rFonts w:ascii="Calibri" w:hAnsi="Calibri" w:cs="Calibri"/>
          <w:noProof/>
          <w:lang w:val="en-US"/>
        </w:rPr>
        <w:t xml:space="preserve">5. </w:t>
      </w:r>
      <w:r w:rsidRPr="00B55CEC">
        <w:rPr>
          <w:rFonts w:ascii="Calibri" w:hAnsi="Calibri" w:cs="Calibri"/>
          <w:noProof/>
          <w:lang w:val="en-US"/>
        </w:rPr>
        <w:tab/>
        <w:t>Chen H, Zhao L, Ruan D, Pang Y, Hao B, Dai Y, et al. Usefulness of [68Ga]Ga-DOTA-</w:t>
      </w:r>
      <w:r w:rsidRPr="00B55CEC">
        <w:rPr>
          <w:rFonts w:ascii="Calibri" w:hAnsi="Calibri" w:cs="Calibri"/>
          <w:noProof/>
          <w:lang w:val="en-US"/>
        </w:rPr>
        <w:lastRenderedPageBreak/>
        <w:t xml:space="preserve">FAPI-04 PET/CT in patients presenting with inconclusive [18F]FDG PET/CT findings. Eur J Nucl Med Mol Imaging. 2021 Jan;48(1):73–86. </w:t>
      </w:r>
    </w:p>
    <w:p w14:paraId="3E152217" w14:textId="77777777" w:rsidR="00A20267" w:rsidRPr="00B55CEC" w:rsidRDefault="00A20267" w:rsidP="00A20267">
      <w:pPr>
        <w:widowControl w:val="0"/>
        <w:autoSpaceDE w:val="0"/>
        <w:autoSpaceDN w:val="0"/>
        <w:adjustRightInd w:val="0"/>
        <w:ind w:left="640" w:hanging="640"/>
        <w:rPr>
          <w:rFonts w:ascii="Calibri" w:hAnsi="Calibri" w:cs="Calibri"/>
          <w:noProof/>
          <w:lang w:val="en-US"/>
        </w:rPr>
      </w:pPr>
      <w:r w:rsidRPr="00B55CEC">
        <w:rPr>
          <w:rFonts w:ascii="Calibri" w:hAnsi="Calibri" w:cs="Calibri"/>
          <w:noProof/>
          <w:lang w:val="en-US"/>
        </w:rPr>
        <w:t xml:space="preserve">6. </w:t>
      </w:r>
      <w:r w:rsidRPr="00B55CEC">
        <w:rPr>
          <w:rFonts w:ascii="Calibri" w:hAnsi="Calibri" w:cs="Calibri"/>
          <w:noProof/>
          <w:lang w:val="en-US"/>
        </w:rPr>
        <w:tab/>
        <w:t xml:space="preserve">Chen H, Pang Y, Wu J, Zhao L, Hao B, Wu J, et al. Comparison of [68Ga]Ga-DOTA-FAPI-04 and [18F] FDG PET/CT for the diagnosis of primary and metastatic lesions in patients with various types of cancer. Eur J Nucl Med Mol Imaging. 2020 Jul 28;47(8):1820–32. </w:t>
      </w:r>
    </w:p>
    <w:p w14:paraId="4BC9A30C" w14:textId="77777777" w:rsidR="00A20267" w:rsidRPr="00B55CEC" w:rsidRDefault="00A20267" w:rsidP="00A20267">
      <w:pPr>
        <w:widowControl w:val="0"/>
        <w:autoSpaceDE w:val="0"/>
        <w:autoSpaceDN w:val="0"/>
        <w:adjustRightInd w:val="0"/>
        <w:ind w:left="640" w:hanging="640"/>
        <w:rPr>
          <w:rFonts w:ascii="Calibri" w:hAnsi="Calibri" w:cs="Calibri"/>
          <w:noProof/>
          <w:lang w:val="en-US"/>
        </w:rPr>
      </w:pPr>
      <w:r w:rsidRPr="00B55CEC">
        <w:rPr>
          <w:rFonts w:ascii="Calibri" w:hAnsi="Calibri" w:cs="Calibri"/>
          <w:noProof/>
          <w:lang w:val="en-US"/>
        </w:rPr>
        <w:t xml:space="preserve">7. </w:t>
      </w:r>
      <w:r w:rsidRPr="00B55CEC">
        <w:rPr>
          <w:rFonts w:ascii="Calibri" w:hAnsi="Calibri" w:cs="Calibri"/>
          <w:noProof/>
          <w:lang w:val="en-US"/>
        </w:rPr>
        <w:tab/>
        <w:t xml:space="preserve">Serfling S, Zhi Y, Schirbel A, Lindner T, Meyer T, Gerhard-Hartmann E, et al. Improved cancer detection in Waldeyer’s tonsillar ring by 68Ga-FAPI PET/CT imaging. Eur J Nucl Med Mol Imaging. 2021 Apr 15;48(4):1178–87. </w:t>
      </w:r>
    </w:p>
    <w:p w14:paraId="1180E345" w14:textId="77777777" w:rsidR="00A20267" w:rsidRPr="00B55CEC" w:rsidRDefault="00A20267" w:rsidP="00A20267">
      <w:pPr>
        <w:widowControl w:val="0"/>
        <w:autoSpaceDE w:val="0"/>
        <w:autoSpaceDN w:val="0"/>
        <w:adjustRightInd w:val="0"/>
        <w:ind w:left="640" w:hanging="640"/>
        <w:rPr>
          <w:rFonts w:ascii="Calibri" w:hAnsi="Calibri" w:cs="Calibri"/>
          <w:noProof/>
          <w:lang w:val="en-US"/>
        </w:rPr>
      </w:pPr>
      <w:r w:rsidRPr="00B55CEC">
        <w:rPr>
          <w:rFonts w:ascii="Calibri" w:hAnsi="Calibri" w:cs="Calibri"/>
          <w:noProof/>
          <w:lang w:val="en-US"/>
        </w:rPr>
        <w:t xml:space="preserve">8. </w:t>
      </w:r>
      <w:r w:rsidRPr="00B55CEC">
        <w:rPr>
          <w:rFonts w:ascii="Calibri" w:hAnsi="Calibri" w:cs="Calibri"/>
          <w:noProof/>
          <w:lang w:val="en-US"/>
        </w:rPr>
        <w:tab/>
        <w:t xml:space="preserve">Qin C, Liu F, Huang J, Ruan W, Liu Q, Gai Y, et al. A head-to-head comparison of 68Ga-DOTA-FAPI-04 and 18F-FDG PET/MR in patients with nasopharyngeal carcinoma: a prospective study. Eur J Nucl Med Mol Imaging. 2021 Feb 20; </w:t>
      </w:r>
    </w:p>
    <w:p w14:paraId="189B94BA" w14:textId="77777777" w:rsidR="00A20267" w:rsidRPr="00B55CEC" w:rsidRDefault="00A20267" w:rsidP="00A20267">
      <w:pPr>
        <w:widowControl w:val="0"/>
        <w:autoSpaceDE w:val="0"/>
        <w:autoSpaceDN w:val="0"/>
        <w:adjustRightInd w:val="0"/>
        <w:ind w:left="640" w:hanging="640"/>
        <w:rPr>
          <w:rFonts w:ascii="Calibri" w:hAnsi="Calibri" w:cs="Calibri"/>
          <w:noProof/>
          <w:lang w:val="en-US"/>
        </w:rPr>
      </w:pPr>
      <w:r w:rsidRPr="00B55CEC">
        <w:rPr>
          <w:rFonts w:ascii="Calibri" w:hAnsi="Calibri" w:cs="Calibri"/>
          <w:noProof/>
          <w:lang w:val="en-US"/>
        </w:rPr>
        <w:t xml:space="preserve">9. </w:t>
      </w:r>
      <w:r w:rsidRPr="00B55CEC">
        <w:rPr>
          <w:rFonts w:ascii="Calibri" w:hAnsi="Calibri" w:cs="Calibri"/>
          <w:noProof/>
          <w:lang w:val="en-US"/>
        </w:rPr>
        <w:tab/>
        <w:t xml:space="preserve">Zhao L, Pang Y, Luo Z, Fu K, Yang T, Zhao L, et al. Role of [68Ga]Ga-DOTA-FAPI-04 PET/CT in the evaluation of peritoneal carcinomatosis and comparison with [18F]-FDG PET/CT. Eur J Nucl Med Mol Imaging. 2021 Jun 7;48(6):1944–55. </w:t>
      </w:r>
    </w:p>
    <w:p w14:paraId="23A56210" w14:textId="77777777" w:rsidR="00A20267" w:rsidRPr="00B55CEC" w:rsidRDefault="00A20267" w:rsidP="00A20267">
      <w:pPr>
        <w:widowControl w:val="0"/>
        <w:autoSpaceDE w:val="0"/>
        <w:autoSpaceDN w:val="0"/>
        <w:adjustRightInd w:val="0"/>
        <w:ind w:left="640" w:hanging="640"/>
        <w:rPr>
          <w:rFonts w:ascii="Calibri" w:hAnsi="Calibri" w:cs="Calibri"/>
          <w:noProof/>
          <w:lang w:val="en-US"/>
        </w:rPr>
      </w:pPr>
      <w:r w:rsidRPr="00B55CEC">
        <w:rPr>
          <w:rFonts w:ascii="Calibri" w:hAnsi="Calibri" w:cs="Calibri"/>
          <w:noProof/>
          <w:lang w:val="en-US"/>
        </w:rPr>
        <w:t xml:space="preserve">10. </w:t>
      </w:r>
      <w:r w:rsidRPr="00B55CEC">
        <w:rPr>
          <w:rFonts w:ascii="Calibri" w:hAnsi="Calibri" w:cs="Calibri"/>
          <w:noProof/>
          <w:lang w:val="en-US"/>
        </w:rPr>
        <w:tab/>
        <w:t xml:space="preserve">Zhao L, Chen S, Chen S, Pang Y, Dai Y, Hu S, et al. 68Ga-fibroblast activation protein inhibitor PET/CT on gross tumour volume delineation for radiotherapy planning of oesophageal cancer. Radiother Oncol. 2021 May;158:55–61. </w:t>
      </w:r>
    </w:p>
    <w:p w14:paraId="1AAFC606" w14:textId="77777777" w:rsidR="00A20267" w:rsidRPr="00B55CEC" w:rsidRDefault="00A20267" w:rsidP="00A20267">
      <w:pPr>
        <w:widowControl w:val="0"/>
        <w:autoSpaceDE w:val="0"/>
        <w:autoSpaceDN w:val="0"/>
        <w:adjustRightInd w:val="0"/>
        <w:ind w:left="640" w:hanging="640"/>
        <w:rPr>
          <w:rFonts w:ascii="Calibri" w:hAnsi="Calibri" w:cs="Calibri"/>
          <w:noProof/>
          <w:lang w:val="en-US"/>
        </w:rPr>
      </w:pPr>
      <w:r w:rsidRPr="00B55CEC">
        <w:rPr>
          <w:rFonts w:ascii="Calibri" w:hAnsi="Calibri" w:cs="Calibri"/>
          <w:noProof/>
          <w:lang w:val="en-US"/>
        </w:rPr>
        <w:t xml:space="preserve">11. </w:t>
      </w:r>
      <w:r w:rsidRPr="00B55CEC">
        <w:rPr>
          <w:rFonts w:ascii="Calibri" w:hAnsi="Calibri" w:cs="Calibri"/>
          <w:noProof/>
          <w:lang w:val="en-US"/>
        </w:rPr>
        <w:tab/>
        <w:t xml:space="preserve">Syed M, Flechsig P, Liermann J, Windisch P, Staudinger F, Akbaba S, et al. Fibroblast activation protein inhibitor (FAPI) PET for diagnostics and advanced targeted radiotherapy in head and neck cancers. Eur J Nucl Med Mol Imaging. 2020 Nov 23;47(12):2836–45. </w:t>
      </w:r>
    </w:p>
    <w:p w14:paraId="644C8F39" w14:textId="77777777" w:rsidR="00A20267" w:rsidRPr="00B55CEC" w:rsidRDefault="00A20267" w:rsidP="00A20267">
      <w:pPr>
        <w:widowControl w:val="0"/>
        <w:autoSpaceDE w:val="0"/>
        <w:autoSpaceDN w:val="0"/>
        <w:adjustRightInd w:val="0"/>
        <w:ind w:left="640" w:hanging="640"/>
        <w:rPr>
          <w:rFonts w:ascii="Calibri" w:hAnsi="Calibri" w:cs="Calibri"/>
          <w:noProof/>
          <w:lang w:val="en-US"/>
        </w:rPr>
      </w:pPr>
      <w:r w:rsidRPr="00B55CEC">
        <w:rPr>
          <w:rFonts w:ascii="Calibri" w:hAnsi="Calibri" w:cs="Calibri"/>
          <w:noProof/>
          <w:lang w:val="en-US"/>
        </w:rPr>
        <w:t xml:space="preserve">12. </w:t>
      </w:r>
      <w:r w:rsidRPr="00B55CEC">
        <w:rPr>
          <w:rFonts w:ascii="Calibri" w:hAnsi="Calibri" w:cs="Calibri"/>
          <w:noProof/>
          <w:lang w:val="en-US"/>
        </w:rPr>
        <w:tab/>
        <w:t xml:space="preserve">Windisch P, Röhrich M, Regnery S, Tonndorf-Martini E, Held T, Lang K, et al. Fibroblast Activation Protein (FAP) specific PET for advanced target volume delineation in glioblastoma. Radiother Oncol. 2020; </w:t>
      </w:r>
    </w:p>
    <w:p w14:paraId="681F5CA4" w14:textId="77777777" w:rsidR="00A20267" w:rsidRPr="00B55CEC" w:rsidRDefault="00A20267" w:rsidP="00A20267">
      <w:pPr>
        <w:widowControl w:val="0"/>
        <w:autoSpaceDE w:val="0"/>
        <w:autoSpaceDN w:val="0"/>
        <w:adjustRightInd w:val="0"/>
        <w:ind w:left="640" w:hanging="640"/>
        <w:rPr>
          <w:rFonts w:ascii="Calibri" w:hAnsi="Calibri" w:cs="Calibri"/>
          <w:noProof/>
          <w:lang w:val="en-US"/>
        </w:rPr>
      </w:pPr>
      <w:r w:rsidRPr="00B55CEC">
        <w:rPr>
          <w:rFonts w:ascii="Calibri" w:hAnsi="Calibri" w:cs="Calibri"/>
          <w:noProof/>
          <w:lang w:val="en-US"/>
        </w:rPr>
        <w:t xml:space="preserve">13. </w:t>
      </w:r>
      <w:r w:rsidRPr="00B55CEC">
        <w:rPr>
          <w:rFonts w:ascii="Calibri" w:hAnsi="Calibri" w:cs="Calibri"/>
          <w:noProof/>
          <w:lang w:val="en-US"/>
        </w:rPr>
        <w:tab/>
        <w:t xml:space="preserve">Liermann J, Syed M, Ben-Josef E, Schubert K, Schlampp I, Sprengel SD, et al. Impact of FAPI-PET/CT on Target Volume Definition in Radiation Therapy of Locally Recurrent Pancreatic Cancer. Cancers (Basel). 2021 Feb 14;13(4):796. </w:t>
      </w:r>
    </w:p>
    <w:p w14:paraId="1631DEBD" w14:textId="77777777" w:rsidR="00A20267" w:rsidRPr="00A20267" w:rsidRDefault="00A20267" w:rsidP="00A20267">
      <w:pPr>
        <w:widowControl w:val="0"/>
        <w:autoSpaceDE w:val="0"/>
        <w:autoSpaceDN w:val="0"/>
        <w:adjustRightInd w:val="0"/>
        <w:ind w:left="640" w:hanging="640"/>
        <w:rPr>
          <w:rFonts w:ascii="Calibri" w:hAnsi="Calibri" w:cs="Calibri"/>
          <w:noProof/>
        </w:rPr>
      </w:pPr>
      <w:r w:rsidRPr="00B55CEC">
        <w:rPr>
          <w:rFonts w:ascii="Calibri" w:hAnsi="Calibri" w:cs="Calibri"/>
          <w:noProof/>
          <w:lang w:val="en-US"/>
        </w:rPr>
        <w:t xml:space="preserve">14. </w:t>
      </w:r>
      <w:r w:rsidRPr="00B55CEC">
        <w:rPr>
          <w:rFonts w:ascii="Calibri" w:hAnsi="Calibri" w:cs="Calibri"/>
          <w:noProof/>
          <w:lang w:val="en-US"/>
        </w:rPr>
        <w:tab/>
        <w:t xml:space="preserve">Röhrich M, Naumann P, Giesel FL, Choyke P, Staudinger F, Wefers A, et al. Impact of 68 Ga-FAPI-PET/CT imaging on the therapeutic management of primary and recurrent pancreatic ductal adenocarcinomas. </w:t>
      </w:r>
      <w:r w:rsidRPr="00A20267">
        <w:rPr>
          <w:rFonts w:ascii="Calibri" w:hAnsi="Calibri" w:cs="Calibri"/>
          <w:noProof/>
        </w:rPr>
        <w:t xml:space="preserve">J Nucl Med. 2020 Oct 23;jnumed.120.253062. </w:t>
      </w:r>
    </w:p>
    <w:p w14:paraId="6819A400" w14:textId="19CFA84B" w:rsidR="00BE34B7" w:rsidRPr="0021744E" w:rsidRDefault="00BE34B7" w:rsidP="00A20267">
      <w:pPr>
        <w:widowControl w:val="0"/>
        <w:autoSpaceDE w:val="0"/>
        <w:autoSpaceDN w:val="0"/>
        <w:adjustRightInd w:val="0"/>
        <w:ind w:left="640" w:hanging="640"/>
        <w:rPr>
          <w:lang w:val="en-US"/>
        </w:rPr>
      </w:pPr>
      <w:r>
        <w:rPr>
          <w:lang w:val="en-US"/>
        </w:rPr>
        <w:fldChar w:fldCharType="end"/>
      </w:r>
    </w:p>
    <w:sectPr w:rsidR="00BE34B7" w:rsidRPr="002174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DE3947"/>
    <w:multiLevelType w:val="multilevel"/>
    <w:tmpl w:val="3F7AAF94"/>
    <w:lvl w:ilvl="0">
      <w:start w:val="1"/>
      <w:numFmt w:val="decimal"/>
      <w:lvlText w:val="%1."/>
      <w:lvlJc w:val="left"/>
      <w:pPr>
        <w:ind w:left="644" w:hanging="359"/>
      </w:pPr>
      <w:rPr>
        <w:smallCaps w:val="0"/>
        <w:strike w:val="0"/>
        <w:shd w:val="clear" w:color="auto" w:fill="auto"/>
        <w:vertAlign w:val="baseline"/>
      </w:rPr>
    </w:lvl>
    <w:lvl w:ilvl="1">
      <w:start w:val="1"/>
      <w:numFmt w:val="lowerLetter"/>
      <w:lvlText w:val="%2."/>
      <w:lvlJc w:val="left"/>
      <w:pPr>
        <w:ind w:left="1364" w:hanging="360"/>
      </w:pPr>
      <w:rPr>
        <w:smallCaps w:val="0"/>
        <w:strike w:val="0"/>
        <w:shd w:val="clear" w:color="auto" w:fill="auto"/>
        <w:vertAlign w:val="baseline"/>
      </w:rPr>
    </w:lvl>
    <w:lvl w:ilvl="2">
      <w:start w:val="1"/>
      <w:numFmt w:val="lowerRoman"/>
      <w:lvlText w:val="%3."/>
      <w:lvlJc w:val="left"/>
      <w:pPr>
        <w:ind w:left="2084" w:hanging="291"/>
      </w:pPr>
      <w:rPr>
        <w:smallCaps w:val="0"/>
        <w:strike w:val="0"/>
        <w:shd w:val="clear" w:color="auto" w:fill="auto"/>
        <w:vertAlign w:val="baseline"/>
      </w:rPr>
    </w:lvl>
    <w:lvl w:ilvl="3">
      <w:start w:val="1"/>
      <w:numFmt w:val="decimal"/>
      <w:lvlText w:val="%4."/>
      <w:lvlJc w:val="left"/>
      <w:pPr>
        <w:ind w:left="2804" w:hanging="360"/>
      </w:pPr>
      <w:rPr>
        <w:smallCaps w:val="0"/>
        <w:strike w:val="0"/>
        <w:shd w:val="clear" w:color="auto" w:fill="auto"/>
        <w:vertAlign w:val="baseline"/>
      </w:rPr>
    </w:lvl>
    <w:lvl w:ilvl="4">
      <w:start w:val="1"/>
      <w:numFmt w:val="lowerLetter"/>
      <w:lvlText w:val="%5."/>
      <w:lvlJc w:val="left"/>
      <w:pPr>
        <w:ind w:left="3524" w:hanging="360"/>
      </w:pPr>
      <w:rPr>
        <w:smallCaps w:val="0"/>
        <w:strike w:val="0"/>
        <w:shd w:val="clear" w:color="auto" w:fill="auto"/>
        <w:vertAlign w:val="baseline"/>
      </w:rPr>
    </w:lvl>
    <w:lvl w:ilvl="5">
      <w:start w:val="1"/>
      <w:numFmt w:val="lowerRoman"/>
      <w:lvlText w:val="%6."/>
      <w:lvlJc w:val="left"/>
      <w:pPr>
        <w:ind w:left="4244" w:hanging="292"/>
      </w:pPr>
      <w:rPr>
        <w:smallCaps w:val="0"/>
        <w:strike w:val="0"/>
        <w:shd w:val="clear" w:color="auto" w:fill="auto"/>
        <w:vertAlign w:val="baseline"/>
      </w:rPr>
    </w:lvl>
    <w:lvl w:ilvl="6">
      <w:start w:val="1"/>
      <w:numFmt w:val="decimal"/>
      <w:lvlText w:val="%7."/>
      <w:lvlJc w:val="left"/>
      <w:pPr>
        <w:ind w:left="4964" w:hanging="360"/>
      </w:pPr>
      <w:rPr>
        <w:smallCaps w:val="0"/>
        <w:strike w:val="0"/>
        <w:shd w:val="clear" w:color="auto" w:fill="auto"/>
        <w:vertAlign w:val="baseline"/>
      </w:rPr>
    </w:lvl>
    <w:lvl w:ilvl="7">
      <w:start w:val="1"/>
      <w:numFmt w:val="lowerLetter"/>
      <w:lvlText w:val="%8."/>
      <w:lvlJc w:val="left"/>
      <w:pPr>
        <w:ind w:left="5684" w:hanging="360"/>
      </w:pPr>
      <w:rPr>
        <w:smallCaps w:val="0"/>
        <w:strike w:val="0"/>
        <w:shd w:val="clear" w:color="auto" w:fill="auto"/>
        <w:vertAlign w:val="baseline"/>
      </w:rPr>
    </w:lvl>
    <w:lvl w:ilvl="8">
      <w:start w:val="1"/>
      <w:numFmt w:val="lowerRoman"/>
      <w:lvlText w:val="%9."/>
      <w:lvlJc w:val="left"/>
      <w:pPr>
        <w:ind w:left="6404" w:hanging="292"/>
      </w:pPr>
      <w:rPr>
        <w:smallCaps w:val="0"/>
        <w:strike w:val="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44E"/>
    <w:rsid w:val="000F1EB7"/>
    <w:rsid w:val="0021744E"/>
    <w:rsid w:val="0022174E"/>
    <w:rsid w:val="008E35B3"/>
    <w:rsid w:val="00A20267"/>
    <w:rsid w:val="00A26864"/>
    <w:rsid w:val="00AF19F2"/>
    <w:rsid w:val="00B55CEC"/>
    <w:rsid w:val="00B73310"/>
    <w:rsid w:val="00BA3765"/>
    <w:rsid w:val="00BD303F"/>
    <w:rsid w:val="00BE34B7"/>
    <w:rsid w:val="00C33068"/>
    <w:rsid w:val="00C67287"/>
    <w:rsid w:val="00C973A4"/>
    <w:rsid w:val="00CB6406"/>
    <w:rsid w:val="00D65B11"/>
    <w:rsid w:val="00E6609B"/>
    <w:rsid w:val="00F23257"/>
    <w:rsid w:val="00F748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313FD"/>
  <w15:chartTrackingRefBased/>
  <w15:docId w15:val="{50B83E56-6E69-E542-BFE8-DD4F45D9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DPI31text">
    <w:name w:val="MDPI_3.1_text"/>
    <w:qFormat/>
    <w:rsid w:val="00C33068"/>
    <w:pPr>
      <w:adjustRightInd w:val="0"/>
      <w:snapToGrid w:val="0"/>
      <w:spacing w:line="260" w:lineRule="atLeast"/>
      <w:ind w:firstLine="425"/>
      <w:jc w:val="both"/>
    </w:pPr>
    <w:rPr>
      <w:rFonts w:ascii="Palatino Linotype" w:eastAsia="Times New Roman" w:hAnsi="Palatino Linotype" w:cs="Times New Roman"/>
      <w:snapToGrid w:val="0"/>
      <w:color w:val="000000"/>
      <w:sz w:val="20"/>
      <w:szCs w:val="22"/>
      <w:lang w:val="en-US" w:eastAsia="de-DE" w:bidi="en-US"/>
    </w:rPr>
  </w:style>
  <w:style w:type="table" w:styleId="Grigliatabella">
    <w:name w:val="Table Grid"/>
    <w:basedOn w:val="Tabellanormale"/>
    <w:uiPriority w:val="39"/>
    <w:rsid w:val="00C3306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D303F"/>
    <w:pPr>
      <w:ind w:left="720"/>
      <w:contextualSpacing/>
    </w:pPr>
    <w:rPr>
      <w:lang w:val="en-US"/>
    </w:rPr>
  </w:style>
  <w:style w:type="character" w:styleId="Collegamentoipertestuale">
    <w:name w:val="Hyperlink"/>
    <w:basedOn w:val="Carpredefinitoparagrafo"/>
    <w:uiPriority w:val="99"/>
    <w:unhideWhenUsed/>
    <w:rsid w:val="00BD303F"/>
    <w:rPr>
      <w:color w:val="0000FF"/>
      <w:u w:val="single"/>
    </w:rPr>
  </w:style>
  <w:style w:type="paragraph" w:customStyle="1" w:styleId="Default">
    <w:name w:val="Default"/>
    <w:rsid w:val="0022174E"/>
    <w:pPr>
      <w:widowControl w:val="0"/>
      <w:autoSpaceDE w:val="0"/>
      <w:autoSpaceDN w:val="0"/>
      <w:adjustRightInd w:val="0"/>
    </w:pPr>
    <w:rPr>
      <w:rFonts w:ascii="Calibri" w:eastAsia="Times New Roman" w:hAnsi="Calibri" w:cs="Calibri"/>
      <w:color w:val="000000"/>
      <w:lang w:val="en-CA" w:eastAsia="en-CA"/>
    </w:rPr>
  </w:style>
  <w:style w:type="character" w:styleId="Rimandocommento">
    <w:name w:val="annotation reference"/>
    <w:basedOn w:val="Carpredefinitoparagrafo"/>
    <w:uiPriority w:val="99"/>
    <w:semiHidden/>
    <w:unhideWhenUsed/>
    <w:rsid w:val="00AF19F2"/>
    <w:rPr>
      <w:sz w:val="16"/>
      <w:szCs w:val="16"/>
    </w:rPr>
  </w:style>
  <w:style w:type="paragraph" w:styleId="Testocommento">
    <w:name w:val="annotation text"/>
    <w:basedOn w:val="Normale"/>
    <w:link w:val="TestocommentoCarattere"/>
    <w:uiPriority w:val="99"/>
    <w:semiHidden/>
    <w:unhideWhenUsed/>
    <w:rsid w:val="00AF19F2"/>
    <w:rPr>
      <w:sz w:val="20"/>
      <w:szCs w:val="20"/>
    </w:rPr>
  </w:style>
  <w:style w:type="character" w:customStyle="1" w:styleId="TestocommentoCarattere">
    <w:name w:val="Testo commento Carattere"/>
    <w:basedOn w:val="Carpredefinitoparagrafo"/>
    <w:link w:val="Testocommento"/>
    <w:uiPriority w:val="99"/>
    <w:semiHidden/>
    <w:rsid w:val="00AF19F2"/>
    <w:rPr>
      <w:sz w:val="20"/>
      <w:szCs w:val="20"/>
    </w:rPr>
  </w:style>
  <w:style w:type="paragraph" w:styleId="Soggettocommento">
    <w:name w:val="annotation subject"/>
    <w:basedOn w:val="Testocommento"/>
    <w:next w:val="Testocommento"/>
    <w:link w:val="SoggettocommentoCarattere"/>
    <w:uiPriority w:val="99"/>
    <w:semiHidden/>
    <w:unhideWhenUsed/>
    <w:rsid w:val="00AF19F2"/>
    <w:rPr>
      <w:b/>
      <w:bCs/>
    </w:rPr>
  </w:style>
  <w:style w:type="character" w:customStyle="1" w:styleId="SoggettocommentoCarattere">
    <w:name w:val="Soggetto commento Carattere"/>
    <w:basedOn w:val="TestocommentoCarattere"/>
    <w:link w:val="Soggettocommento"/>
    <w:uiPriority w:val="99"/>
    <w:semiHidden/>
    <w:rsid w:val="00AF19F2"/>
    <w:rPr>
      <w:b/>
      <w:bCs/>
      <w:sz w:val="20"/>
      <w:szCs w:val="20"/>
    </w:rPr>
  </w:style>
  <w:style w:type="paragraph" w:styleId="Revisione">
    <w:name w:val="Revision"/>
    <w:hidden/>
    <w:uiPriority w:val="99"/>
    <w:semiHidden/>
    <w:rsid w:val="00AF19F2"/>
  </w:style>
  <w:style w:type="paragraph" w:styleId="Testofumetto">
    <w:name w:val="Balloon Text"/>
    <w:basedOn w:val="Normale"/>
    <w:link w:val="TestofumettoCarattere"/>
    <w:uiPriority w:val="99"/>
    <w:semiHidden/>
    <w:unhideWhenUsed/>
    <w:rsid w:val="00AF19F2"/>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AF19F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hyperlink" Target="https://orcid.org/0000-0002-3923-1151"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fabrizia.gelardi@cancercenter.humanitas.it"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625F2-AA7A-9B43-9916-52084D58F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14</Pages>
  <Words>10845</Words>
  <Characters>61820</Characters>
  <Application>Microsoft Office Word</Application>
  <DocSecurity>0</DocSecurity>
  <Lines>515</Lines>
  <Paragraphs>145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Kirienko</dc:creator>
  <cp:keywords/>
  <dc:description/>
  <cp:lastModifiedBy>Microsoft Office User</cp:lastModifiedBy>
  <cp:revision>12</cp:revision>
  <dcterms:created xsi:type="dcterms:W3CDTF">2021-05-14T10:03:00Z</dcterms:created>
  <dcterms:modified xsi:type="dcterms:W3CDTF">2021-05-18T10:36:00Z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http://www.zotero.org/styles/cancer-research</vt:lpwstr>
  </property>
  <property fmtid="{D5CDD505-2E9C-101B-9397-08002B2CF9AE}" pid="3" name="Mendeley Recent Style Name 0_1">
    <vt:lpwstr>Cancer Research</vt:lpwstr>
  </property>
  <property fmtid="{D5CDD505-2E9C-101B-9397-08002B2CF9AE}" pid="4" name="Mendeley Recent Style Id 1_1">
    <vt:lpwstr>http://www.zotero.org/styles/clinical-nuclear-medicine</vt:lpwstr>
  </property>
  <property fmtid="{D5CDD505-2E9C-101B-9397-08002B2CF9AE}" pid="5" name="Mendeley Recent Style Name 1_1">
    <vt:lpwstr>Clinical Nuclear Medicine</vt:lpwstr>
  </property>
  <property fmtid="{D5CDD505-2E9C-101B-9397-08002B2CF9AE}" pid="6" name="Mendeley Recent Style Id 2_1">
    <vt:lpwstr>http://www.zotero.org/styles/european-journal-of-nuclear-medicine-and-molecular-imaging</vt:lpwstr>
  </property>
  <property fmtid="{D5CDD505-2E9C-101B-9397-08002B2CF9AE}" pid="7" name="Mendeley Recent Style Name 2_1">
    <vt:lpwstr>European Journal of Nuclear Medicine and Molecular Imaging</vt:lpwstr>
  </property>
  <property fmtid="{D5CDD505-2E9C-101B-9397-08002B2CF9AE}" pid="8" name="Mendeley Recent Style Id 3_1">
    <vt:lpwstr>http://www.zotero.org/styles/european-radiology</vt:lpwstr>
  </property>
  <property fmtid="{D5CDD505-2E9C-101B-9397-08002B2CF9AE}" pid="9" name="Mendeley Recent Style Name 3_1">
    <vt:lpwstr>European Radiology</vt:lpwstr>
  </property>
  <property fmtid="{D5CDD505-2E9C-101B-9397-08002B2CF9AE}" pid="10" name="Mendeley Recent Style Id 4_1">
    <vt:lpwstr>http://www.zotero.org/styles/jacc-cardiovascular-imaging</vt:lpwstr>
  </property>
  <property fmtid="{D5CDD505-2E9C-101B-9397-08002B2CF9AE}" pid="11" name="Mendeley Recent Style Name 4_1">
    <vt:lpwstr>JACC: Cardiovascular Imaging</vt:lpwstr>
  </property>
  <property fmtid="{D5CDD505-2E9C-101B-9397-08002B2CF9AE}" pid="12" name="Mendeley Recent Style Id 5_1">
    <vt:lpwstr>http://www.zotero.org/styles/jama</vt:lpwstr>
  </property>
  <property fmtid="{D5CDD505-2E9C-101B-9397-08002B2CF9AE}" pid="13" name="Mendeley Recent Style Name 5_1">
    <vt:lpwstr>JAMA (The Journal of the American Medical Association)</vt:lpwstr>
  </property>
  <property fmtid="{D5CDD505-2E9C-101B-9397-08002B2CF9AE}" pid="14" name="Mendeley Recent Style Id 6_1">
    <vt:lpwstr>http://www.zotero.org/styles/journal-of-clinical-oncology</vt:lpwstr>
  </property>
  <property fmtid="{D5CDD505-2E9C-101B-9397-08002B2CF9AE}" pid="15" name="Mendeley Recent Style Name 6_1">
    <vt:lpwstr>Journal of Clinical Oncology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http://www.zotero.org/styles/rendiconti-lincei</vt:lpwstr>
  </property>
  <property fmtid="{D5CDD505-2E9C-101B-9397-08002B2CF9AE}" pid="19" name="Mendeley Recent Style Name 8_1">
    <vt:lpwstr>Rendiconti Lincei</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d32d3c3c-3f99-32a3-a0d4-8b3e45c5dc6f</vt:lpwstr>
  </property>
  <property fmtid="{D5CDD505-2E9C-101B-9397-08002B2CF9AE}" pid="24" name="Mendeley Citation Style_1">
    <vt:lpwstr>http://www.zotero.org/styles/vancouver</vt:lpwstr>
  </property>
</Properties>
</file>