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208" w:rsidRPr="006D6208" w:rsidRDefault="006D6208" w:rsidP="006D6208">
      <w:pPr>
        <w:spacing w:line="480" w:lineRule="auto"/>
        <w:ind w:left="140" w:right="508"/>
        <w:rPr>
          <w:rFonts w:eastAsiaTheme="minorEastAsia"/>
          <w:sz w:val="24"/>
          <w:szCs w:val="24"/>
          <w:lang w:eastAsia="zh-CN"/>
        </w:rPr>
      </w:pPr>
      <w:r w:rsidRPr="006D6208">
        <w:rPr>
          <w:sz w:val="24"/>
          <w:szCs w:val="24"/>
        </w:rPr>
        <w:t>Fig</w:t>
      </w:r>
      <w:r w:rsidRPr="006D6208">
        <w:rPr>
          <w:rFonts w:eastAsiaTheme="minorEastAsia"/>
          <w:sz w:val="24"/>
          <w:szCs w:val="24"/>
          <w:lang w:eastAsia="zh-CN"/>
        </w:rPr>
        <w:t>.</w:t>
      </w:r>
      <w:r w:rsidRPr="006D6208">
        <w:rPr>
          <w:sz w:val="24"/>
          <w:szCs w:val="24"/>
        </w:rPr>
        <w:t xml:space="preserve"> 4 A-C, Comparison of diagnostic accuracy for screening for DVT of different ROCs in the three ARDS cohorts. A, the overall cohort of 225 patients with ARDS w</w:t>
      </w:r>
      <w:r w:rsidRPr="006D6208">
        <w:rPr>
          <w:rFonts w:eastAsiaTheme="minorEastAsia" w:hint="eastAsia"/>
          <w:sz w:val="24"/>
          <w:szCs w:val="24"/>
          <w:lang w:eastAsia="zh-CN"/>
        </w:rPr>
        <w:t>ere</w:t>
      </w:r>
      <w:r w:rsidRPr="006D6208">
        <w:rPr>
          <w:sz w:val="24"/>
          <w:szCs w:val="24"/>
        </w:rPr>
        <w:t xml:space="preserve"> split by generating random numbers to produce a training data set (n=225*0.7=158) and a validation data set (n=225*0.3=67). Multimodal features including age, serum creatinine level, and IMV in the training data set were incorporated into a single model (ACI model) for</w:t>
      </w:r>
      <w:r w:rsidRPr="006D6208">
        <w:rPr>
          <w:rFonts w:eastAsiaTheme="minorEastAsia" w:hint="eastAsia"/>
          <w:sz w:val="24"/>
          <w:szCs w:val="24"/>
          <w:lang w:eastAsia="zh-CN"/>
        </w:rPr>
        <w:t xml:space="preserve"> </w:t>
      </w:r>
      <w:r w:rsidRPr="006D6208">
        <w:rPr>
          <w:sz w:val="24"/>
          <w:szCs w:val="24"/>
        </w:rPr>
        <w:t>predicting DVT in patients with ARDS based on the multivariate logistic regression model. The final parameters in the equation are as follows: ln(p/1-p) = -0.701988 + 0.041843*age</w:t>
      </w:r>
      <w:r w:rsidRPr="006D6208">
        <w:rPr>
          <w:rFonts w:eastAsiaTheme="minorEastAsia" w:hint="eastAsia"/>
          <w:sz w:val="24"/>
          <w:szCs w:val="24"/>
          <w:lang w:eastAsia="zh-CN"/>
        </w:rPr>
        <w:t xml:space="preserve"> </w:t>
      </w:r>
      <w:r w:rsidRPr="006D6208">
        <w:rPr>
          <w:sz w:val="24"/>
          <w:szCs w:val="24"/>
        </w:rPr>
        <w:t>+ (-0.003845* serum creatinine) + (-1.422550*IMV). The ACI model was internally validated on the validation data set of the ARDS cohort from which we generated the validated ROC curve. Taking the prediction probability of 0.425 as the cut-off point, the model shows satisfactory forecasting ability for predicting DVT (AUC</w:t>
      </w:r>
      <w:r w:rsidRPr="006D6208">
        <w:rPr>
          <w:rFonts w:eastAsiaTheme="minorEastAsia" w:hint="eastAsia"/>
          <w:sz w:val="24"/>
          <w:szCs w:val="24"/>
          <w:lang w:eastAsia="zh-CN"/>
        </w:rPr>
        <w:t xml:space="preserve"> </w:t>
      </w:r>
      <w:r w:rsidRPr="006D6208">
        <w:rPr>
          <w:sz w:val="24"/>
          <w:szCs w:val="24"/>
        </w:rPr>
        <w:t xml:space="preserve">= 0.786; 95% CI: 0.673 - 0.898; sensitivity: 74.2%; specificity: 78.4%; </w:t>
      </w:r>
      <w:r w:rsidRPr="006D6208">
        <w:rPr>
          <w:i/>
          <w:sz w:val="24"/>
          <w:szCs w:val="24"/>
        </w:rPr>
        <w:t>P</w:t>
      </w:r>
      <w:r w:rsidRPr="006D6208">
        <w:rPr>
          <w:rFonts w:eastAsiaTheme="minorEastAsia" w:hint="eastAsia"/>
          <w:sz w:val="24"/>
          <w:szCs w:val="24"/>
          <w:lang w:eastAsia="zh-CN"/>
        </w:rPr>
        <w:t xml:space="preserve"> </w:t>
      </w:r>
      <w:r w:rsidRPr="006D6208">
        <w:rPr>
          <w:sz w:val="24"/>
          <w:szCs w:val="24"/>
        </w:rPr>
        <w:t xml:space="preserve">&lt; 0.001). The diagnostic accuracy of the ACI prediction model for predicting DVT was significantly higher than that of the Padua prediction score (AUC= 0.587; </w:t>
      </w:r>
      <w:r w:rsidRPr="006D6208">
        <w:rPr>
          <w:i/>
          <w:sz w:val="24"/>
          <w:szCs w:val="24"/>
        </w:rPr>
        <w:t>P</w:t>
      </w:r>
      <w:r w:rsidRPr="006D6208">
        <w:rPr>
          <w:rFonts w:eastAsiaTheme="minorEastAsia" w:hint="eastAsia"/>
          <w:sz w:val="24"/>
          <w:szCs w:val="24"/>
          <w:lang w:eastAsia="zh-CN"/>
        </w:rPr>
        <w:t xml:space="preserve"> </w:t>
      </w:r>
      <w:r w:rsidRPr="006D6208">
        <w:rPr>
          <w:sz w:val="24"/>
          <w:szCs w:val="24"/>
        </w:rPr>
        <w:t>= 0.005 for these two curves) and</w:t>
      </w:r>
      <w:r w:rsidRPr="006D6208">
        <w:rPr>
          <w:rFonts w:eastAsiaTheme="minorEastAsia" w:hint="eastAsia"/>
          <w:sz w:val="24"/>
          <w:szCs w:val="24"/>
          <w:lang w:eastAsia="zh-CN"/>
        </w:rPr>
        <w:t xml:space="preserve"> </w:t>
      </w:r>
      <w:r w:rsidRPr="006D6208">
        <w:rPr>
          <w:sz w:val="24"/>
          <w:szCs w:val="24"/>
        </w:rPr>
        <w:t>the Caprini score (AUC = 0.558</w:t>
      </w:r>
      <w:r w:rsidRPr="006D6208">
        <w:rPr>
          <w:rFonts w:asciiTheme="minorEastAsia" w:eastAsiaTheme="minorEastAsia" w:hAnsiTheme="minorEastAsia" w:hint="eastAsia"/>
          <w:sz w:val="24"/>
          <w:szCs w:val="24"/>
          <w:lang w:eastAsia="zh-CN"/>
        </w:rPr>
        <w:t>;</w:t>
      </w:r>
      <w:r w:rsidRPr="006D6208">
        <w:rPr>
          <w:i/>
          <w:sz w:val="24"/>
          <w:szCs w:val="24"/>
        </w:rPr>
        <w:t>P</w:t>
      </w:r>
      <w:r w:rsidRPr="006D6208">
        <w:rPr>
          <w:rFonts w:eastAsiaTheme="minorEastAsia" w:hint="eastAsia"/>
          <w:sz w:val="24"/>
          <w:szCs w:val="24"/>
          <w:lang w:eastAsia="zh-CN"/>
        </w:rPr>
        <w:t xml:space="preserve"> </w:t>
      </w:r>
      <w:r w:rsidRPr="006D6208">
        <w:rPr>
          <w:sz w:val="24"/>
          <w:szCs w:val="24"/>
        </w:rPr>
        <w:t>= 0.00</w:t>
      </w:r>
      <w:r w:rsidRPr="006D6208">
        <w:rPr>
          <w:rFonts w:eastAsiaTheme="minorEastAsia" w:hint="eastAsia"/>
          <w:sz w:val="24"/>
          <w:szCs w:val="24"/>
          <w:lang w:eastAsia="zh-CN"/>
        </w:rPr>
        <w:t>1</w:t>
      </w:r>
      <w:r w:rsidRPr="006D6208">
        <w:rPr>
          <w:sz w:val="24"/>
          <w:szCs w:val="24"/>
        </w:rPr>
        <w:t xml:space="preserve"> for these two curves). B, the cohort of 111 patients with direct ARDS w</w:t>
      </w:r>
      <w:r w:rsidRPr="006D6208">
        <w:rPr>
          <w:rFonts w:eastAsiaTheme="minorEastAsia" w:hint="eastAsia"/>
          <w:sz w:val="24"/>
          <w:szCs w:val="24"/>
          <w:lang w:eastAsia="zh-CN"/>
        </w:rPr>
        <w:t>ere</w:t>
      </w:r>
      <w:r w:rsidRPr="006D6208">
        <w:rPr>
          <w:sz w:val="24"/>
          <w:szCs w:val="24"/>
        </w:rPr>
        <w:t xml:space="preserve"> split via a random designation of numbers to generate a training data set (n=111*0.7=78) and a validation data set (n=111*0.3=33). Multimodal features including age, serum creatinine level, and IMV in the training data set were incorporated into a single model (ACI) for predicting DVT in patients with direct ARDS based on the multivariate logistic regression model. The equation with the final model parameters is as follows: ln(p/1- p) = 0.482027 + 0.070189*age + (-0.016543* serum creatinine) + (-2.528458*IMV). The ACI model was internally validated on the validation data set of the direct ARDS cohort, from which we generated the validated ROC curve. Taking a prediction </w:t>
      </w:r>
      <w:r w:rsidRPr="006D6208">
        <w:rPr>
          <w:sz w:val="24"/>
          <w:szCs w:val="24"/>
        </w:rPr>
        <w:lastRenderedPageBreak/>
        <w:t>probability of 0.463 as the cut-off point, the model shows a satisfactory ability to predict</w:t>
      </w:r>
      <w:r w:rsidRPr="006D6208">
        <w:rPr>
          <w:rFonts w:eastAsiaTheme="minorEastAsia" w:hint="eastAsia"/>
          <w:sz w:val="24"/>
          <w:szCs w:val="24"/>
          <w:lang w:eastAsia="zh-CN"/>
        </w:rPr>
        <w:t>ing</w:t>
      </w:r>
      <w:r w:rsidRPr="006D6208">
        <w:rPr>
          <w:sz w:val="24"/>
          <w:szCs w:val="24"/>
        </w:rPr>
        <w:t xml:space="preserve"> DVT (AUC</w:t>
      </w:r>
      <w:r w:rsidRPr="006D6208">
        <w:rPr>
          <w:rFonts w:eastAsiaTheme="minorEastAsia" w:hint="eastAsia"/>
          <w:sz w:val="24"/>
          <w:szCs w:val="24"/>
          <w:lang w:eastAsia="zh-CN"/>
        </w:rPr>
        <w:t xml:space="preserve"> </w:t>
      </w:r>
      <w:r w:rsidRPr="006D6208">
        <w:rPr>
          <w:sz w:val="24"/>
          <w:szCs w:val="24"/>
        </w:rPr>
        <w:t>= 0.783; 95% CI: 0.612- 0.95</w:t>
      </w:r>
      <w:r w:rsidRPr="006D6208">
        <w:rPr>
          <w:rFonts w:eastAsiaTheme="minorEastAsia" w:hint="eastAsia"/>
          <w:sz w:val="24"/>
          <w:szCs w:val="24"/>
          <w:lang w:eastAsia="zh-CN"/>
        </w:rPr>
        <w:t>3</w:t>
      </w:r>
      <w:r w:rsidRPr="006D6208">
        <w:rPr>
          <w:sz w:val="24"/>
          <w:szCs w:val="24"/>
        </w:rPr>
        <w:t xml:space="preserve">; sensitivity: 81.8%; specificity: 69.6%; </w:t>
      </w:r>
      <w:r w:rsidRPr="006D6208">
        <w:rPr>
          <w:i/>
          <w:sz w:val="24"/>
          <w:szCs w:val="24"/>
        </w:rPr>
        <w:t>P</w:t>
      </w:r>
      <w:r w:rsidRPr="006D6208">
        <w:rPr>
          <w:sz w:val="24"/>
          <w:szCs w:val="24"/>
        </w:rPr>
        <w:t xml:space="preserve"> = 0.00</w:t>
      </w:r>
      <w:r w:rsidRPr="006D6208">
        <w:rPr>
          <w:rFonts w:eastAsiaTheme="minorEastAsia" w:hint="eastAsia"/>
          <w:sz w:val="24"/>
          <w:szCs w:val="24"/>
          <w:lang w:eastAsia="zh-CN"/>
        </w:rPr>
        <w:t>4</w:t>
      </w:r>
      <w:r w:rsidRPr="006D6208">
        <w:rPr>
          <w:sz w:val="24"/>
          <w:szCs w:val="24"/>
        </w:rPr>
        <w:t>). The ACI prediction model significantly surpassed the Padua prediction score (AUC = 0.521</w:t>
      </w:r>
      <w:r w:rsidRPr="006D6208">
        <w:rPr>
          <w:rFonts w:eastAsiaTheme="minorEastAsia" w:hint="eastAsia"/>
          <w:sz w:val="24"/>
          <w:szCs w:val="24"/>
          <w:lang w:eastAsia="zh-CN"/>
        </w:rPr>
        <w:t>;</w:t>
      </w:r>
      <w:r w:rsidRPr="006D6208">
        <w:rPr>
          <w:sz w:val="24"/>
          <w:szCs w:val="24"/>
        </w:rPr>
        <w:t xml:space="preserve"> </w:t>
      </w:r>
      <w:r w:rsidRPr="006D6208">
        <w:rPr>
          <w:i/>
          <w:sz w:val="24"/>
          <w:szCs w:val="24"/>
        </w:rPr>
        <w:t>P</w:t>
      </w:r>
      <w:r w:rsidRPr="006D6208">
        <w:rPr>
          <w:rFonts w:eastAsiaTheme="minorEastAsia" w:hint="eastAsia"/>
          <w:sz w:val="24"/>
          <w:szCs w:val="24"/>
          <w:lang w:eastAsia="zh-CN"/>
        </w:rPr>
        <w:t xml:space="preserve"> </w:t>
      </w:r>
      <w:r w:rsidRPr="006D6208">
        <w:rPr>
          <w:sz w:val="24"/>
          <w:szCs w:val="24"/>
        </w:rPr>
        <w:t>= 0.00</w:t>
      </w:r>
      <w:r w:rsidRPr="006D6208">
        <w:rPr>
          <w:rFonts w:eastAsiaTheme="minorEastAsia" w:hint="eastAsia"/>
          <w:sz w:val="24"/>
          <w:szCs w:val="24"/>
          <w:lang w:eastAsia="zh-CN"/>
        </w:rPr>
        <w:t>1</w:t>
      </w:r>
      <w:r w:rsidRPr="006D6208">
        <w:rPr>
          <w:sz w:val="24"/>
          <w:szCs w:val="24"/>
        </w:rPr>
        <w:t xml:space="preserve"> for these two curves) and the Caprini score (AUC = 0.</w:t>
      </w:r>
      <w:r w:rsidRPr="006D6208">
        <w:rPr>
          <w:rFonts w:eastAsiaTheme="minorEastAsia" w:hint="eastAsia"/>
          <w:sz w:val="24"/>
          <w:szCs w:val="24"/>
          <w:lang w:eastAsia="zh-CN"/>
        </w:rPr>
        <w:t>492</w:t>
      </w:r>
      <w:r w:rsidRPr="006D6208">
        <w:rPr>
          <w:sz w:val="24"/>
          <w:szCs w:val="24"/>
        </w:rPr>
        <w:t xml:space="preserve">; </w:t>
      </w:r>
      <w:r w:rsidRPr="006D6208">
        <w:rPr>
          <w:i/>
          <w:sz w:val="24"/>
          <w:szCs w:val="24"/>
        </w:rPr>
        <w:t>P</w:t>
      </w:r>
      <w:r w:rsidRPr="006D6208">
        <w:rPr>
          <w:rFonts w:eastAsiaTheme="minorEastAsia" w:hint="eastAsia"/>
          <w:sz w:val="24"/>
          <w:szCs w:val="24"/>
          <w:lang w:eastAsia="zh-CN"/>
        </w:rPr>
        <w:t xml:space="preserve"> </w:t>
      </w:r>
      <w:r w:rsidRPr="006D6208">
        <w:rPr>
          <w:sz w:val="24"/>
          <w:szCs w:val="24"/>
        </w:rPr>
        <w:t>= 0.00</w:t>
      </w:r>
      <w:r w:rsidRPr="006D6208">
        <w:rPr>
          <w:rFonts w:eastAsiaTheme="minorEastAsia" w:hint="eastAsia"/>
          <w:sz w:val="24"/>
          <w:szCs w:val="24"/>
          <w:lang w:eastAsia="zh-CN"/>
        </w:rPr>
        <w:t>6</w:t>
      </w:r>
      <w:r w:rsidRPr="006D6208">
        <w:rPr>
          <w:sz w:val="24"/>
          <w:szCs w:val="24"/>
        </w:rPr>
        <w:t xml:space="preserve"> for these two curves). C, the cohort of 114 patients with indirect ARDS w</w:t>
      </w:r>
      <w:r w:rsidRPr="006D6208">
        <w:rPr>
          <w:rFonts w:eastAsiaTheme="minorEastAsia" w:hint="eastAsia"/>
          <w:sz w:val="24"/>
          <w:szCs w:val="24"/>
          <w:lang w:eastAsia="zh-CN"/>
        </w:rPr>
        <w:t>ere</w:t>
      </w:r>
      <w:r w:rsidRPr="006D6208">
        <w:rPr>
          <w:sz w:val="24"/>
          <w:szCs w:val="24"/>
        </w:rPr>
        <w:t xml:space="preserve"> split via the generation of random numbers to produce a training data set (n=114*0.7=80) and a validation data set (n=114*0.3=34). Multimodal features including age, serum creatinine level, and IMV in the training data set were incorporated into a single model (ACI) for predicting DVT in patients with indirect ARDS based on the multivariate logistic regression model. The equation with the final model parameters is as follows: ln(p/1-p) = -1.040551 + 0.041183*age + (- 0.002198*serum creatinine) + (-1.145853*IMV). The ACI model was internally validated on the validation data set of the cohort with indirect ARDS, from which we generated the validated ROC curve. Taking the prediction probability of 0.541 as the cut-off point, the model shows satisfactory forecasting ability for predicting DVT (AUC</w:t>
      </w:r>
      <w:r w:rsidRPr="006D6208">
        <w:rPr>
          <w:rFonts w:eastAsiaTheme="minorEastAsia" w:hint="eastAsia"/>
          <w:sz w:val="24"/>
          <w:szCs w:val="24"/>
          <w:lang w:eastAsia="zh-CN"/>
        </w:rPr>
        <w:t xml:space="preserve"> </w:t>
      </w:r>
      <w:r w:rsidRPr="006D6208">
        <w:rPr>
          <w:sz w:val="24"/>
          <w:szCs w:val="24"/>
        </w:rPr>
        <w:t>= 0.712; 95% CI: 0.519</w:t>
      </w:r>
      <w:r w:rsidRPr="006D6208">
        <w:rPr>
          <w:rFonts w:asciiTheme="minorEastAsia" w:eastAsiaTheme="minorEastAsia" w:hAnsiTheme="minorEastAsia" w:hint="eastAsia"/>
          <w:sz w:val="24"/>
          <w:szCs w:val="24"/>
          <w:lang w:eastAsia="zh-CN"/>
        </w:rPr>
        <w:t>-</w:t>
      </w:r>
      <w:r w:rsidRPr="006D6208">
        <w:rPr>
          <w:sz w:val="24"/>
          <w:szCs w:val="24"/>
        </w:rPr>
        <w:t xml:space="preserve">0.905; sensitivity: 63.6%; specificity: 83.3%; </w:t>
      </w:r>
      <w:r w:rsidRPr="006D6208">
        <w:rPr>
          <w:i/>
          <w:sz w:val="24"/>
          <w:szCs w:val="24"/>
        </w:rPr>
        <w:t>P</w:t>
      </w:r>
      <w:r w:rsidRPr="006D6208">
        <w:rPr>
          <w:sz w:val="24"/>
          <w:szCs w:val="24"/>
        </w:rPr>
        <w:t xml:space="preserve"> = 0.024). The ACI model has no obvious difference compared with the Padua prediction score (AUC = 0.644; </w:t>
      </w:r>
      <w:r w:rsidRPr="006D6208">
        <w:rPr>
          <w:i/>
          <w:sz w:val="24"/>
          <w:szCs w:val="24"/>
        </w:rPr>
        <w:t>P</w:t>
      </w:r>
      <w:r w:rsidRPr="006D6208">
        <w:rPr>
          <w:rFonts w:eastAsiaTheme="minorEastAsia" w:hint="eastAsia"/>
          <w:sz w:val="24"/>
          <w:szCs w:val="24"/>
          <w:lang w:eastAsia="zh-CN"/>
        </w:rPr>
        <w:t xml:space="preserve"> </w:t>
      </w:r>
      <w:r w:rsidRPr="006D6208">
        <w:rPr>
          <w:sz w:val="24"/>
          <w:szCs w:val="24"/>
        </w:rPr>
        <w:t>= 0.</w:t>
      </w:r>
      <w:r w:rsidRPr="006D6208">
        <w:rPr>
          <w:rFonts w:eastAsiaTheme="minorEastAsia" w:hint="eastAsia"/>
          <w:sz w:val="24"/>
          <w:szCs w:val="24"/>
          <w:lang w:eastAsia="zh-CN"/>
        </w:rPr>
        <w:t>551</w:t>
      </w:r>
      <w:r w:rsidRPr="006D6208">
        <w:rPr>
          <w:sz w:val="24"/>
          <w:szCs w:val="24"/>
        </w:rPr>
        <w:t xml:space="preserve"> for these two curves) and the Caprini score (AUC = 0.627; </w:t>
      </w:r>
      <w:r w:rsidRPr="006D6208">
        <w:rPr>
          <w:i/>
          <w:sz w:val="24"/>
          <w:szCs w:val="24"/>
        </w:rPr>
        <w:t>P</w:t>
      </w:r>
      <w:r w:rsidRPr="006D6208">
        <w:rPr>
          <w:rFonts w:eastAsiaTheme="minorEastAsia" w:hint="eastAsia"/>
          <w:sz w:val="24"/>
          <w:szCs w:val="24"/>
          <w:lang w:eastAsia="zh-CN"/>
        </w:rPr>
        <w:t xml:space="preserve"> </w:t>
      </w:r>
      <w:r w:rsidRPr="006D6208">
        <w:rPr>
          <w:sz w:val="24"/>
          <w:szCs w:val="24"/>
        </w:rPr>
        <w:t>= 0.</w:t>
      </w:r>
      <w:r w:rsidRPr="006D6208">
        <w:rPr>
          <w:rFonts w:eastAsiaTheme="minorEastAsia" w:hint="eastAsia"/>
          <w:sz w:val="24"/>
          <w:szCs w:val="24"/>
          <w:lang w:eastAsia="zh-CN"/>
        </w:rPr>
        <w:t>451</w:t>
      </w:r>
      <w:r w:rsidRPr="006D6208">
        <w:rPr>
          <w:sz w:val="24"/>
          <w:szCs w:val="24"/>
        </w:rPr>
        <w:t xml:space="preserve"> for these two curves).</w:t>
      </w:r>
      <w:r w:rsidRPr="006D6208">
        <w:rPr>
          <w:rFonts w:eastAsiaTheme="minorEastAsia" w:hint="eastAsia"/>
          <w:sz w:val="24"/>
          <w:szCs w:val="24"/>
          <w:lang w:eastAsia="zh-CN"/>
        </w:rPr>
        <w:t xml:space="preserve"> </w:t>
      </w:r>
      <w:r w:rsidRPr="006D6208">
        <w:rPr>
          <w:sz w:val="24"/>
          <w:szCs w:val="24"/>
        </w:rPr>
        <w:t>Abbreviations:</w:t>
      </w:r>
      <w:r w:rsidRPr="006D6208">
        <w:rPr>
          <w:rFonts w:eastAsiaTheme="minorEastAsia" w:hint="eastAsia"/>
          <w:sz w:val="24"/>
          <w:szCs w:val="24"/>
          <w:lang w:eastAsia="zh-CN"/>
        </w:rPr>
        <w:t xml:space="preserve"> </w:t>
      </w:r>
      <w:r w:rsidRPr="006D6208">
        <w:rPr>
          <w:sz w:val="24"/>
          <w:szCs w:val="24"/>
        </w:rPr>
        <w:t>ACI = age + creatinine + IMV; ARDS</w:t>
      </w:r>
      <w:r w:rsidRPr="006D6208">
        <w:rPr>
          <w:rFonts w:eastAsiaTheme="minorEastAsia"/>
          <w:sz w:val="24"/>
          <w:szCs w:val="24"/>
          <w:lang w:eastAsia="zh-CN"/>
        </w:rPr>
        <w:t>,</w:t>
      </w:r>
      <w:r w:rsidRPr="006D6208">
        <w:rPr>
          <w:sz w:val="24"/>
          <w:szCs w:val="24"/>
        </w:rPr>
        <w:t xml:space="preserve"> acute respiratory disease syndrome; AUC</w:t>
      </w:r>
      <w:r w:rsidRPr="006D6208">
        <w:rPr>
          <w:rFonts w:eastAsiaTheme="minorEastAsia"/>
          <w:sz w:val="24"/>
          <w:szCs w:val="24"/>
          <w:lang w:eastAsia="zh-CN"/>
        </w:rPr>
        <w:t>,</w:t>
      </w:r>
      <w:r w:rsidRPr="006D6208">
        <w:rPr>
          <w:sz w:val="24"/>
          <w:szCs w:val="24"/>
        </w:rPr>
        <w:t xml:space="preserve"> area under the curve; CI</w:t>
      </w:r>
      <w:r w:rsidRPr="006D6208">
        <w:rPr>
          <w:rFonts w:eastAsiaTheme="minorEastAsia"/>
          <w:sz w:val="24"/>
          <w:szCs w:val="24"/>
          <w:lang w:eastAsia="zh-CN"/>
        </w:rPr>
        <w:t>,</w:t>
      </w:r>
      <w:r w:rsidRPr="006D6208">
        <w:rPr>
          <w:sz w:val="24"/>
          <w:szCs w:val="24"/>
        </w:rPr>
        <w:t xml:space="preserve"> confidence interval; DVT</w:t>
      </w:r>
      <w:r w:rsidRPr="006D6208">
        <w:rPr>
          <w:rFonts w:eastAsiaTheme="minorEastAsia"/>
          <w:sz w:val="24"/>
          <w:szCs w:val="24"/>
          <w:lang w:eastAsia="zh-CN"/>
        </w:rPr>
        <w:t>,</w:t>
      </w:r>
      <w:r w:rsidRPr="006D6208">
        <w:rPr>
          <w:sz w:val="24"/>
          <w:szCs w:val="24"/>
        </w:rPr>
        <w:t xml:space="preserve"> deep vein thrombosis; IMV</w:t>
      </w:r>
      <w:r w:rsidRPr="006D6208">
        <w:rPr>
          <w:rFonts w:eastAsiaTheme="minorEastAsia"/>
          <w:sz w:val="24"/>
          <w:szCs w:val="24"/>
          <w:lang w:eastAsia="zh-CN"/>
        </w:rPr>
        <w:t>,</w:t>
      </w:r>
      <w:r w:rsidRPr="006D6208">
        <w:rPr>
          <w:sz w:val="24"/>
          <w:szCs w:val="24"/>
        </w:rPr>
        <w:t xml:space="preserve"> invasive mechanical ventilation; ROC</w:t>
      </w:r>
      <w:r w:rsidRPr="006D6208">
        <w:rPr>
          <w:rFonts w:eastAsiaTheme="minorEastAsia"/>
          <w:sz w:val="24"/>
          <w:szCs w:val="24"/>
          <w:lang w:eastAsia="zh-CN"/>
        </w:rPr>
        <w:t xml:space="preserve">, </w:t>
      </w:r>
      <w:r w:rsidRPr="006D6208">
        <w:rPr>
          <w:sz w:val="24"/>
          <w:szCs w:val="24"/>
        </w:rPr>
        <w:t>receiver operating characteristic.</w:t>
      </w:r>
    </w:p>
    <w:sectPr w:rsidR="006D6208" w:rsidRPr="006D6208" w:rsidSect="00AD120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5E8B" w:rsidRDefault="00665E8B" w:rsidP="0008485A">
      <w:r>
        <w:separator/>
      </w:r>
    </w:p>
  </w:endnote>
  <w:endnote w:type="continuationSeparator" w:id="1">
    <w:p w:rsidR="00665E8B" w:rsidRDefault="00665E8B" w:rsidP="000848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5E8B" w:rsidRDefault="00665E8B" w:rsidP="0008485A">
      <w:r>
        <w:separator/>
      </w:r>
    </w:p>
  </w:footnote>
  <w:footnote w:type="continuationSeparator" w:id="1">
    <w:p w:rsidR="00665E8B" w:rsidRDefault="00665E8B" w:rsidP="000848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KY_MEDREF_DOCUID" w:val="{C6EB657C-A320-49D2-AEA7-8BE826BF3501}"/>
    <w:docVar w:name="KY_MEDREF_VERSION" w:val="3"/>
  </w:docVars>
  <w:rsids>
    <w:rsidRoot w:val="0008485A"/>
    <w:rsid w:val="0008485A"/>
    <w:rsid w:val="001361A2"/>
    <w:rsid w:val="001A3FF4"/>
    <w:rsid w:val="001C74F2"/>
    <w:rsid w:val="002F5757"/>
    <w:rsid w:val="003C13EA"/>
    <w:rsid w:val="003C3D57"/>
    <w:rsid w:val="004C2FD1"/>
    <w:rsid w:val="005A650E"/>
    <w:rsid w:val="00613047"/>
    <w:rsid w:val="00665E8B"/>
    <w:rsid w:val="006D6208"/>
    <w:rsid w:val="00737D1A"/>
    <w:rsid w:val="00773BFC"/>
    <w:rsid w:val="00791A71"/>
    <w:rsid w:val="007C31E6"/>
    <w:rsid w:val="007F3D53"/>
    <w:rsid w:val="00887A9D"/>
    <w:rsid w:val="009B4AAA"/>
    <w:rsid w:val="00AD1200"/>
    <w:rsid w:val="00BC697D"/>
    <w:rsid w:val="00BE5530"/>
    <w:rsid w:val="00D75F95"/>
    <w:rsid w:val="00E923FD"/>
    <w:rsid w:val="00FA36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D1200"/>
    <w:pPr>
      <w:widowControl w:val="0"/>
      <w:autoSpaceDE w:val="0"/>
      <w:autoSpaceDN w:val="0"/>
    </w:pPr>
    <w:rPr>
      <w:rFonts w:ascii="Times New Roman" w:eastAsia="Times New Roman" w:hAnsi="Times New Roman" w:cs="Times New Roman"/>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485A"/>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semiHidden/>
    <w:rsid w:val="0008485A"/>
    <w:rPr>
      <w:sz w:val="18"/>
      <w:szCs w:val="18"/>
    </w:rPr>
  </w:style>
  <w:style w:type="paragraph" w:styleId="a4">
    <w:name w:val="footer"/>
    <w:basedOn w:val="a"/>
    <w:link w:val="Char0"/>
    <w:uiPriority w:val="99"/>
    <w:semiHidden/>
    <w:unhideWhenUsed/>
    <w:rsid w:val="0008485A"/>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semiHidden/>
    <w:rsid w:val="0008485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2</Pages>
  <Words>561</Words>
  <Characters>3201</Characters>
  <Application>Microsoft Office Word</Application>
  <DocSecurity>0</DocSecurity>
  <Lines>26</Lines>
  <Paragraphs>7</Paragraphs>
  <ScaleCrop>false</ScaleCrop>
  <Company/>
  <LinksUpToDate>false</LinksUpToDate>
  <CharactersWithSpaces>3755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libin</dc:creator>
  <cp:keywords/>
  <dc:description/>
  <cp:lastModifiedBy>libin</cp:lastModifiedBy>
  <cp:revision>14</cp:revision>
  <dcterms:created xsi:type="dcterms:W3CDTF">2021-05-17T13:21:00Z</dcterms:created>
  <dcterms:modified xsi:type="dcterms:W3CDTF">2021-05-17T16:20:00Z</dcterms:modified>
</cp:coreProperties>
</file>