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5E9D15" w14:textId="77777777" w:rsidR="00AE2D04" w:rsidRPr="00AE2D04" w:rsidRDefault="00AE2D04" w:rsidP="00AE2D04">
      <w:pPr>
        <w:spacing w:before="240" w:after="240"/>
        <w:jc w:val="center"/>
        <w:rPr>
          <w:b/>
          <w:sz w:val="40"/>
          <w:szCs w:val="18"/>
        </w:rPr>
      </w:pPr>
      <w:r w:rsidRPr="00AE2D04">
        <w:rPr>
          <w:b/>
          <w:sz w:val="32"/>
          <w:szCs w:val="18"/>
        </w:rPr>
        <w:t>Supplementary Information</w:t>
      </w:r>
    </w:p>
    <w:p w14:paraId="7FBD01A5" w14:textId="77777777" w:rsidR="00AE2D04" w:rsidRDefault="00AE2D04" w:rsidP="00AE2D04">
      <w:pPr>
        <w:spacing w:before="240" w:after="240"/>
        <w:jc w:val="both"/>
        <w:rPr>
          <w:b/>
          <w:sz w:val="24"/>
          <w:szCs w:val="18"/>
        </w:rPr>
      </w:pPr>
    </w:p>
    <w:p w14:paraId="10F5210A" w14:textId="77777777" w:rsidR="00AE2D04" w:rsidRPr="00AE2D04" w:rsidRDefault="00AE2D04" w:rsidP="00AE2D04">
      <w:pPr>
        <w:spacing w:before="240" w:after="240"/>
        <w:jc w:val="both"/>
        <w:rPr>
          <w:b/>
          <w:sz w:val="36"/>
        </w:rPr>
      </w:pPr>
      <w:r w:rsidRPr="00AE2D04">
        <w:rPr>
          <w:b/>
          <w:sz w:val="24"/>
          <w:szCs w:val="18"/>
        </w:rPr>
        <w:t xml:space="preserve">Supplementary Table S1. </w:t>
      </w:r>
      <w:r w:rsidRPr="00AE2D04">
        <w:rPr>
          <w:sz w:val="24"/>
          <w:szCs w:val="18"/>
        </w:rPr>
        <w:t>Number of flood events in the attribution dataset by type, decade and country (only those with the highest number of events).</w:t>
      </w:r>
    </w:p>
    <w:p w14:paraId="2701271E" w14:textId="77777777" w:rsidR="00AE2D04" w:rsidRPr="00AE2D04" w:rsidRDefault="00AE2D04" w:rsidP="00AE2D04">
      <w:pPr>
        <w:spacing w:before="240" w:after="240"/>
        <w:jc w:val="both"/>
        <w:rPr>
          <w:b/>
          <w:sz w:val="24"/>
        </w:rPr>
      </w:pPr>
      <w:r w:rsidRPr="00AE2D04">
        <w:rPr>
          <w:b/>
          <w:noProof/>
          <w:sz w:val="24"/>
        </w:rPr>
        <w:drawing>
          <wp:inline distT="114300" distB="114300" distL="114300" distR="114300" wp14:anchorId="34BBF0A1" wp14:editId="290B22FC">
            <wp:extent cx="3519488" cy="3508098"/>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3519488" cy="3508098"/>
                    </a:xfrm>
                    <a:prstGeom prst="rect">
                      <a:avLst/>
                    </a:prstGeom>
                    <a:ln/>
                  </pic:spPr>
                </pic:pic>
              </a:graphicData>
            </a:graphic>
          </wp:inline>
        </w:drawing>
      </w:r>
    </w:p>
    <w:p w14:paraId="7246835C" w14:textId="77777777" w:rsidR="00AE2D04" w:rsidRPr="00AE2D04" w:rsidRDefault="00AE2D04" w:rsidP="00AE2D04">
      <w:pPr>
        <w:rPr>
          <w:b/>
          <w:sz w:val="24"/>
          <w:szCs w:val="18"/>
        </w:rPr>
      </w:pPr>
    </w:p>
    <w:p w14:paraId="162A5BFB" w14:textId="77777777" w:rsidR="00AE2D04" w:rsidRPr="00AE2D04" w:rsidRDefault="00AE2D04" w:rsidP="00AE2D04">
      <w:pPr>
        <w:spacing w:before="240" w:after="240"/>
        <w:jc w:val="both"/>
        <w:rPr>
          <w:sz w:val="24"/>
          <w:szCs w:val="18"/>
        </w:rPr>
      </w:pPr>
      <w:r w:rsidRPr="00AE2D04">
        <w:rPr>
          <w:b/>
          <w:sz w:val="24"/>
          <w:szCs w:val="18"/>
        </w:rPr>
        <w:t xml:space="preserve">Supplementary Table S2. </w:t>
      </w:r>
      <w:r w:rsidRPr="00AE2D04">
        <w:rPr>
          <w:sz w:val="24"/>
          <w:szCs w:val="18"/>
        </w:rPr>
        <w:t xml:space="preserve">Reported historical flood events in the HANZE database, detailed whether they were reconstructed in the modeling chain (first column) and whether their impacts were reported in historical sources or were gap-filled with model estimates. </w:t>
      </w:r>
    </w:p>
    <w:p w14:paraId="721773E3" w14:textId="77777777" w:rsidR="00AE2D04" w:rsidRPr="00AE2D04" w:rsidRDefault="00AE2D04" w:rsidP="00AE2D04">
      <w:pPr>
        <w:spacing w:before="240" w:after="240"/>
        <w:jc w:val="both"/>
        <w:rPr>
          <w:b/>
          <w:sz w:val="36"/>
        </w:rPr>
      </w:pPr>
      <w:r w:rsidRPr="00AE2D04">
        <w:rPr>
          <w:b/>
          <w:noProof/>
          <w:sz w:val="36"/>
        </w:rPr>
        <w:drawing>
          <wp:inline distT="114300" distB="114300" distL="114300" distR="114300" wp14:anchorId="2B49F6DD" wp14:editId="4F90438B">
            <wp:extent cx="5436000" cy="1684229"/>
            <wp:effectExtent l="0" t="0" r="0" b="0"/>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5436000" cy="1684229"/>
                    </a:xfrm>
                    <a:prstGeom prst="rect">
                      <a:avLst/>
                    </a:prstGeom>
                    <a:ln/>
                  </pic:spPr>
                </pic:pic>
              </a:graphicData>
            </a:graphic>
          </wp:inline>
        </w:drawing>
      </w:r>
    </w:p>
    <w:p w14:paraId="08C5C527" w14:textId="77777777" w:rsidR="00AE2D04" w:rsidRPr="00AE2D04" w:rsidRDefault="00AE2D04" w:rsidP="00AE2D04">
      <w:pPr>
        <w:rPr>
          <w:sz w:val="24"/>
          <w:szCs w:val="18"/>
        </w:rPr>
      </w:pPr>
      <w:r w:rsidRPr="00AE2D04">
        <w:rPr>
          <w:sz w:val="24"/>
          <w:szCs w:val="18"/>
        </w:rPr>
        <w:br w:type="page"/>
      </w:r>
    </w:p>
    <w:p w14:paraId="26291C0C" w14:textId="77777777" w:rsidR="00AE2D04" w:rsidRPr="00AE2D04" w:rsidRDefault="00AE2D04" w:rsidP="00AE2D04">
      <w:pPr>
        <w:spacing w:before="240" w:after="240"/>
        <w:jc w:val="both"/>
        <w:rPr>
          <w:sz w:val="24"/>
          <w:szCs w:val="18"/>
        </w:rPr>
      </w:pPr>
      <w:r w:rsidRPr="00AE2D04">
        <w:rPr>
          <w:noProof/>
          <w:sz w:val="36"/>
        </w:rPr>
        <w:lastRenderedPageBreak/>
        <w:drawing>
          <wp:inline distT="0" distB="0" distL="0" distR="0" wp14:anchorId="6C7BFB5E" wp14:editId="6B67371D">
            <wp:extent cx="5976000" cy="2988001"/>
            <wp:effectExtent l="0" t="0" r="571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76000" cy="2988001"/>
                    </a:xfrm>
                    <a:prstGeom prst="rect">
                      <a:avLst/>
                    </a:prstGeom>
                  </pic:spPr>
                </pic:pic>
              </a:graphicData>
            </a:graphic>
          </wp:inline>
        </w:drawing>
      </w:r>
    </w:p>
    <w:p w14:paraId="1225B8A7" w14:textId="77777777" w:rsidR="00AE2D04" w:rsidRPr="00AE2D04" w:rsidRDefault="00AE2D04" w:rsidP="00AE2D04">
      <w:pPr>
        <w:spacing w:before="240" w:after="240"/>
        <w:jc w:val="both"/>
        <w:rPr>
          <w:sz w:val="24"/>
          <w:szCs w:val="18"/>
        </w:rPr>
      </w:pPr>
      <w:r w:rsidRPr="00AE2D04">
        <w:rPr>
          <w:b/>
          <w:sz w:val="24"/>
          <w:szCs w:val="18"/>
        </w:rPr>
        <w:t xml:space="preserve">Supplementary Fig. S1. </w:t>
      </w:r>
      <w:r w:rsidRPr="00AE2D04">
        <w:rPr>
          <w:sz w:val="24"/>
          <w:szCs w:val="18"/>
        </w:rPr>
        <w:t xml:space="preserve">Contribution to impacts (in rows) of different drivers (in columns, panels </w:t>
      </w:r>
      <w:r w:rsidRPr="00AE2D04">
        <w:rPr>
          <w:b/>
          <w:sz w:val="24"/>
          <w:szCs w:val="18"/>
        </w:rPr>
        <w:t>a-f</w:t>
      </w:r>
      <w:r w:rsidRPr="00AE2D04">
        <w:rPr>
          <w:sz w:val="24"/>
          <w:szCs w:val="18"/>
        </w:rPr>
        <w:t>) by decade, expressed as % change of factual impacts relative to the counterfactual scenario of no change to the individual driver since 1950. Each panel represents one driver of change. Asterixis under each bar represent the likelihood that the difference between factual and counterfactual scenario is larger than the model uncertainty: likely (*), very likely (**) and virtually certain (***).</w:t>
      </w:r>
    </w:p>
    <w:p w14:paraId="4C298C4D" w14:textId="77777777" w:rsidR="00AE2D04" w:rsidRPr="00AE2D04" w:rsidRDefault="00AE2D04" w:rsidP="00AE2D04">
      <w:pPr>
        <w:rPr>
          <w:sz w:val="24"/>
          <w:szCs w:val="18"/>
        </w:rPr>
      </w:pPr>
    </w:p>
    <w:p w14:paraId="70F83133" w14:textId="77777777" w:rsidR="00AE2D04" w:rsidRPr="00AE2D04" w:rsidRDefault="00AE2D04" w:rsidP="00AE2D04">
      <w:pPr>
        <w:spacing w:before="240" w:after="240"/>
        <w:jc w:val="both"/>
        <w:rPr>
          <w:sz w:val="24"/>
          <w:szCs w:val="18"/>
        </w:rPr>
      </w:pPr>
      <w:r w:rsidRPr="00AE2D04">
        <w:rPr>
          <w:noProof/>
          <w:sz w:val="36"/>
        </w:rPr>
        <w:drawing>
          <wp:inline distT="0" distB="0" distL="0" distR="0" wp14:anchorId="71BA3803" wp14:editId="1003BB43">
            <wp:extent cx="5976000" cy="3074192"/>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76000" cy="3074192"/>
                    </a:xfrm>
                    <a:prstGeom prst="rect">
                      <a:avLst/>
                    </a:prstGeom>
                  </pic:spPr>
                </pic:pic>
              </a:graphicData>
            </a:graphic>
          </wp:inline>
        </w:drawing>
      </w:r>
    </w:p>
    <w:p w14:paraId="7C845973" w14:textId="77777777" w:rsidR="00AE2D04" w:rsidRPr="00AE2D04" w:rsidRDefault="00AE2D04" w:rsidP="00AE2D04">
      <w:pPr>
        <w:spacing w:before="240" w:after="240"/>
        <w:jc w:val="both"/>
        <w:rPr>
          <w:sz w:val="24"/>
          <w:szCs w:val="18"/>
          <w:shd w:val="clear" w:color="auto" w:fill="FF9900"/>
        </w:rPr>
      </w:pPr>
      <w:bookmarkStart w:id="0" w:name="_gjdgxs" w:colFirst="0" w:colLast="0"/>
      <w:bookmarkEnd w:id="0"/>
      <w:r w:rsidRPr="00AE2D04">
        <w:rPr>
          <w:b/>
          <w:sz w:val="24"/>
          <w:szCs w:val="18"/>
        </w:rPr>
        <w:t xml:space="preserve">Supplementary Fig. S2. </w:t>
      </w:r>
      <w:r w:rsidRPr="00AE2D04">
        <w:rPr>
          <w:sz w:val="24"/>
          <w:szCs w:val="18"/>
        </w:rPr>
        <w:t>The likelihood that the difference between factual and counterfactual scenarios is larger than the model uncertainty, by country (see Fig. 4): as likely as not (&lt;66%), likely (66-90%), very likely (90-99%), virtually certain (&gt;99%).</w:t>
      </w:r>
    </w:p>
    <w:p w14:paraId="7C688E94" w14:textId="77777777" w:rsidR="00AE2D04" w:rsidRPr="00AE2D04" w:rsidRDefault="00AE2D04" w:rsidP="00AE2D04">
      <w:pPr>
        <w:rPr>
          <w:sz w:val="24"/>
          <w:szCs w:val="18"/>
        </w:rPr>
      </w:pPr>
      <w:r w:rsidRPr="00AE2D04">
        <w:rPr>
          <w:sz w:val="24"/>
          <w:szCs w:val="18"/>
        </w:rPr>
        <w:br w:type="page"/>
      </w:r>
    </w:p>
    <w:p w14:paraId="5232C311" w14:textId="77777777" w:rsidR="00AE2D04" w:rsidRPr="00AE2D04" w:rsidRDefault="00AE2D04" w:rsidP="00AE2D04">
      <w:pPr>
        <w:spacing w:before="240" w:after="240"/>
        <w:jc w:val="both"/>
        <w:rPr>
          <w:sz w:val="24"/>
          <w:szCs w:val="18"/>
        </w:rPr>
      </w:pPr>
      <w:r w:rsidRPr="00AE2D04">
        <w:rPr>
          <w:noProof/>
          <w:sz w:val="36"/>
        </w:rPr>
        <w:lastRenderedPageBreak/>
        <w:drawing>
          <wp:inline distT="0" distB="0" distL="0" distR="0" wp14:anchorId="7A33A9AA" wp14:editId="2B00E508">
            <wp:extent cx="5976000" cy="2988001"/>
            <wp:effectExtent l="0" t="0" r="5715"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76000" cy="2988001"/>
                    </a:xfrm>
                    <a:prstGeom prst="rect">
                      <a:avLst/>
                    </a:prstGeom>
                  </pic:spPr>
                </pic:pic>
              </a:graphicData>
            </a:graphic>
          </wp:inline>
        </w:drawing>
      </w:r>
    </w:p>
    <w:p w14:paraId="00725466" w14:textId="77777777" w:rsidR="00AE2D04" w:rsidRPr="00AE2D04" w:rsidRDefault="00AE2D04" w:rsidP="00AE2D04">
      <w:pPr>
        <w:spacing w:before="240" w:after="240"/>
        <w:jc w:val="both"/>
        <w:rPr>
          <w:sz w:val="24"/>
          <w:szCs w:val="18"/>
        </w:rPr>
      </w:pPr>
      <w:r w:rsidRPr="00AE2D04">
        <w:rPr>
          <w:b/>
          <w:sz w:val="24"/>
          <w:szCs w:val="18"/>
        </w:rPr>
        <w:t>Supplementary Fig. S3.</w:t>
      </w:r>
      <w:r w:rsidRPr="00AE2D04">
        <w:rPr>
          <w:sz w:val="24"/>
          <w:szCs w:val="18"/>
        </w:rPr>
        <w:t xml:space="preserve"> Contribution to impacts (in rows) of different drivers (in columns, panels a-f), by subnational region, expressed as % change of factual impacts relative to the counterfactual scenario of no change in the individual driver since 1950. Each panel represents one driver of change.</w:t>
      </w:r>
    </w:p>
    <w:p w14:paraId="3D1C6BC7" w14:textId="77777777" w:rsidR="00AE2D04" w:rsidRDefault="00AE2D04" w:rsidP="00AE2D04">
      <w:pPr>
        <w:pStyle w:val="Acknowledgement"/>
        <w:ind w:firstLine="0"/>
      </w:pPr>
    </w:p>
    <w:sectPr w:rsidR="00AE2D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C01336"/>
    <w:multiLevelType w:val="multilevel"/>
    <w:tmpl w:val="8166B36E"/>
    <w:lvl w:ilvl="0">
      <w:start w:val="1"/>
      <w:numFmt w:val="decimal"/>
      <w:lvlText w:val="%1."/>
      <w:lvlJc w:val="left"/>
      <w:pPr>
        <w:ind w:left="720" w:hanging="360"/>
      </w:pPr>
      <w:rPr>
        <w:color w:val="00000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11246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B64"/>
    <w:rsid w:val="00392BB1"/>
    <w:rsid w:val="007C7BCB"/>
    <w:rsid w:val="00AB62C9"/>
    <w:rsid w:val="00AE2D04"/>
    <w:rsid w:val="00E37C90"/>
    <w:rsid w:val="00EA4464"/>
    <w:rsid w:val="00EE1B6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926D4"/>
  <w15:chartTrackingRefBased/>
  <w15:docId w15:val="{69A0B4C9-188B-4372-903F-358BB930D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B64"/>
    <w:pPr>
      <w:spacing w:after="0" w:line="240" w:lineRule="auto"/>
    </w:pPr>
    <w:rPr>
      <w:rFonts w:ascii="Times New Roman" w:eastAsia="Calibri"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Summary">
    <w:name w:val="Abstract/Summary"/>
    <w:basedOn w:val="Normal"/>
    <w:rsid w:val="00EE1B64"/>
    <w:pPr>
      <w:spacing w:before="120"/>
    </w:pPr>
    <w:rPr>
      <w:rFonts w:eastAsia="Times New Roman"/>
      <w:sz w:val="24"/>
      <w:szCs w:val="24"/>
    </w:rPr>
  </w:style>
  <w:style w:type="paragraph" w:customStyle="1" w:styleId="Referencesandnotes">
    <w:name w:val="References and notes"/>
    <w:basedOn w:val="Normal"/>
    <w:rsid w:val="00EE1B64"/>
    <w:pPr>
      <w:spacing w:before="120"/>
      <w:ind w:left="720" w:hanging="720"/>
    </w:pPr>
    <w:rPr>
      <w:rFonts w:eastAsia="Times New Roman"/>
      <w:sz w:val="24"/>
      <w:szCs w:val="24"/>
    </w:rPr>
  </w:style>
  <w:style w:type="paragraph" w:customStyle="1" w:styleId="Acknowledgement">
    <w:name w:val="Acknowledgement"/>
    <w:basedOn w:val="Referencesandnotes"/>
    <w:rsid w:val="00EE1B64"/>
  </w:style>
  <w:style w:type="paragraph" w:customStyle="1" w:styleId="Paragraph">
    <w:name w:val="Paragraph"/>
    <w:basedOn w:val="Normal"/>
    <w:rsid w:val="00EE1B64"/>
    <w:pPr>
      <w:spacing w:before="120"/>
      <w:ind w:firstLine="720"/>
    </w:pPr>
    <w:rPr>
      <w:rFonts w:eastAsia="Times New Roman"/>
      <w:sz w:val="24"/>
      <w:szCs w:val="24"/>
    </w:rPr>
  </w:style>
  <w:style w:type="character" w:styleId="Emphasis">
    <w:name w:val="Emphasis"/>
    <w:uiPriority w:val="20"/>
    <w:qFormat/>
    <w:rsid w:val="00EE1B64"/>
    <w:rPr>
      <w:i/>
      <w:iCs/>
    </w:rPr>
  </w:style>
  <w:style w:type="paragraph" w:customStyle="1" w:styleId="Head">
    <w:name w:val="Head"/>
    <w:basedOn w:val="Normal"/>
    <w:rsid w:val="00EE1B64"/>
    <w:pPr>
      <w:keepNext/>
      <w:spacing w:before="120" w:after="120"/>
      <w:jc w:val="center"/>
      <w:outlineLvl w:val="0"/>
    </w:pPr>
    <w:rPr>
      <w:rFonts w:eastAsia="Times New Roman"/>
      <w:b/>
      <w:bCs/>
      <w:kern w:val="28"/>
      <w:sz w:val="28"/>
      <w:szCs w:val="28"/>
    </w:rPr>
  </w:style>
  <w:style w:type="paragraph" w:customStyle="1" w:styleId="Refhead">
    <w:name w:val="Ref head"/>
    <w:basedOn w:val="Normal"/>
    <w:rsid w:val="00EE1B64"/>
    <w:pPr>
      <w:keepNext/>
      <w:spacing w:before="120" w:after="120"/>
      <w:outlineLvl w:val="0"/>
    </w:pPr>
    <w:rPr>
      <w:rFonts w:eastAsia="Times New Roman"/>
      <w:b/>
      <w:bCs/>
      <w:kern w:val="28"/>
      <w:sz w:val="24"/>
      <w:szCs w:val="24"/>
    </w:rPr>
  </w:style>
  <w:style w:type="paragraph" w:customStyle="1" w:styleId="SOMHead">
    <w:name w:val="SOMHead"/>
    <w:basedOn w:val="Normal"/>
    <w:rsid w:val="00EE1B64"/>
    <w:pPr>
      <w:keepNext/>
      <w:spacing w:before="240"/>
      <w:outlineLvl w:val="0"/>
    </w:pPr>
    <w:rPr>
      <w:rFonts w:eastAsia="Times New Roman"/>
      <w:b/>
      <w:kern w:val="28"/>
      <w:sz w:val="24"/>
      <w:szCs w:val="24"/>
    </w:rPr>
  </w:style>
  <w:style w:type="paragraph" w:customStyle="1" w:styleId="Teaser">
    <w:name w:val="Teaser"/>
    <w:basedOn w:val="Normal"/>
    <w:rsid w:val="00EE1B64"/>
    <w:pPr>
      <w:spacing w:before="120"/>
    </w:pPr>
    <w:rPr>
      <w:rFonts w:eastAsia="Times New Roman"/>
      <w:sz w:val="24"/>
      <w:szCs w:val="24"/>
    </w:rPr>
  </w:style>
  <w:style w:type="paragraph" w:styleId="ListParagraph">
    <w:name w:val="List Paragraph"/>
    <w:basedOn w:val="Normal"/>
    <w:uiPriority w:val="34"/>
    <w:qFormat/>
    <w:rsid w:val="00EE1B64"/>
    <w:pPr>
      <w:ind w:left="720"/>
      <w:contextualSpacing/>
    </w:pPr>
  </w:style>
  <w:style w:type="character" w:styleId="Hyperlink">
    <w:name w:val="Hyperlink"/>
    <w:basedOn w:val="DefaultParagraphFont"/>
    <w:uiPriority w:val="99"/>
    <w:unhideWhenUsed/>
    <w:rsid w:val="00AE2D04"/>
    <w:rPr>
      <w:color w:val="0563C1" w:themeColor="hyperlink"/>
      <w:u w:val="single"/>
    </w:rPr>
  </w:style>
  <w:style w:type="character" w:styleId="UnresolvedMention">
    <w:name w:val="Unresolved Mention"/>
    <w:basedOn w:val="DefaultParagraphFont"/>
    <w:uiPriority w:val="99"/>
    <w:semiHidden/>
    <w:unhideWhenUsed/>
    <w:rsid w:val="00AE2D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225</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 Paprotny</dc:creator>
  <cp:keywords/>
  <dc:description/>
  <cp:lastModifiedBy>Nilesh Nawale</cp:lastModifiedBy>
  <cp:revision>2</cp:revision>
  <dcterms:created xsi:type="dcterms:W3CDTF">2024-11-12T08:35:00Z</dcterms:created>
  <dcterms:modified xsi:type="dcterms:W3CDTF">2024-11-12T08:35:00Z</dcterms:modified>
</cp:coreProperties>
</file>