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rFonts w:eastAsiaTheme="majorEastAsia" w:cstheme="majorBidi"/>
          <w:bCs/>
          <w:spacing w:val="-10"/>
          <w:kern w:val="28"/>
          <w:sz w:val="32"/>
          <w:szCs w:val="48"/>
        </w:rPr>
      </w:pPr>
      <w:bookmarkStart w:id="0" w:name="_Hlk28702752"/>
      <w:r>
        <w:rPr>
          <w:rFonts w:eastAsiaTheme="majorEastAsia" w:cstheme="majorBidi"/>
          <w:bCs/>
          <w:spacing w:val="-10"/>
          <w:kern w:val="28"/>
          <w:sz w:val="32"/>
          <w:szCs w:val="48"/>
        </w:rPr>
        <w:t>Supplementary information</w:t>
      </w:r>
    </w:p>
    <w:p>
      <w:pPr>
        <w:jc w:val="center"/>
        <w:rPr>
          <w:rFonts w:eastAsiaTheme="majorEastAsia" w:cstheme="majorBidi"/>
          <w:b/>
          <w:spacing w:val="-10"/>
          <w:kern w:val="28"/>
          <w:sz w:val="40"/>
          <w:szCs w:val="56"/>
        </w:rPr>
      </w:pPr>
      <w:r>
        <w:rPr>
          <w:rFonts w:eastAsiaTheme="majorEastAsia" w:cstheme="majorBidi"/>
          <w:b/>
          <w:spacing w:val="-10"/>
          <w:kern w:val="28"/>
          <w:sz w:val="40"/>
          <w:szCs w:val="56"/>
        </w:rPr>
        <w:t xml:space="preserve">Porphyrin-based metal coordination polymers with self-assembly pathway-dependent properties for photodynamic and photothermal therapy </w:t>
      </w:r>
    </w:p>
    <w:p>
      <w:pPr>
        <w:jc w:val="center"/>
        <w:rPr>
          <w:b/>
        </w:rPr>
      </w:pPr>
      <w:proofErr w:type="spellStart"/>
      <w:r>
        <w:t>Yuyang</w:t>
      </w:r>
      <w:proofErr w:type="spellEnd"/>
      <w:r>
        <w:t xml:space="preserve"> Miao</w:t>
      </w:r>
      <w:r>
        <w:rPr>
          <w:vertAlign w:val="superscript"/>
        </w:rPr>
        <w:t>#</w:t>
      </w:r>
      <w:r>
        <w:t xml:space="preserve">, </w:t>
      </w:r>
      <w:proofErr w:type="spellStart"/>
      <w:r>
        <w:t>Shibo</w:t>
      </w:r>
      <w:proofErr w:type="spellEnd"/>
      <w:r>
        <w:t xml:space="preserve"> </w:t>
      </w:r>
      <w:proofErr w:type="spellStart"/>
      <w:r>
        <w:t>Lv</w:t>
      </w:r>
      <w:proofErr w:type="spellEnd"/>
      <w:r>
        <w:rPr>
          <w:vertAlign w:val="superscript"/>
        </w:rPr>
        <w:t>#</w:t>
      </w:r>
      <w:r>
        <w:t xml:space="preserve">, </w:t>
      </w:r>
      <w:proofErr w:type="spellStart"/>
      <w:r>
        <w:t>Daoyuang</w:t>
      </w:r>
      <w:proofErr w:type="spellEnd"/>
      <w:r>
        <w:t xml:space="preserve"> Zheng, </w:t>
      </w:r>
      <w:proofErr w:type="spellStart"/>
      <w:r>
        <w:t>Yuhan</w:t>
      </w:r>
      <w:proofErr w:type="spellEnd"/>
      <w:r>
        <w:t xml:space="preserve"> Liu, Dapeng Liu*, </w:t>
      </w:r>
      <w:proofErr w:type="spellStart"/>
      <w:r>
        <w:t>Fengling</w:t>
      </w:r>
      <w:proofErr w:type="spellEnd"/>
      <w:r>
        <w:t xml:space="preserve"> Song*</w:t>
      </w:r>
    </w:p>
    <w:p>
      <w:pPr>
        <w:jc w:val="center"/>
      </w:pPr>
      <w:r>
        <w:t>Institute of Molecular Science and Engineering, Institute of Frontier and Interdisciplinary Science. Shandong University, Qingdao, Shandong, 266237, China</w:t>
      </w:r>
    </w:p>
    <w:p>
      <w:pPr>
        <w:jc w:val="center"/>
      </w:pPr>
      <w:hyperlink r:id="rId9" w:history="1">
        <w:r>
          <w:rPr>
            <w:rStyle w:val="Hyperlink"/>
          </w:rPr>
          <w:t>dapengliu@sdu.edu.cn</w:t>
        </w:r>
      </w:hyperlink>
    </w:p>
    <w:p>
      <w:pPr>
        <w:jc w:val="center"/>
      </w:pPr>
      <w:hyperlink r:id="rId10" w:history="1">
        <w:r>
          <w:rPr>
            <w:rStyle w:val="Hyperlink"/>
          </w:rPr>
          <w:t>songfl@sdu.edu.cn</w:t>
        </w:r>
      </w:hyperlink>
    </w:p>
    <w:p>
      <w:pPr>
        <w:pStyle w:val="Heading2"/>
      </w:pPr>
      <w:r>
        <w:t>Materials and Methods</w:t>
      </w:r>
    </w:p>
    <w:p>
      <w:r>
        <w:t>4,4′,4′′,4′′′</w:t>
      </w:r>
      <w:r>
        <w:rPr>
          <w:rFonts w:hint="eastAsia"/>
        </w:rPr>
        <w:t>-</w:t>
      </w:r>
      <w:r>
        <w:t>(Porphine-5,10,15,20-</w:t>
      </w:r>
      <w:proofErr w:type="gramStart"/>
      <w:r>
        <w:t>tetrayl)tetrakis</w:t>
      </w:r>
      <w:proofErr w:type="gramEnd"/>
      <w:r>
        <w:t>(benzoic acid)</w:t>
      </w:r>
      <w:r>
        <w:rPr>
          <w:color w:val="FF0000"/>
        </w:rPr>
        <w:t xml:space="preserve"> </w:t>
      </w:r>
      <w:r>
        <w:t>(TCPP), MnCl</w:t>
      </w:r>
      <w:r>
        <w:rPr>
          <w:vertAlign w:val="subscript"/>
        </w:rPr>
        <w:t>2</w:t>
      </w:r>
      <w:r>
        <w:rPr>
          <w:rFonts w:hint="eastAsia"/>
        </w:rPr>
        <w:t>·4H</w:t>
      </w:r>
      <w:r>
        <w:rPr>
          <w:rFonts w:hint="eastAsia"/>
          <w:vertAlign w:val="subscript"/>
        </w:rPr>
        <w:t>2</w:t>
      </w:r>
      <w:r>
        <w:t>O, and NaOH were purchased from</w:t>
      </w:r>
      <w:r>
        <w:rPr>
          <w:color w:val="FF0000"/>
        </w:rPr>
        <w:t xml:space="preserve"> </w:t>
      </w:r>
      <w:r>
        <w:t xml:space="preserve">Aladdin. Methyl thiazolyl tetrazolium (MTT), 2′,7′-dichlorofluorescin (DCFH) and 1,3-diphenlisobenzofuran (DPBF) were purchased from Macklin. The organic solvents used were commercially available without further purification. UV measurements were made on the HITACH UH5300 and fluorescence spectra (FL) were obtained from HITACH F-4700. Nanosecond transient absorption experiments (NTAS) were carried out using an LFP1000 spectrometer at room temperature. A </w:t>
      </w:r>
      <w:proofErr w:type="spellStart"/>
      <w:r>
        <w:t>Xe</w:t>
      </w:r>
      <w:proofErr w:type="spellEnd"/>
      <w:r>
        <w:t xml:space="preserve"> lamp and a picosecond pulsed diode laser (355 nm) were used as the excitation source. The transient absorption signal of thermodynamic stable Mn-TCPP aggregates and intermediate Mn-TCPP aggregates at 460 nm was used for fitting. The data for Mn-TCPP aqueous solution via confined self-assembly at 480 nm was chosen for fitting.</w:t>
      </w:r>
      <w:r>
        <w:rPr>
          <w:rFonts w:eastAsiaTheme="minorEastAsia" w:hint="eastAsia"/>
        </w:rPr>
        <w:t xml:space="preserve"> </w:t>
      </w:r>
      <w:r>
        <w:t xml:space="preserve">The optical length in the reported UV-vis, FL and NTAS spectra was 1 cm unless otherwise mentioned. Transition electron microscopy (TEM) images were obtained from </w:t>
      </w:r>
      <w:proofErr w:type="spellStart"/>
      <w:r>
        <w:t>Tecnai</w:t>
      </w:r>
      <w:proofErr w:type="spellEnd"/>
      <w:r>
        <w:t xml:space="preserve"> G2 F20 by the following procedure. A drop of the sample solution was deposited onto the copper grid (230 mesh with carbon film) before dried for overnight. Scanning electron microscope (SEM) images were obtained from HITACH SU8100. All the samples were coated with </w:t>
      </w:r>
      <w:r>
        <w:lastRenderedPageBreak/>
        <w:t xml:space="preserve">Au before measurement. Atomic force microscopy (AFM) was performed with Bruker Dimension </w:t>
      </w:r>
      <w:proofErr w:type="spellStart"/>
      <w:r>
        <w:t>Lcon</w:t>
      </w:r>
      <w:proofErr w:type="spellEnd"/>
      <w:r>
        <w:t>. Thermal gravimetric (TG) analysis profiles were obtained from STA 449 F3 Jupiter. Dynamic light scattering (DLS) measurements were performed using Malvern Nano ZSE. Prior to the DLS measurement, the sample solutions were filtered through 0.</w:t>
      </w:r>
      <w:r>
        <w:rPr>
          <w:rFonts w:hint="eastAsia"/>
        </w:rPr>
        <w:t>45</w:t>
      </w:r>
      <w:r>
        <w:t xml:space="preserve"> </w:t>
      </w:r>
      <m:oMath>
        <m:r>
          <m:rPr>
            <m:sty m:val="p"/>
          </m:rPr>
          <w:rPr>
            <w:rFonts w:ascii="Cambria Math" w:hAnsi="Cambria Math"/>
          </w:rPr>
          <m:t>μ</m:t>
        </m:r>
      </m:oMath>
      <w:r>
        <w:t xml:space="preserve">m membrane filter. X-ray photoelectron spectroscopy (XPS) was carried out using Thermo Fisher Scientific ESCALAB 250Xi. IR thermal images were obtained from an IR thermal camera (Fluke Tix501). Fluorescence images of cells were taken in a confocal fluorescence microscope (Zeiss LSM 880). </w:t>
      </w:r>
    </w:p>
    <w:p>
      <w:pPr>
        <w:pStyle w:val="Heading2"/>
      </w:pPr>
      <w:r>
        <w:rPr>
          <w:rFonts w:hint="eastAsia"/>
        </w:rPr>
        <w:t>P</w:t>
      </w:r>
      <w:r>
        <w:t>reparation of Mn-TCPP aggregates in bulk solutions</w:t>
      </w:r>
    </w:p>
    <w:p>
      <w:pPr>
        <w:rPr>
          <w:color w:val="FF0000"/>
        </w:rPr>
      </w:pPr>
      <w:r>
        <w:rPr>
          <w:rFonts w:hint="eastAsia"/>
        </w:rPr>
        <w:t>A</w:t>
      </w:r>
      <w:r>
        <w:t xml:space="preserve"> DMF solution (117 </w:t>
      </w:r>
      <m:oMath>
        <m:r>
          <m:rPr>
            <m:sty m:val="p"/>
          </m:rPr>
          <w:rPr>
            <w:rFonts w:ascii="Cambria Math" w:hAnsi="Cambria Math"/>
          </w:rPr>
          <m:t>μ</m:t>
        </m:r>
      </m:oMath>
      <w:r>
        <w:t xml:space="preserve">L) of TCPP (5.4 mM) was added into 10 mL deionized water under 55 </w:t>
      </w:r>
      <w:proofErr w:type="spellStart"/>
      <w:r>
        <w:rPr>
          <w:vertAlign w:val="superscript"/>
        </w:rPr>
        <w:t>o</w:t>
      </w:r>
      <w:r>
        <w:t>C</w:t>
      </w:r>
      <w:proofErr w:type="spellEnd"/>
      <w:r>
        <w:t xml:space="preserve"> (328 K) followed by addition of MnCl</w:t>
      </w:r>
      <w:r>
        <w:rPr>
          <w:vertAlign w:val="subscript"/>
        </w:rPr>
        <w:t>2</w:t>
      </w:r>
      <w:r>
        <w:t xml:space="preserve"> aqueous solution (70 </w:t>
      </w:r>
      <w:r>
        <w:rPr>
          <w:rFonts w:cs="Times New Roman"/>
        </w:rPr>
        <w:t>µ</w:t>
      </w:r>
      <w:r>
        <w:t xml:space="preserve">L, 42 mM) with stirring at </w:t>
      </w:r>
      <w:r>
        <w:rPr>
          <w:i/>
          <w:iCs/>
        </w:rPr>
        <w:t xml:space="preserve">ca. </w:t>
      </w:r>
      <w:r>
        <w:t xml:space="preserve">700 rpm. Then aliquots of NaOH aqueous solutions (800 </w:t>
      </w:r>
      <w:r>
        <w:rPr>
          <w:rFonts w:cs="Times New Roman"/>
        </w:rPr>
        <w:t>µ</w:t>
      </w:r>
      <w:r>
        <w:t>L in total, [OH</w:t>
      </w:r>
      <w:r>
        <w:rPr>
          <w:vertAlign w:val="superscript"/>
        </w:rPr>
        <w:t>-</w:t>
      </w:r>
      <w:r>
        <w:t>] = 10</w:t>
      </w:r>
      <w:r>
        <w:rPr>
          <w:rFonts w:hint="eastAsia"/>
          <w:vertAlign w:val="superscript"/>
        </w:rPr>
        <w:t>-</w:t>
      </w:r>
      <w:r>
        <w:rPr>
          <w:vertAlign w:val="superscript"/>
        </w:rPr>
        <w:t>2</w:t>
      </w:r>
      <w:r>
        <w:t xml:space="preserve"> M) was added. The process of addition of OH</w:t>
      </w:r>
      <w:r>
        <w:rPr>
          <w:vertAlign w:val="superscript"/>
        </w:rPr>
        <w:t>-</w:t>
      </w:r>
      <w:r>
        <w:t xml:space="preserve"> solution was monitored by UV spectroscopic method where the resulting mixture was first diluted 15 times with deionized water before measurement. After stirring for </w:t>
      </w:r>
      <w:r>
        <w:rPr>
          <w:i/>
          <w:iCs/>
        </w:rPr>
        <w:t>ca.</w:t>
      </w:r>
      <w:r>
        <w:t xml:space="preserve">1 h at 328 K, the thermodynamic stable Mn-TCPP colloid were obtained. The obtained colloid was then allowed to undergo dialysis against water for 24 h. Finally, the thermodynamic stable aggregates were obtained by addition of 50% DMF/water mixed solution followed by centrifugation under 10000 rpm for 10 min. </w:t>
      </w:r>
    </w:p>
    <w:p>
      <w:r>
        <w:t xml:space="preserve">The metastable Mn-TCPP aggregates were obtained when the resulting mixture color changed to pink accompanied with the absorption intensity at 415 nm reached maximum. The metastable Mn-TCPP aggregates </w:t>
      </w:r>
      <w:r>
        <w:rPr>
          <w:rFonts w:hint="eastAsia"/>
        </w:rPr>
        <w:t>w</w:t>
      </w:r>
      <w:r>
        <w:t xml:space="preserve">ere centrifugated from the aqueous solution under 10000 rpm for 10 min. The metastable Mn-TCPP aggregates were washed with water and DMF, respectively before further characterization.  </w:t>
      </w:r>
    </w:p>
    <w:p>
      <w:pPr>
        <w:pStyle w:val="Heading2"/>
      </w:pPr>
      <w:r>
        <w:rPr>
          <w:rFonts w:hint="eastAsia"/>
        </w:rPr>
        <w:t>D</w:t>
      </w:r>
      <w:r>
        <w:t>ialysis experiment of metastable Mn-TCPP aggregates against deionized water</w:t>
      </w:r>
    </w:p>
    <w:p>
      <w:r>
        <w:t>A solution of metastable Mn-TCPP aggregates in water (</w:t>
      </w:r>
      <w:r>
        <w:rPr>
          <w:rFonts w:cs="Times New Roman" w:hint="eastAsia"/>
        </w:rPr>
        <w:t>7</w:t>
      </w:r>
      <w:r>
        <w:rPr>
          <w:rFonts w:cs="Times New Roman"/>
        </w:rPr>
        <w:t xml:space="preserve">.5 </w:t>
      </w:r>
      <m:oMath>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-2</m:t>
            </m:r>
          </m:sup>
        </m:sSup>
      </m:oMath>
      <w:r>
        <w:t xml:space="preserve"> mg/mL, 2 mL) was added into the dialysis bag (molecular weight cut-off: 3500), and then the dialysis bag was put into the large amount of deionized water (25 mL) with stirring at room temperature. </w:t>
      </w:r>
      <w:r>
        <w:lastRenderedPageBreak/>
        <w:t xml:space="preserve">The aqueous solution outside of the dialysis bag was monitored with UV-vis absorption spectroscopic method. </w:t>
      </w:r>
    </w:p>
    <w:p>
      <w:pPr>
        <w:pStyle w:val="Heading2"/>
        <w:rPr>
          <w:rFonts w:cs="Times New Roman"/>
          <w:i/>
        </w:rPr>
      </w:pPr>
      <w:r>
        <w:rPr>
          <w:rFonts w:cs="Times New Roman"/>
          <w:vertAlign w:val="superscript"/>
        </w:rPr>
        <w:t>1</w:t>
      </w:r>
      <w:r>
        <w:rPr>
          <w:rFonts w:cs="Times New Roman"/>
        </w:rPr>
        <w:t>O</w:t>
      </w:r>
      <w:r>
        <w:rPr>
          <w:rFonts w:cs="Times New Roman"/>
          <w:vertAlign w:val="subscript"/>
        </w:rPr>
        <w:t>2</w:t>
      </w:r>
      <w:r>
        <w:rPr>
          <w:rFonts w:cs="Times New Roman"/>
        </w:rPr>
        <w:t xml:space="preserve"> generation of Mn-TCPP aggregates</w:t>
      </w:r>
    </w:p>
    <w:p>
      <w:pPr>
        <w:rPr>
          <w:rFonts w:cs="Times New Roman"/>
        </w:rPr>
      </w:pPr>
      <w:r>
        <w:rPr>
          <w:rFonts w:cs="Times New Roman"/>
        </w:rPr>
        <w:t>The singlet oxygen (</w:t>
      </w:r>
      <w:r>
        <w:rPr>
          <w:rFonts w:cs="Times New Roman"/>
          <w:vertAlign w:val="superscript"/>
        </w:rPr>
        <w:t>1</w:t>
      </w:r>
      <w:r>
        <w:rPr>
          <w:rFonts w:cs="Times New Roman"/>
        </w:rPr>
        <w:t>O</w:t>
      </w:r>
      <w:r>
        <w:rPr>
          <w:rFonts w:cs="Times New Roman"/>
          <w:vertAlign w:val="subscript"/>
        </w:rPr>
        <w:t>2</w:t>
      </w:r>
      <w:r>
        <w:rPr>
          <w:rFonts w:cs="Times New Roman"/>
        </w:rPr>
        <w:t xml:space="preserve">) generation of Mn-TCPP aggregates was evaluated by ROS probe DPBF. In practice, the Mn-TCPP aggregates aqueous dispersion containing DPBF solution (5mM) were exposed to LED light irradiation (660 nm, 12 </w:t>
      </w:r>
      <w:proofErr w:type="spellStart"/>
      <w:r>
        <w:rPr>
          <w:rFonts w:cs="Times New Roman"/>
        </w:rPr>
        <w:t>mW</w:t>
      </w:r>
      <w:proofErr w:type="spellEnd"/>
      <w:r>
        <w:rPr>
          <w:rFonts w:cs="Times New Roman"/>
        </w:rPr>
        <w:t>/cm</w:t>
      </w:r>
      <w:r>
        <w:rPr>
          <w:rFonts w:cs="Times New Roman"/>
          <w:vertAlign w:val="superscript"/>
        </w:rPr>
        <w:t>2</w:t>
      </w:r>
      <w:r>
        <w:rPr>
          <w:rFonts w:cs="Times New Roman"/>
        </w:rPr>
        <w:t xml:space="preserve">). And the absorbance change at 410 nm was recorded in a UV-Vis absorption spectrophotometer. </w:t>
      </w:r>
    </w:p>
    <w:p>
      <w:pPr>
        <w:pStyle w:val="Heading2"/>
        <w:rPr>
          <w:rFonts w:cs="Times New Roman"/>
        </w:rPr>
      </w:pPr>
      <w:r>
        <w:rPr>
          <w:rFonts w:cs="Times New Roman"/>
        </w:rPr>
        <w:t>Photothermal properties of Mn-TCPP aggregates</w:t>
      </w:r>
    </w:p>
    <w:p>
      <w:pPr>
        <w:rPr>
          <w:rFonts w:cs="Times New Roman"/>
        </w:rPr>
      </w:pPr>
      <w:r>
        <w:rPr>
          <w:rFonts w:cs="Times New Roman"/>
        </w:rPr>
        <w:t xml:space="preserve">200 </w:t>
      </w:r>
      <w:proofErr w:type="spellStart"/>
      <w:r>
        <w:rPr>
          <w:rFonts w:cs="Times New Roman"/>
        </w:rPr>
        <w:t>uL</w:t>
      </w:r>
      <w:proofErr w:type="spellEnd"/>
      <w:r>
        <w:rPr>
          <w:rFonts w:cs="Times New Roman"/>
        </w:rPr>
        <w:t xml:space="preserve"> of Mn-TCPP aggregates in aqueous solution was dropped on a piece of parafilm. PBS solution was used as a reference sample. Samples were exposed a 637 nm laser irradiation with 200 </w:t>
      </w:r>
      <w:proofErr w:type="spellStart"/>
      <w:r>
        <w:rPr>
          <w:rFonts w:cs="Times New Roman"/>
        </w:rPr>
        <w:t>mW</w:t>
      </w:r>
      <w:proofErr w:type="spellEnd"/>
      <w:r>
        <w:rPr>
          <w:rFonts w:cs="Times New Roman"/>
        </w:rPr>
        <w:t>/cm</w:t>
      </w:r>
      <w:r>
        <w:rPr>
          <w:rFonts w:cs="Times New Roman"/>
          <w:vertAlign w:val="superscript"/>
        </w:rPr>
        <w:t>2</w:t>
      </w:r>
      <w:r>
        <w:rPr>
          <w:rFonts w:cs="Times New Roman"/>
        </w:rPr>
        <w:t xml:space="preserve"> output. And the surface temperature was recorded using a temperature calibrated infrared camera. And the related thermal images were recorded with a thermal camera (Fluke Tix501).</w:t>
      </w:r>
    </w:p>
    <w:p>
      <w:pPr>
        <w:pStyle w:val="Heading2"/>
        <w:rPr>
          <w:rFonts w:cs="Times New Roman"/>
        </w:rPr>
      </w:pPr>
      <w:r>
        <w:rPr>
          <w:rFonts w:cs="Times New Roman"/>
        </w:rPr>
        <w:t>Cellular ROS detection</w:t>
      </w:r>
    </w:p>
    <w:p>
      <w:pPr>
        <w:rPr>
          <w:rFonts w:cs="Times New Roman"/>
        </w:rPr>
      </w:pPr>
      <w:r>
        <w:rPr>
          <w:rFonts w:cs="Times New Roman"/>
        </w:rPr>
        <w:t xml:space="preserve">The DCFH-DA could be oxidized rapidly by ROS to generate highly fluorescent DCFH. Here the DCFH-DA was used as ROS probe to detect the cellular ROS production. In practice, HeLa cells were first incubated in culture dishes for 24 h. Then the cells were treated with 1 mL of DMEM containing 0.1 mg/mL intermediate Mn-TCPP aggregates. After 24 h incubation, 1 mL PBS including DCFH-DA (2.5 µM) was added in each well and cultured for another 20 min. Then the cells were fixed with 4% paraformaldehyde in PBS for 30 min followed by being stained with DAPI for 15 min, and then washed 3 times with PBS. Finally, the cell images were obtained by laser scanning confocal microscope. </w:t>
      </w:r>
    </w:p>
    <w:p>
      <w:pPr>
        <w:pStyle w:val="Heading2"/>
        <w:rPr>
          <w:rFonts w:cs="Times New Roman"/>
        </w:rPr>
      </w:pPr>
      <w:r>
        <w:rPr>
          <w:rFonts w:cs="Times New Roman"/>
        </w:rPr>
        <w:t>Cell viability</w:t>
      </w:r>
    </w:p>
    <w:p>
      <w:pPr>
        <w:rPr>
          <w:rFonts w:cs="Times New Roman"/>
        </w:rPr>
      </w:pPr>
      <w:r>
        <w:rPr>
          <w:rFonts w:cs="Times New Roman"/>
        </w:rPr>
        <w:t>Cell viability of PDT/PTT performance was determined by MTT assay. In practice, HeLa cells were incubated in 96-well plates and cultured in a DMEM medium with 10% (v/v) fetal bovine serum (FBS), penicillin (100 U/mL) and streptomycin (100 µg/mL) at 37°C under 5% CO</w:t>
      </w:r>
      <w:r>
        <w:rPr>
          <w:rFonts w:cs="Times New Roman"/>
          <w:vertAlign w:val="subscript"/>
        </w:rPr>
        <w:t>2</w:t>
      </w:r>
      <w:r>
        <w:rPr>
          <w:rFonts w:cs="Times New Roman"/>
        </w:rPr>
        <w:t xml:space="preserve"> for 24 h. Then the cells were treated with different concentrations of Mn-TCPP aggregates. After </w:t>
      </w:r>
      <w:r>
        <w:rPr>
          <w:rFonts w:eastAsiaTheme="minorEastAsia" w:cs="Times New Roman"/>
        </w:rPr>
        <w:t>24</w:t>
      </w:r>
      <w:r>
        <w:rPr>
          <w:rFonts w:cs="Times New Roman"/>
        </w:rPr>
        <w:t xml:space="preserve"> h incubation, the cells in PDT groups were </w:t>
      </w:r>
      <w:bookmarkStart w:id="1" w:name="_GoBack"/>
      <w:bookmarkEnd w:id="1"/>
      <w:r>
        <w:rPr>
          <w:rFonts w:cs="Times New Roman"/>
        </w:rPr>
        <w:t xml:space="preserve">irradiated with LED </w:t>
      </w:r>
      <w:r>
        <w:rPr>
          <w:rFonts w:cs="Times New Roman"/>
        </w:rPr>
        <w:lastRenderedPageBreak/>
        <w:t>light (</w:t>
      </w:r>
      <w:r>
        <w:rPr>
          <w:rFonts w:eastAsiaTheme="minorEastAsia" w:cs="Times New Roman"/>
        </w:rPr>
        <w:t>660</w:t>
      </w:r>
      <w:r>
        <w:rPr>
          <w:rFonts w:cs="Times New Roman"/>
        </w:rPr>
        <w:t xml:space="preserve"> nm, </w:t>
      </w:r>
      <w:r>
        <w:rPr>
          <w:rFonts w:eastAsiaTheme="minorEastAsia" w:cs="Times New Roman"/>
        </w:rPr>
        <w:t>60</w:t>
      </w:r>
      <w:r>
        <w:rPr>
          <w:rFonts w:cs="Times New Roman"/>
        </w:rPr>
        <w:t xml:space="preserve"> </w:t>
      </w:r>
      <w:proofErr w:type="spellStart"/>
      <w:r>
        <w:rPr>
          <w:rFonts w:cs="Times New Roman"/>
        </w:rPr>
        <w:t>mW</w:t>
      </w:r>
      <w:proofErr w:type="spellEnd"/>
      <w:r>
        <w:rPr>
          <w:rFonts w:cs="Times New Roman"/>
        </w:rPr>
        <w:t>/cm</w:t>
      </w:r>
      <w:r>
        <w:rPr>
          <w:rFonts w:cs="Times New Roman"/>
          <w:vertAlign w:val="superscript"/>
        </w:rPr>
        <w:t>-2</w:t>
      </w:r>
      <w:r>
        <w:rPr>
          <w:rFonts w:cs="Times New Roman"/>
        </w:rPr>
        <w:t xml:space="preserve">) for </w:t>
      </w:r>
      <w:r>
        <w:rPr>
          <w:rFonts w:eastAsiaTheme="minorEastAsia" w:cs="Times New Roman"/>
        </w:rPr>
        <w:t>20</w:t>
      </w:r>
      <w:r>
        <w:rPr>
          <w:rFonts w:cs="Times New Roman"/>
        </w:rPr>
        <w:t xml:space="preserve"> min. And the cells in PTT groups were exposed to the LED light (</w:t>
      </w:r>
      <w:r>
        <w:rPr>
          <w:rFonts w:eastAsiaTheme="minorEastAsia" w:cs="Times New Roman"/>
        </w:rPr>
        <w:t>660</w:t>
      </w:r>
      <w:r>
        <w:rPr>
          <w:rFonts w:cs="Times New Roman"/>
        </w:rPr>
        <w:t xml:space="preserve"> nm) at a power density of </w:t>
      </w:r>
      <w:r>
        <w:rPr>
          <w:rFonts w:eastAsiaTheme="minorEastAsia" w:cs="Times New Roman"/>
        </w:rPr>
        <w:t>60</w:t>
      </w:r>
      <w:r>
        <w:rPr>
          <w:rFonts w:cs="Times New Roman"/>
        </w:rPr>
        <w:t xml:space="preserve"> mW</w:t>
      </w:r>
      <w:r>
        <w:rPr>
          <w:rFonts w:eastAsiaTheme="minorEastAsia" w:cs="Times New Roman"/>
        </w:rPr>
        <w:t>·</w:t>
      </w:r>
      <w:r>
        <w:rPr>
          <w:rFonts w:cs="Times New Roman"/>
        </w:rPr>
        <w:t>cm</w:t>
      </w:r>
      <w:r>
        <w:rPr>
          <w:rFonts w:cs="Times New Roman"/>
          <w:vertAlign w:val="superscript"/>
        </w:rPr>
        <w:t>-2</w:t>
      </w:r>
      <w:r>
        <w:rPr>
          <w:rFonts w:cs="Times New Roman"/>
        </w:rPr>
        <w:t xml:space="preserve"> for </w:t>
      </w:r>
      <w:r>
        <w:rPr>
          <w:rFonts w:eastAsiaTheme="minorEastAsia" w:cs="Times New Roman"/>
        </w:rPr>
        <w:t>15</w:t>
      </w:r>
      <w:r>
        <w:rPr>
          <w:rFonts w:cs="Times New Roman"/>
        </w:rPr>
        <w:t xml:space="preserve"> min. During the PDT/PTT experiments, the cells in control groups were covered with aluminum foil to remain in the dark. The cells in each well were cultured for another </w:t>
      </w:r>
      <w:r>
        <w:rPr>
          <w:rFonts w:eastAsiaTheme="minorEastAsia" w:cs="Times New Roman"/>
        </w:rPr>
        <w:t>24</w:t>
      </w:r>
      <w:r>
        <w:rPr>
          <w:rFonts w:cs="Times New Roman"/>
        </w:rPr>
        <w:t xml:space="preserve"> h and then treated with </w:t>
      </w:r>
      <w:r>
        <w:rPr>
          <w:rFonts w:eastAsiaTheme="minorEastAsia" w:cs="Times New Roman"/>
        </w:rPr>
        <w:t>100</w:t>
      </w:r>
      <w:r>
        <w:rPr>
          <w:rFonts w:cs="Times New Roman"/>
        </w:rPr>
        <w:t xml:space="preserve"> µL of </w:t>
      </w:r>
      <w:r>
        <w:rPr>
          <w:rFonts w:eastAsiaTheme="minorEastAsia" w:cs="Times New Roman"/>
        </w:rPr>
        <w:t>0.5</w:t>
      </w:r>
      <w:r>
        <w:rPr>
          <w:rFonts w:cs="Times New Roman"/>
        </w:rPr>
        <w:t xml:space="preserve"> mg/mL MTT in PBS.  After </w:t>
      </w:r>
      <w:r>
        <w:rPr>
          <w:rFonts w:eastAsiaTheme="minorEastAsia" w:cs="Times New Roman"/>
        </w:rPr>
        <w:t>4</w:t>
      </w:r>
      <w:r>
        <w:rPr>
          <w:rFonts w:cs="Times New Roman"/>
        </w:rPr>
        <w:t xml:space="preserve"> h incubation, the blue formazan crystals were formed. Then DMSO was used to replace the culture medium to dissolve the produced blue formazan crystals and the corresponding absorbance was measured using a microplate reader at a wavelength of </w:t>
      </w:r>
      <w:r>
        <w:rPr>
          <w:rFonts w:eastAsiaTheme="minorEastAsia" w:cs="Times New Roman"/>
        </w:rPr>
        <w:t>450</w:t>
      </w:r>
      <w:r>
        <w:rPr>
          <w:rFonts w:cs="Times New Roman"/>
        </w:rPr>
        <w:t xml:space="preserve"> nm. </w:t>
      </w:r>
    </w:p>
    <w:p>
      <w:pPr>
        <w:pStyle w:val="Heading2"/>
      </w:pPr>
      <w:r>
        <w:rPr>
          <w:rFonts w:hint="eastAsia"/>
        </w:rPr>
        <w:t>S</w:t>
      </w:r>
      <w:r>
        <w:t>upplementary figures and tables</w:t>
      </w:r>
    </w:p>
    <w:bookmarkEnd w:id="0"/>
    <w:p>
      <w:pPr>
        <w:jc w:val="center"/>
      </w:pPr>
      <w:r>
        <w:rPr>
          <w:noProof/>
        </w:rPr>
        <w:drawing>
          <wp:inline distT="0" distB="0" distL="0" distR="0">
            <wp:extent cx="4014850" cy="1658112"/>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1.em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49539" cy="1672438"/>
                    </a:xfrm>
                    <a:prstGeom prst="rect">
                      <a:avLst/>
                    </a:prstGeom>
                  </pic:spPr>
                </pic:pic>
              </a:graphicData>
            </a:graphic>
          </wp:inline>
        </w:drawing>
      </w:r>
    </w:p>
    <w:p>
      <w:pPr>
        <w:jc w:val="center"/>
      </w:pPr>
      <w:r>
        <w:rPr>
          <w:b/>
          <w:bCs/>
        </w:rPr>
        <w:t>Figure S1.</w:t>
      </w:r>
      <w:r>
        <w:t xml:space="preserve"> a) Photograph of the prepared Mn-TCPP colloid under laser irradiation. b) DLS profile of the thermodynamic stable Mn-TCPP aggregates.</w:t>
      </w:r>
    </w:p>
    <w:p>
      <w:pPr>
        <w:jc w:val="center"/>
      </w:pPr>
      <w:r>
        <w:rPr>
          <w:rFonts w:hint="eastAsia"/>
          <w:noProof/>
        </w:rPr>
        <w:drawing>
          <wp:inline distT="0" distB="0" distL="0" distR="0">
            <wp:extent cx="5274310" cy="259207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2.em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592070"/>
                    </a:xfrm>
                    <a:prstGeom prst="rect">
                      <a:avLst/>
                    </a:prstGeom>
                  </pic:spPr>
                </pic:pic>
              </a:graphicData>
            </a:graphic>
          </wp:inline>
        </w:drawing>
      </w:r>
    </w:p>
    <w:p>
      <w:pPr>
        <w:jc w:val="center"/>
      </w:pPr>
      <w:r>
        <w:rPr>
          <w:b/>
          <w:bCs/>
        </w:rPr>
        <w:t>Figure S2.</w:t>
      </w:r>
      <w:r>
        <w:t xml:space="preserve"> a) AFM height profile of thermodynamic stable Mn-TCPP aggregates. b) </w:t>
      </w:r>
      <w:r>
        <w:lastRenderedPageBreak/>
        <w:t>SEM image of the thermodynamic stable Mn-TCPP nanosheets. The SEM sample was coated with Au before measurement.</w:t>
      </w:r>
    </w:p>
    <w:p>
      <w:pPr>
        <w:jc w:val="center"/>
      </w:pPr>
      <w:r>
        <w:rPr>
          <w:noProof/>
        </w:rPr>
        <w:drawing>
          <wp:inline distT="0" distB="0" distL="0" distR="0">
            <wp:extent cx="2830749" cy="2088481"/>
            <wp:effectExtent l="0" t="0" r="825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3.em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41442" cy="2096370"/>
                    </a:xfrm>
                    <a:prstGeom prst="rect">
                      <a:avLst/>
                    </a:prstGeom>
                  </pic:spPr>
                </pic:pic>
              </a:graphicData>
            </a:graphic>
          </wp:inline>
        </w:drawing>
      </w:r>
    </w:p>
    <w:p>
      <w:pPr>
        <w:jc w:val="center"/>
      </w:pPr>
      <w:r>
        <w:rPr>
          <w:b/>
          <w:bCs/>
        </w:rPr>
        <w:t>Figure S3.</w:t>
      </w:r>
      <w:r>
        <w:t xml:space="preserve"> EDS profile of the thermodynamic stable Mn-TCPP nanosheets.</w:t>
      </w:r>
    </w:p>
    <w:p>
      <w:pPr>
        <w:jc w:val="center"/>
      </w:pPr>
      <w:r>
        <w:rPr>
          <w:noProof/>
        </w:rPr>
        <w:drawing>
          <wp:inline distT="0" distB="0" distL="0" distR="0">
            <wp:extent cx="5274310" cy="403288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465.em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032885"/>
                    </a:xfrm>
                    <a:prstGeom prst="rect">
                      <a:avLst/>
                    </a:prstGeom>
                  </pic:spPr>
                </pic:pic>
              </a:graphicData>
            </a:graphic>
          </wp:inline>
        </w:drawing>
      </w:r>
    </w:p>
    <w:p>
      <w:pPr>
        <w:jc w:val="center"/>
      </w:pPr>
      <w:r>
        <w:rPr>
          <w:b/>
          <w:bCs/>
        </w:rPr>
        <w:t>Figure S4.</w:t>
      </w:r>
      <w:r>
        <w:t xml:space="preserve"> a) XPS analysis of thermodynamic stable Mn-TCPP nanosheets for b) Mn element, c) N element and d) C element.</w:t>
      </w:r>
    </w:p>
    <w:p>
      <w:pPr>
        <w:jc w:val="center"/>
        <w:rPr>
          <w:b/>
        </w:rPr>
      </w:pPr>
      <w:r>
        <w:rPr>
          <w:b/>
          <w:noProof/>
        </w:rPr>
        <w:lastRenderedPageBreak/>
        <w:drawing>
          <wp:inline distT="0" distB="0" distL="0" distR="0">
            <wp:extent cx="2478864" cy="2036710"/>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1.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78864" cy="2036710"/>
                    </a:xfrm>
                    <a:prstGeom prst="rect">
                      <a:avLst/>
                    </a:prstGeom>
                  </pic:spPr>
                </pic:pic>
              </a:graphicData>
            </a:graphic>
          </wp:inline>
        </w:drawing>
      </w:r>
    </w:p>
    <w:p>
      <w:pPr>
        <w:jc w:val="center"/>
      </w:pPr>
      <w:r>
        <w:rPr>
          <w:b/>
        </w:rPr>
        <w:t>Figure S5.</w:t>
      </w:r>
      <w:r>
        <w:t xml:space="preserve"> TG profile of thermodynamic stable Mn-TCPP nanosheets under Air atmosphere.</w:t>
      </w:r>
    </w:p>
    <w:p>
      <w:pPr>
        <w:jc w:val="center"/>
      </w:pPr>
      <w:r>
        <w:rPr>
          <w:noProof/>
        </w:rPr>
        <w:drawing>
          <wp:inline distT="0" distB="0" distL="0" distR="0">
            <wp:extent cx="2698750" cy="2162455"/>
            <wp:effectExtent l="0" t="0" r="635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5.em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04242" cy="2166856"/>
                    </a:xfrm>
                    <a:prstGeom prst="rect">
                      <a:avLst/>
                    </a:prstGeom>
                  </pic:spPr>
                </pic:pic>
              </a:graphicData>
            </a:graphic>
          </wp:inline>
        </w:drawing>
      </w:r>
    </w:p>
    <w:p>
      <w:pPr>
        <w:jc w:val="center"/>
      </w:pPr>
      <w:r>
        <w:rPr>
          <w:b/>
          <w:bCs/>
        </w:rPr>
        <w:t xml:space="preserve">Figure S6. </w:t>
      </w:r>
      <w:r>
        <w:t>Temperature-dependent kinetic profile of absorption intensity at 465 nm of Mn/TCPP solutions versus additional OH</w:t>
      </w:r>
      <w:r>
        <w:rPr>
          <w:vertAlign w:val="superscript"/>
        </w:rPr>
        <w:t>-</w:t>
      </w:r>
      <w:r>
        <w:t xml:space="preserve"> amount ([OH</w:t>
      </w:r>
      <w:r>
        <w:rPr>
          <w:vertAlign w:val="superscript"/>
        </w:rPr>
        <w:t>-</w:t>
      </w:r>
      <w:r>
        <w:t>] = 10</w:t>
      </w:r>
      <w:r>
        <w:rPr>
          <w:vertAlign w:val="superscript"/>
        </w:rPr>
        <w:t>-2</w:t>
      </w:r>
      <w:r>
        <w:t xml:space="preserve"> M).</w:t>
      </w:r>
    </w:p>
    <w:p>
      <w:pPr>
        <w:jc w:val="center"/>
      </w:pPr>
    </w:p>
    <w:p>
      <w:pPr>
        <w:jc w:val="center"/>
        <w:rPr>
          <w:b/>
          <w:bCs/>
        </w:rPr>
      </w:pPr>
      <w:r>
        <w:rPr>
          <w:b/>
          <w:bCs/>
          <w:noProof/>
        </w:rPr>
        <w:lastRenderedPageBreak/>
        <w:drawing>
          <wp:inline distT="0" distB="0" distL="0" distR="0">
            <wp:extent cx="5274310" cy="220916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6.em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209165"/>
                    </a:xfrm>
                    <a:prstGeom prst="rect">
                      <a:avLst/>
                    </a:prstGeom>
                  </pic:spPr>
                </pic:pic>
              </a:graphicData>
            </a:graphic>
          </wp:inline>
        </w:drawing>
      </w:r>
    </w:p>
    <w:p>
      <w:pPr>
        <w:jc w:val="center"/>
      </w:pPr>
      <w:r>
        <w:rPr>
          <w:b/>
          <w:bCs/>
        </w:rPr>
        <w:t xml:space="preserve">Figure S7. </w:t>
      </w:r>
      <w:r>
        <w:t>A) UV-Vis spectra of Mn(OH)</w:t>
      </w:r>
      <w:r>
        <w:rPr>
          <w:vertAlign w:val="subscript"/>
        </w:rPr>
        <w:t>2</w:t>
      </w:r>
      <w:r>
        <w:t xml:space="preserve"> aqueous solution and suspension obtained from Mn/TCPP solutions (molar ratio: 1:10) under addition of OH</w:t>
      </w:r>
      <w:r>
        <w:rPr>
          <w:vertAlign w:val="superscript"/>
        </w:rPr>
        <w:t>-</w:t>
      </w:r>
      <w:r>
        <w:t xml:space="preserve"> (</w:t>
      </w:r>
      <w:r>
        <w:rPr>
          <w:rFonts w:hint="eastAsia"/>
        </w:rPr>
        <w:t>100</w:t>
      </w:r>
      <w:r>
        <w:t xml:space="preserve"> </w:t>
      </w:r>
      <w:r>
        <w:rPr>
          <w:rFonts w:cs="Times New Roman"/>
        </w:rPr>
        <w:t>µ</w:t>
      </w:r>
      <w:r>
        <w:t>L, [OH</w:t>
      </w:r>
      <w:r>
        <w:rPr>
          <w:vertAlign w:val="superscript"/>
        </w:rPr>
        <w:t>-</w:t>
      </w:r>
      <w:r>
        <w:t>] = 10</w:t>
      </w:r>
      <w:r>
        <w:rPr>
          <w:vertAlign w:val="superscript"/>
        </w:rPr>
        <w:t>-2</w:t>
      </w:r>
      <w:r>
        <w:t xml:space="preserve"> M) at 328 K. b</w:t>
      </w:r>
      <w:r>
        <w:rPr>
          <w:rFonts w:ascii="SimSun" w:eastAsia="SimSun" w:hAnsi="SimSun" w:cs="SimSun" w:hint="eastAsia"/>
        </w:rPr>
        <w:t>）</w:t>
      </w:r>
      <w:r>
        <w:rPr>
          <w:rFonts w:hint="eastAsia"/>
        </w:rPr>
        <w:t>F</w:t>
      </w:r>
      <w:r>
        <w:t>T-IR spectra of TCPP/OH</w:t>
      </w:r>
      <w:r>
        <w:rPr>
          <w:vertAlign w:val="superscript"/>
        </w:rPr>
        <w:t>-</w:t>
      </w:r>
      <w:r>
        <w:t xml:space="preserve"> powder and intermediate Mn-TCPP aggregates. </w:t>
      </w:r>
    </w:p>
    <w:p>
      <w:pPr>
        <w:jc w:val="center"/>
      </w:pPr>
    </w:p>
    <w:p>
      <w:pPr>
        <w:jc w:val="center"/>
      </w:pPr>
      <w:r>
        <w:rPr>
          <w:noProof/>
        </w:rPr>
        <w:drawing>
          <wp:inline distT="0" distB="0" distL="0" distR="0">
            <wp:extent cx="5274310" cy="2680970"/>
            <wp:effectExtent l="0" t="0" r="254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7.em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680970"/>
                    </a:xfrm>
                    <a:prstGeom prst="rect">
                      <a:avLst/>
                    </a:prstGeom>
                  </pic:spPr>
                </pic:pic>
              </a:graphicData>
            </a:graphic>
          </wp:inline>
        </w:drawing>
      </w:r>
    </w:p>
    <w:p>
      <w:pPr>
        <w:jc w:val="center"/>
      </w:pPr>
      <w:r>
        <w:rPr>
          <w:b/>
          <w:bCs/>
        </w:rPr>
        <w:t>Figure S8.</w:t>
      </w:r>
      <w:r>
        <w:t xml:space="preserve"> a) TEM image and b) AFM height profile of intermediate metastable Mn-TCPP aggregates.</w:t>
      </w:r>
    </w:p>
    <w:p>
      <w:pPr>
        <w:jc w:val="center"/>
      </w:pPr>
      <w:r>
        <w:rPr>
          <w:noProof/>
        </w:rPr>
        <w:lastRenderedPageBreak/>
        <w:drawing>
          <wp:inline distT="0" distB="0" distL="0" distR="0">
            <wp:extent cx="3206750" cy="2282791"/>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8.em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12616" cy="2286967"/>
                    </a:xfrm>
                    <a:prstGeom prst="rect">
                      <a:avLst/>
                    </a:prstGeom>
                  </pic:spPr>
                </pic:pic>
              </a:graphicData>
            </a:graphic>
          </wp:inline>
        </w:drawing>
      </w:r>
    </w:p>
    <w:p>
      <w:pPr>
        <w:jc w:val="center"/>
      </w:pPr>
      <w:r>
        <w:rPr>
          <w:b/>
          <w:bCs/>
        </w:rPr>
        <w:t>Figure S9.</w:t>
      </w:r>
      <w:r>
        <w:t xml:space="preserve"> </w:t>
      </w:r>
      <w:bookmarkStart w:id="2" w:name="_Hlk29476564"/>
      <w:r>
        <w:t>EDS profile of the intermediate Mn-TCPP tape structures.</w:t>
      </w:r>
    </w:p>
    <w:bookmarkEnd w:id="2"/>
    <w:p>
      <w:pPr>
        <w:jc w:val="center"/>
      </w:pPr>
      <w:r>
        <w:rPr>
          <w:noProof/>
        </w:rPr>
        <w:drawing>
          <wp:inline distT="0" distB="0" distL="0" distR="0">
            <wp:extent cx="5274310" cy="40144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415.em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4014470"/>
                    </a:xfrm>
                    <a:prstGeom prst="rect">
                      <a:avLst/>
                    </a:prstGeom>
                  </pic:spPr>
                </pic:pic>
              </a:graphicData>
            </a:graphic>
          </wp:inline>
        </w:drawing>
      </w:r>
    </w:p>
    <w:p>
      <w:pPr>
        <w:jc w:val="center"/>
      </w:pPr>
      <w:r>
        <w:rPr>
          <w:b/>
          <w:bCs/>
        </w:rPr>
        <w:t>Figure S10.</w:t>
      </w:r>
      <w:r>
        <w:t xml:space="preserve"> a) XPS analysis of intermediate metastable Mn-TCPP tape structures for b) Mn element, c) N element and d) C element.</w:t>
      </w:r>
    </w:p>
    <w:p>
      <w:pPr>
        <w:jc w:val="center"/>
      </w:pPr>
      <w:r>
        <w:rPr>
          <w:noProof/>
        </w:rPr>
        <w:lastRenderedPageBreak/>
        <w:drawing>
          <wp:inline distT="0" distB="0" distL="0" distR="0">
            <wp:extent cx="3005128" cy="2506073"/>
            <wp:effectExtent l="0" t="0" r="508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3.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005128" cy="2506073"/>
                    </a:xfrm>
                    <a:prstGeom prst="rect">
                      <a:avLst/>
                    </a:prstGeom>
                  </pic:spPr>
                </pic:pic>
              </a:graphicData>
            </a:graphic>
          </wp:inline>
        </w:drawing>
      </w:r>
    </w:p>
    <w:p>
      <w:pPr>
        <w:jc w:val="center"/>
      </w:pPr>
      <w:r>
        <w:rPr>
          <w:b/>
        </w:rPr>
        <w:t>Figure S11.</w:t>
      </w:r>
      <w:r>
        <w:t xml:space="preserve"> TG analysis profile of intermediate Mn-TCPP aggregates under Air atmosphere.</w:t>
      </w:r>
    </w:p>
    <w:p>
      <w:pPr>
        <w:jc w:val="center"/>
      </w:pPr>
      <w:r>
        <w:rPr>
          <w:noProof/>
        </w:rPr>
        <w:drawing>
          <wp:inline distT="0" distB="0" distL="0" distR="0">
            <wp:extent cx="3444949" cy="2703328"/>
            <wp:effectExtent l="0" t="0" r="3175"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1.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448960" cy="2706475"/>
                    </a:xfrm>
                    <a:prstGeom prst="rect">
                      <a:avLst/>
                    </a:prstGeom>
                  </pic:spPr>
                </pic:pic>
              </a:graphicData>
            </a:graphic>
          </wp:inline>
        </w:drawing>
      </w:r>
    </w:p>
    <w:p>
      <w:pPr>
        <w:jc w:val="center"/>
      </w:pPr>
      <w:r>
        <w:rPr>
          <w:b/>
        </w:rPr>
        <w:t>Figure S12.</w:t>
      </w:r>
      <w:r>
        <w:t xml:space="preserve"> XRD profile of intermediate Mn-TCPP aggregates. </w:t>
      </w:r>
    </w:p>
    <w:p>
      <w:pPr>
        <w:jc w:val="center"/>
      </w:pPr>
      <w:r>
        <w:rPr>
          <w:noProof/>
        </w:rPr>
        <w:lastRenderedPageBreak/>
        <w:drawing>
          <wp:inline distT="0" distB="0" distL="0" distR="0">
            <wp:extent cx="2521637" cy="20256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s10.em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23053" cy="2026788"/>
                    </a:xfrm>
                    <a:prstGeom prst="rect">
                      <a:avLst/>
                    </a:prstGeom>
                  </pic:spPr>
                </pic:pic>
              </a:graphicData>
            </a:graphic>
          </wp:inline>
        </w:drawing>
      </w:r>
    </w:p>
    <w:p>
      <w:pPr>
        <w:jc w:val="center"/>
      </w:pPr>
      <w:r>
        <w:rPr>
          <w:b/>
          <w:bCs/>
        </w:rPr>
        <w:t>Figure S13.</w:t>
      </w:r>
      <w:r>
        <w:rPr>
          <w:color w:val="FF0000"/>
        </w:rPr>
        <w:t xml:space="preserve"> </w:t>
      </w:r>
      <w:r>
        <w:t>The absorption intensity ratio of I</w:t>
      </w:r>
      <w:r>
        <w:rPr>
          <w:vertAlign w:val="subscript"/>
        </w:rPr>
        <w:t>415</w:t>
      </w:r>
      <w:r>
        <w:t>/I</w:t>
      </w:r>
      <w:r>
        <w:rPr>
          <w:vertAlign w:val="subscript"/>
        </w:rPr>
        <w:t>465</w:t>
      </w:r>
      <w:r>
        <w:t xml:space="preserve"> with additional OH</w:t>
      </w:r>
      <w:r>
        <w:rPr>
          <w:vertAlign w:val="superscript"/>
        </w:rPr>
        <w:t>-</w:t>
      </w:r>
      <w:r>
        <w:t xml:space="preserve"> amount ([OH</w:t>
      </w:r>
      <w:r>
        <w:rPr>
          <w:vertAlign w:val="superscript"/>
        </w:rPr>
        <w:t>-</w:t>
      </w:r>
      <w:r>
        <w:t>] = 10</w:t>
      </w:r>
      <w:r>
        <w:rPr>
          <w:vertAlign w:val="superscript"/>
        </w:rPr>
        <w:t>-2</w:t>
      </w:r>
      <w:r>
        <w:t xml:space="preserve"> M) in the phase II at 308 K and 328 K.</w:t>
      </w:r>
    </w:p>
    <w:p>
      <w:pPr>
        <w:jc w:val="center"/>
      </w:pPr>
    </w:p>
    <w:p>
      <w:pPr>
        <w:jc w:val="center"/>
      </w:pPr>
      <w:r>
        <w:rPr>
          <w:noProof/>
        </w:rPr>
        <w:drawing>
          <wp:inline distT="0" distB="0" distL="0" distR="0">
            <wp:extent cx="2736850" cy="21213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 S11.em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42983" cy="2126074"/>
                    </a:xfrm>
                    <a:prstGeom prst="rect">
                      <a:avLst/>
                    </a:prstGeom>
                  </pic:spPr>
                </pic:pic>
              </a:graphicData>
            </a:graphic>
          </wp:inline>
        </w:drawing>
      </w:r>
    </w:p>
    <w:p>
      <w:pPr>
        <w:jc w:val="center"/>
      </w:pPr>
      <w:r>
        <w:rPr>
          <w:b/>
          <w:bCs/>
        </w:rPr>
        <w:t xml:space="preserve"> Figure S14. </w:t>
      </w:r>
      <w:r>
        <w:t>The plots of absorption intensity at 465 nm versus time with additional TCPP/OH</w:t>
      </w:r>
      <w:r>
        <w:rPr>
          <w:vertAlign w:val="superscript"/>
        </w:rPr>
        <w:t>-</w:t>
      </w:r>
      <w:r>
        <w:t xml:space="preserve"> aqueous solution (black squares) and without TCPP/OH</w:t>
      </w:r>
      <w:r>
        <w:rPr>
          <w:vertAlign w:val="superscript"/>
        </w:rPr>
        <w:t>-</w:t>
      </w:r>
      <w:r>
        <w:t xml:space="preserve"> aqueous solutions (red circles). </w:t>
      </w:r>
    </w:p>
    <w:p>
      <w:pPr>
        <w:jc w:val="center"/>
      </w:pPr>
      <w:r>
        <w:rPr>
          <w:noProof/>
        </w:rPr>
        <w:lastRenderedPageBreak/>
        <w:drawing>
          <wp:inline distT="0" distB="0" distL="0" distR="0">
            <wp:extent cx="2908300" cy="2297370"/>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 s12.em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914701" cy="2302426"/>
                    </a:xfrm>
                    <a:prstGeom prst="rect">
                      <a:avLst/>
                    </a:prstGeom>
                  </pic:spPr>
                </pic:pic>
              </a:graphicData>
            </a:graphic>
          </wp:inline>
        </w:drawing>
      </w:r>
    </w:p>
    <w:p>
      <w:pPr>
        <w:jc w:val="center"/>
      </w:pPr>
      <w:r>
        <w:rPr>
          <w:b/>
          <w:bCs/>
        </w:rPr>
        <w:t xml:space="preserve">Figure S15. </w:t>
      </w:r>
      <w:r>
        <w:t>Transient absorbance spectrum of thermodynamic stable Mn-TCPP nanosheets in water at 460 nm under 355 nm laser pulse. All measurements are carried out at room temperature and N</w:t>
      </w:r>
      <w:r>
        <w:rPr>
          <w:vertAlign w:val="subscript"/>
        </w:rPr>
        <w:t>2</w:t>
      </w:r>
      <w:r>
        <w:t xml:space="preserve"> atmosphere.</w:t>
      </w:r>
    </w:p>
    <w:p>
      <w:pPr>
        <w:jc w:val="center"/>
      </w:pPr>
      <w:r>
        <w:rPr>
          <w:noProof/>
        </w:rPr>
        <w:drawing>
          <wp:inline distT="0" distB="0" distL="0" distR="0">
            <wp:extent cx="5867400" cy="1685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3.emf"/>
                    <pic:cNvPicPr/>
                  </pic:nvPicPr>
                  <pic:blipFill rotWithShape="1">
                    <a:blip r:embed="rId26" cstate="print">
                      <a:extLst>
                        <a:ext uri="{28A0092B-C50C-407E-A947-70E740481C1C}">
                          <a14:useLocalDpi xmlns:a14="http://schemas.microsoft.com/office/drawing/2010/main" val="0"/>
                        </a:ext>
                      </a:extLst>
                    </a:blip>
                    <a:srcRect l="3006" t="6916" r="4395" b="5633"/>
                    <a:stretch/>
                  </pic:blipFill>
                  <pic:spPr bwMode="auto">
                    <a:xfrm>
                      <a:off x="0" y="0"/>
                      <a:ext cx="5879288" cy="1689341"/>
                    </a:xfrm>
                    <a:prstGeom prst="rect">
                      <a:avLst/>
                    </a:prstGeom>
                    <a:ln>
                      <a:noFill/>
                    </a:ln>
                    <a:extLst>
                      <a:ext uri="{53640926-AAD7-44D8-BBD7-CCE9431645EC}">
                        <a14:shadowObscured xmlns:a14="http://schemas.microsoft.com/office/drawing/2010/main"/>
                      </a:ext>
                    </a:extLst>
                  </pic:spPr>
                </pic:pic>
              </a:graphicData>
            </a:graphic>
          </wp:inline>
        </w:drawing>
      </w:r>
    </w:p>
    <w:p>
      <w:pPr>
        <w:jc w:val="center"/>
        <w:rPr>
          <w:rFonts w:cs="Times New Roman"/>
        </w:rPr>
      </w:pPr>
      <w:r>
        <w:rPr>
          <w:rFonts w:cs="Times New Roman"/>
          <w:b/>
          <w:bCs/>
        </w:rPr>
        <w:t xml:space="preserve">Figure S16. </w:t>
      </w:r>
      <w:r>
        <w:rPr>
          <w:rFonts w:cs="Times New Roman"/>
          <w:bCs/>
        </w:rPr>
        <w:t>a)</w:t>
      </w:r>
      <w:r>
        <w:rPr>
          <w:rFonts w:cs="Times New Roman"/>
          <w:b/>
          <w:bCs/>
        </w:rPr>
        <w:t xml:space="preserve"> </w:t>
      </w:r>
      <w:r>
        <w:rPr>
          <w:rFonts w:cs="Times New Roman"/>
        </w:rPr>
        <w:t>Temperature increase induced by thermodynamic stable Mn-TCPP aggregates (</w:t>
      </w:r>
      <w:r>
        <w:rPr>
          <w:rFonts w:eastAsiaTheme="minorEastAsia" w:cs="Times New Roman"/>
        </w:rPr>
        <w:t>1.23</w:t>
      </w:r>
      <w:r>
        <w:rPr>
          <w:rFonts w:cs="Times New Roman"/>
        </w:rPr>
        <w:t xml:space="preserve"> mg/mL) under light irradiation (</w:t>
      </w:r>
      <w:r>
        <w:rPr>
          <w:rFonts w:eastAsiaTheme="minorEastAsia" w:cs="Times New Roman"/>
        </w:rPr>
        <w:t>630</w:t>
      </w:r>
      <w:r>
        <w:rPr>
          <w:rFonts w:cs="Times New Roman"/>
        </w:rPr>
        <w:t xml:space="preserve"> nm, </w:t>
      </w:r>
      <w:r>
        <w:rPr>
          <w:rFonts w:eastAsiaTheme="minorEastAsia" w:cs="Times New Roman"/>
        </w:rPr>
        <w:t>200</w:t>
      </w:r>
      <w:r>
        <w:rPr>
          <w:rFonts w:cs="Times New Roman"/>
        </w:rPr>
        <w:t xml:space="preserve"> </w:t>
      </w:r>
      <w:proofErr w:type="spellStart"/>
      <w:r>
        <w:rPr>
          <w:rFonts w:cs="Times New Roman"/>
        </w:rPr>
        <w:t>mW</w:t>
      </w:r>
      <w:proofErr w:type="spellEnd"/>
      <w:r>
        <w:rPr>
          <w:rFonts w:cs="Times New Roman"/>
        </w:rPr>
        <w:t>/cm</w:t>
      </w:r>
      <w:r>
        <w:rPr>
          <w:rFonts w:cs="Times New Roman"/>
          <w:vertAlign w:val="superscript"/>
        </w:rPr>
        <w:t>2</w:t>
      </w:r>
      <w:r>
        <w:rPr>
          <w:rFonts w:cs="Times New Roman"/>
        </w:rPr>
        <w:t>). b) Concentration-dependent photothermal profile of thermodynamic stable Mn-TCPP aggregates under light irradiation (</w:t>
      </w:r>
      <w:r>
        <w:rPr>
          <w:rFonts w:eastAsiaTheme="minorEastAsia" w:cs="Times New Roman"/>
        </w:rPr>
        <w:t>630</w:t>
      </w:r>
      <w:r>
        <w:rPr>
          <w:rFonts w:cs="Times New Roman"/>
        </w:rPr>
        <w:t xml:space="preserve"> nm, </w:t>
      </w:r>
      <w:r>
        <w:rPr>
          <w:rFonts w:eastAsiaTheme="minorEastAsia" w:cs="Times New Roman"/>
        </w:rPr>
        <w:t>200</w:t>
      </w:r>
      <w:r>
        <w:rPr>
          <w:rFonts w:cs="Times New Roman"/>
        </w:rPr>
        <w:t xml:space="preserve"> </w:t>
      </w:r>
      <w:proofErr w:type="spellStart"/>
      <w:r>
        <w:rPr>
          <w:rFonts w:cs="Times New Roman"/>
        </w:rPr>
        <w:t>mW</w:t>
      </w:r>
      <w:proofErr w:type="spellEnd"/>
      <w:r>
        <w:rPr>
          <w:rFonts w:cs="Times New Roman"/>
        </w:rPr>
        <w:t>/cm</w:t>
      </w:r>
      <w:r>
        <w:rPr>
          <w:rFonts w:cs="Times New Roman"/>
          <w:vertAlign w:val="superscript"/>
        </w:rPr>
        <w:t>2</w:t>
      </w:r>
      <w:r>
        <w:rPr>
          <w:rFonts w:cs="Times New Roman"/>
        </w:rPr>
        <w:t>). c) Photothermal stability test of thermodynamic stable Mn-TCPP aggregates (</w:t>
      </w:r>
      <w:r>
        <w:rPr>
          <w:rFonts w:eastAsiaTheme="minorEastAsia" w:cs="Times New Roman"/>
        </w:rPr>
        <w:t>1.23</w:t>
      </w:r>
      <w:r>
        <w:rPr>
          <w:rFonts w:cs="Times New Roman"/>
        </w:rPr>
        <w:t xml:space="preserve"> mg/mL) under light irradiation (</w:t>
      </w:r>
      <w:r>
        <w:rPr>
          <w:rFonts w:eastAsiaTheme="minorEastAsia" w:cs="Times New Roman"/>
        </w:rPr>
        <w:t>630</w:t>
      </w:r>
      <w:r>
        <w:rPr>
          <w:rFonts w:cs="Times New Roman"/>
        </w:rPr>
        <w:t xml:space="preserve"> nm, </w:t>
      </w:r>
      <w:r>
        <w:rPr>
          <w:rFonts w:eastAsiaTheme="minorEastAsia" w:cs="Times New Roman"/>
        </w:rPr>
        <w:t>200</w:t>
      </w:r>
      <w:r>
        <w:rPr>
          <w:rFonts w:cs="Times New Roman"/>
        </w:rPr>
        <w:t xml:space="preserve"> </w:t>
      </w:r>
      <w:proofErr w:type="spellStart"/>
      <w:r>
        <w:rPr>
          <w:rFonts w:cs="Times New Roman"/>
        </w:rPr>
        <w:t>mW</w:t>
      </w:r>
      <w:proofErr w:type="spellEnd"/>
      <w:r>
        <w:rPr>
          <w:rFonts w:cs="Times New Roman"/>
        </w:rPr>
        <w:t>/cm</w:t>
      </w:r>
      <w:r>
        <w:rPr>
          <w:rFonts w:cs="Times New Roman"/>
          <w:vertAlign w:val="superscript"/>
        </w:rPr>
        <w:t>2</w:t>
      </w:r>
      <w:r>
        <w:rPr>
          <w:rFonts w:cs="Times New Roman"/>
        </w:rPr>
        <w:t>).</w:t>
      </w:r>
    </w:p>
    <w:p>
      <w:pPr>
        <w:jc w:val="center"/>
      </w:pPr>
    </w:p>
    <w:sectPr>
      <w:footerReference w:type="default" r:id="rId27"/>
      <w:pgSz w:w="12240" w:h="15840" w:code="1"/>
      <w:pgMar w:top="1440"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8010704"/>
      <w:docPartObj>
        <w:docPartGallery w:val="Page Numbers (Bottom of Page)"/>
        <w:docPartUnique/>
      </w:docPartObj>
    </w:sdtPr>
    <w:sdtEndPr>
      <w:rPr>
        <w:noProof/>
      </w:rPr>
    </w:sdtEndPr>
    <w:sdtContent>
      <w:p>
        <w:pPr>
          <w:pStyle w:val="Footer"/>
          <w:jc w:val="right"/>
        </w:pPr>
        <w:r>
          <w:fldChar w:fldCharType="begin"/>
        </w:r>
        <w:r>
          <w:instrText xml:space="preserve"> PAGE   \* MERGEFORMAT </w:instrText>
        </w:r>
        <w:r>
          <w:fldChar w:fldCharType="separate"/>
        </w:r>
        <w:r>
          <w:rPr>
            <w:noProof/>
          </w:rPr>
          <w:t>11</w:t>
        </w:r>
        <w:r>
          <w:rPr>
            <w:noProof/>
          </w:rPr>
          <w:fldChar w:fldCharType="end"/>
        </w:r>
      </w:p>
    </w:sdtContent>
  </w:sdt>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A0NDMyNDQ0MTEwM7FU0lEKTi0uzszPAykwrAUAh73mkywAAAA="/>
  </w:docVar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21F2AB2-405A-45A6-85F6-8F52E2D19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pacing w:line="360" w:lineRule="auto"/>
      <w:jc w:val="both"/>
    </w:pPr>
    <w:rPr>
      <w:rFonts w:ascii="Times New Roman" w:eastAsia="Times New Roman" w:hAnsi="Times New Roman"/>
      <w:sz w:val="24"/>
    </w:rPr>
  </w:style>
  <w:style w:type="paragraph" w:styleId="Heading2">
    <w:name w:val="heading 2"/>
    <w:basedOn w:val="Normal"/>
    <w:next w:val="Normal"/>
    <w:link w:val="Heading2Char"/>
    <w:uiPriority w:val="9"/>
    <w:unhideWhenUsed/>
    <w:qFormat/>
    <w:pPr>
      <w:keepNext/>
      <w:keepLines/>
      <w:spacing w:before="40" w:after="0"/>
      <w:jc w:val="left"/>
      <w:outlineLvl w:val="1"/>
    </w:pPr>
    <w:rPr>
      <w:rFonts w:eastAsiaTheme="majorEastAsia" w:cstheme="majorBidi"/>
      <w:b/>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imes New Roman" w:eastAsiaTheme="majorEastAsia" w:hAnsi="Times New Roman" w:cstheme="majorBidi"/>
      <w:b/>
      <w:sz w:val="32"/>
      <w:szCs w:val="26"/>
    </w:rPr>
  </w:style>
  <w:style w:type="character" w:styleId="Hyperlink">
    <w:name w:val="Hyperlink"/>
    <w:basedOn w:val="DefaultParagraphFont"/>
    <w:uiPriority w:val="99"/>
    <w:unhideWhenUsed/>
    <w:rPr>
      <w:color w:val="0563C1" w:themeColor="hyperlink"/>
      <w:u w:val="single"/>
    </w:rPr>
  </w:style>
  <w:style w:type="paragraph" w:styleId="Footer">
    <w:name w:val="footer"/>
    <w:basedOn w:val="Normal"/>
    <w:link w:val="FooterChar"/>
    <w:uiPriority w:val="99"/>
    <w:unhideWhenUsed/>
    <w:pPr>
      <w:tabs>
        <w:tab w:val="center" w:pos="4320"/>
        <w:tab w:val="right" w:pos="8640"/>
      </w:tabs>
      <w:spacing w:after="0" w:line="240" w:lineRule="auto"/>
    </w:pPr>
  </w:style>
  <w:style w:type="character" w:customStyle="1" w:styleId="FooterChar">
    <w:name w:val="Footer Char"/>
    <w:basedOn w:val="DefaultParagraphFont"/>
    <w:link w:val="Footer"/>
    <w:uiPriority w:val="99"/>
    <w:rPr>
      <w:rFonts w:ascii="Times New Roman" w:eastAsia="Times New Roman" w:hAnsi="Times New Roman"/>
      <w:sz w:val="24"/>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Pr>
      <w:rFonts w:ascii="Times New Roman" w:eastAsia="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5011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emf"/><Relationship Id="rId3" Type="http://schemas.openxmlformats.org/officeDocument/2006/relationships/customXml" Target="../customXml/item3.xml"/><Relationship Id="rId21" Type="http://schemas.openxmlformats.org/officeDocument/2006/relationships/image" Target="media/image11.tiff"/><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image" Target="media/image14.emf"/><Relationship Id="rId5" Type="http://schemas.openxmlformats.org/officeDocument/2006/relationships/settings" Target="settings.xml"/><Relationship Id="rId15" Type="http://schemas.openxmlformats.org/officeDocument/2006/relationships/image" Target="media/image5.tiff"/><Relationship Id="rId23" Type="http://schemas.openxmlformats.org/officeDocument/2006/relationships/image" Target="media/image13.emf"/><Relationship Id="rId28" Type="http://schemas.openxmlformats.org/officeDocument/2006/relationships/fontTable" Target="fontTable.xml"/><Relationship Id="rId10" Type="http://schemas.openxmlformats.org/officeDocument/2006/relationships/hyperlink" Target="mailto:songfl@sdu.edu.cn" TargetMode="External"/><Relationship Id="rId19" Type="http://schemas.openxmlformats.org/officeDocument/2006/relationships/image" Target="media/image9.emf"/><Relationship Id="rId4" Type="http://schemas.openxmlformats.org/officeDocument/2006/relationships/styles" Target="styles.xml"/><Relationship Id="rId9" Type="http://schemas.openxmlformats.org/officeDocument/2006/relationships/hyperlink" Target="mailto:dapengliu@sdu.edu.cn" TargetMode="External"/><Relationship Id="rId14" Type="http://schemas.openxmlformats.org/officeDocument/2006/relationships/image" Target="media/image4.emf"/><Relationship Id="rId22" Type="http://schemas.openxmlformats.org/officeDocument/2006/relationships/image" Target="media/image12.tiff"/><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eamsChannelId xmlns="e5e9cbe4-38a9-4767-aba5-cf97e5faba51" xsi:nil="true"/>
    <FolderType xmlns="e5e9cbe4-38a9-4767-aba5-cf97e5faba51" xsi:nil="true"/>
    <Teachers xmlns="e5e9cbe4-38a9-4767-aba5-cf97e5faba51">
      <UserInfo>
        <DisplayName/>
        <AccountId xsi:nil="true"/>
        <AccountType/>
      </UserInfo>
    </Teachers>
    <Invited_Students xmlns="e5e9cbe4-38a9-4767-aba5-cf97e5faba51" xsi:nil="true"/>
    <CultureName xmlns="e5e9cbe4-38a9-4767-aba5-cf97e5faba51" xsi:nil="true"/>
    <Student_Groups xmlns="e5e9cbe4-38a9-4767-aba5-cf97e5faba51">
      <UserInfo>
        <DisplayName/>
        <AccountId xsi:nil="true"/>
        <AccountType/>
      </UserInfo>
    </Student_Groups>
    <AppVersion xmlns="e5e9cbe4-38a9-4767-aba5-cf97e5faba51" xsi:nil="true"/>
    <Owner xmlns="e5e9cbe4-38a9-4767-aba5-cf97e5faba51">
      <UserInfo>
        <DisplayName/>
        <AccountId xsi:nil="true"/>
        <AccountType/>
      </UserInfo>
    </Owner>
    <Distribution_Groups xmlns="e5e9cbe4-38a9-4767-aba5-cf97e5faba51" xsi:nil="true"/>
    <Has_Teacher_Only_SectionGroup xmlns="e5e9cbe4-38a9-4767-aba5-cf97e5faba51" xsi:nil="true"/>
    <Is_Collaboration_Space_Locked xmlns="e5e9cbe4-38a9-4767-aba5-cf97e5faba51" xsi:nil="true"/>
    <LMS_Mappings xmlns="e5e9cbe4-38a9-4767-aba5-cf97e5faba51" xsi:nil="true"/>
    <Invited_Teachers xmlns="e5e9cbe4-38a9-4767-aba5-cf97e5faba51" xsi:nil="true"/>
    <IsNotebookLocked xmlns="e5e9cbe4-38a9-4767-aba5-cf97e5faba51" xsi:nil="true"/>
    <NotebookType xmlns="e5e9cbe4-38a9-4767-aba5-cf97e5faba51" xsi:nil="true"/>
    <Math_Settings xmlns="e5e9cbe4-38a9-4767-aba5-cf97e5faba51" xsi:nil="true"/>
    <DefaultSectionNames xmlns="e5e9cbe4-38a9-4767-aba5-cf97e5faba51" xsi:nil="true"/>
    <Students xmlns="e5e9cbe4-38a9-4767-aba5-cf97e5faba51">
      <UserInfo>
        <DisplayName/>
        <AccountId xsi:nil="true"/>
        <AccountType/>
      </UserInfo>
    </Students>
    <Templates xmlns="e5e9cbe4-38a9-4767-aba5-cf97e5faba51" xsi:nil="true"/>
    <Self_Registration_Enabled xmlns="e5e9cbe4-38a9-4767-aba5-cf97e5faba5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89FDD56041F6B842ADA45D06F7A78DF7" ma:contentTypeVersion="33" ma:contentTypeDescription="新建文档。" ma:contentTypeScope="" ma:versionID="d12811118a05b1a62ccf9bc16b582b1f">
  <xsd:schema xmlns:xsd="http://www.w3.org/2001/XMLSchema" xmlns:xs="http://www.w3.org/2001/XMLSchema" xmlns:p="http://schemas.microsoft.com/office/2006/metadata/properties" xmlns:ns3="e5e9cbe4-38a9-4767-aba5-cf97e5faba51" xmlns:ns4="4a4b16b9-b693-420a-bd47-c571c278f3cb" targetNamespace="http://schemas.microsoft.com/office/2006/metadata/properties" ma:root="true" ma:fieldsID="28c335fd5f1935cb9011fb48a7685990" ns3:_="" ns4:_="">
    <xsd:import namespace="e5e9cbe4-38a9-4767-aba5-cf97e5faba51"/>
    <xsd:import namespace="4a4b16b9-b693-420a-bd47-c571c278f3cb"/>
    <xsd:element name="properties">
      <xsd:complexType>
        <xsd:sequence>
          <xsd:element name="documentManagement">
            <xsd:complexType>
              <xsd:all>
                <xsd:element ref="ns3:MediaServiceMetadata" minOccurs="0"/>
                <xsd:element ref="ns3:MediaServiceFastMetadata"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e9cbe4-38a9-4767-aba5-cf97e5faba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AutoTags" ma:index="33" nillable="true" ma:displayName="Tags" ma:internalName="MediaServiceAutoTags" ma:readOnly="true">
      <xsd:simpleType>
        <xsd:restriction base="dms:Text"/>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DateTaken" ma:index="37" nillable="true" ma:displayName="MediaServiceDateTaken" ma:hidden="true" ma:internalName="MediaServiceDateTaken" ma:readOnly="true">
      <xsd:simpleType>
        <xsd:restriction base="dms:Text"/>
      </xsd:simpleType>
    </xsd:element>
    <xsd:element name="MediaServiceLocation" ma:index="38" nillable="true" ma:displayName="Location" ma:internalName="MediaServiceLocation" ma:readOnly="true">
      <xsd:simpleType>
        <xsd:restriction base="dms:Text"/>
      </xsd:simpleType>
    </xsd:element>
    <xsd:element name="MediaServiceAutoKeyPoints" ma:index="39" nillable="true" ma:displayName="MediaServiceAutoKeyPoints" ma:hidden="true" ma:internalName="MediaServiceAutoKeyPoints" ma:readOnly="true">
      <xsd:simpleType>
        <xsd:restriction base="dms:Note"/>
      </xsd:simpleType>
    </xsd:element>
    <xsd:element name="MediaServiceKeyPoints" ma:index="4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a4b16b9-b693-420a-bd47-c571c278f3cb" elementFormDefault="qualified">
    <xsd:import namespace="http://schemas.microsoft.com/office/2006/documentManagement/types"/>
    <xsd:import namespace="http://schemas.microsoft.com/office/infopath/2007/PartnerControls"/>
    <xsd:element name="SharedWithUsers" ma:index="30"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共享对象详细信息" ma:internalName="SharedWithDetails" ma:readOnly="true">
      <xsd:simpleType>
        <xsd:restriction base="dms:Note">
          <xsd:maxLength value="255"/>
        </xsd:restriction>
      </xsd:simpleType>
    </xsd:element>
    <xsd:element name="SharingHintHash" ma:index="32"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98896E-48C6-4088-9C5E-FAB4A1E70179}">
  <ds:schemaRefs>
    <ds:schemaRef ds:uri="http://schemas.microsoft.com/office/2006/metadata/properties"/>
    <ds:schemaRef ds:uri="http://schemas.microsoft.com/office/infopath/2007/PartnerControls"/>
    <ds:schemaRef ds:uri="e5e9cbe4-38a9-4767-aba5-cf97e5faba51"/>
  </ds:schemaRefs>
</ds:datastoreItem>
</file>

<file path=customXml/itemProps2.xml><?xml version="1.0" encoding="utf-8"?>
<ds:datastoreItem xmlns:ds="http://schemas.openxmlformats.org/officeDocument/2006/customXml" ds:itemID="{B70B4C98-5684-43C2-BD18-28F9BEDF12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e9cbe4-38a9-4767-aba5-cf97e5faba51"/>
    <ds:schemaRef ds:uri="4a4b16b9-b693-420a-bd47-c571c278f3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44E82B-1E8D-4861-AFE1-513600F2BC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1375</Words>
  <Characters>7843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Dapeng</dc:creator>
  <cp:keywords/>
  <dc:description/>
  <cp:lastModifiedBy>Dapeng Liu</cp:lastModifiedBy>
  <cp:revision>2</cp:revision>
  <dcterms:created xsi:type="dcterms:W3CDTF">2020-08-03T11:57:00Z</dcterms:created>
  <dcterms:modified xsi:type="dcterms:W3CDTF">2020-08-03T11:57:00Z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0x01010089FDD56041F6B842ADA45D06F7A78DF7</vt:lpwstr>
  </property>
  <property fmtid="{D5CDD505-2E9C-101B-9397-08002B2CF9AE}" pid="3" name="_DocHome">
    <vt:i4>-647276819</vt:i4>
  </property>
</Properties>
</file>