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eastAsia="宋体" w:cs="Times New Roman"/>
          <w:b/>
          <w:sz w:val="24"/>
          <w:u w:val="single"/>
          <w:lang w:bidi="ar"/>
        </w:rPr>
        <w:t>SUPPORTING INFORMATION</w:t>
      </w:r>
      <w:r>
        <w:rPr>
          <w:rFonts w:ascii="Times New Roman" w:hAnsi="Times New Roman" w:eastAsia="宋体" w:cs="Times New Roman"/>
          <w:b/>
          <w:sz w:val="24"/>
          <w:lang w:bidi="ar"/>
        </w:rPr>
        <w:t xml:space="preserve"> </w:t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bookmarkStart w:id="0" w:name="OLE_LINK11"/>
      <w:bookmarkEnd w:id="0"/>
      <w:r>
        <w:rPr>
          <w:rFonts w:ascii="Times New Roman" w:hAnsi="Times New Roman" w:cs="Times New Roman"/>
          <w:b/>
          <w:bCs/>
          <w:sz w:val="24"/>
        </w:rPr>
        <w:t>Comprehensive insights into the occurrence, source, distribution and risk assessment of polycyclic aromatic hydrocarbons in a large drinking reservoir system</w:t>
      </w:r>
    </w:p>
    <w:p>
      <w:pPr>
        <w:spacing w:line="480" w:lineRule="auto"/>
        <w:rPr>
          <w:rFonts w:hint="eastAsia" w:ascii="Times New Roman" w:hAnsi="Times New Roman" w:cs="Times New Roman" w:eastAsiaTheme="minorEastAsia"/>
          <w:sz w:val="24"/>
          <w:vertAlign w:val="superscript"/>
          <w:lang w:val="en-US" w:eastAsia="zh-CN"/>
        </w:rPr>
      </w:pPr>
      <w:r>
        <w:rPr>
          <w:rFonts w:ascii="Times New Roman" w:hAnsi="Times New Roman" w:cs="Times New Roman"/>
          <w:sz w:val="24"/>
        </w:rPr>
        <w:t xml:space="preserve">Xiangyang Xu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>, Kangping Cui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, Yihan Chen </w:t>
      </w:r>
      <w:r>
        <w:rPr>
          <w:rFonts w:ascii="Times New Roman" w:hAnsi="Times New Roman" w:cs="Times New Roman"/>
          <w:sz w:val="24"/>
          <w:vertAlign w:val="superscript"/>
        </w:rPr>
        <w:t>a, b*</w:t>
      </w:r>
      <w:r>
        <w:rPr>
          <w:rFonts w:ascii="Times New Roman" w:hAnsi="Times New Roman" w:cs="Times New Roman"/>
          <w:sz w:val="24"/>
        </w:rPr>
        <w:t xml:space="preserve">, Xing Chen </w:t>
      </w:r>
      <w:r>
        <w:rPr>
          <w:rFonts w:ascii="Times New Roman" w:hAnsi="Times New Roman" w:cs="Times New Roman"/>
          <w:sz w:val="24"/>
          <w:vertAlign w:val="superscript"/>
        </w:rPr>
        <w:t>c</w:t>
      </w:r>
      <w:r>
        <w:rPr>
          <w:rFonts w:ascii="Times New Roman" w:hAnsi="Times New Roman" w:cs="Times New Roman"/>
          <w:sz w:val="24"/>
        </w:rPr>
        <w:t xml:space="preserve">, Zhi Guo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, Hongjie Chen </w:t>
      </w:r>
      <w:r>
        <w:rPr>
          <w:rFonts w:ascii="Times New Roman" w:hAnsi="Times New Roman" w:cs="Times New Roman"/>
          <w:sz w:val="24"/>
          <w:vertAlign w:val="superscript"/>
        </w:rPr>
        <w:t>d</w:t>
      </w:r>
      <w:r>
        <w:rPr>
          <w:rFonts w:ascii="Times New Roman" w:hAnsi="Times New Roman" w:cs="Times New Roman"/>
          <w:sz w:val="24"/>
        </w:rPr>
        <w:t>,</w:t>
      </w: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 Guangwei Deng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e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, </w:t>
      </w:r>
      <w:r>
        <w:rPr>
          <w:rFonts w:ascii="Times New Roman" w:hAnsi="Times New Roman" w:cs="Times New Roman"/>
          <w:sz w:val="24"/>
        </w:rPr>
        <w:t xml:space="preserve">Yiliang He </w:t>
      </w:r>
      <w:r>
        <w:rPr>
          <w:rFonts w:ascii="Times New Roman" w:hAnsi="Times New Roman" w:cs="Times New Roman"/>
          <w:sz w:val="24"/>
          <w:vertAlign w:val="superscript"/>
        </w:rPr>
        <w:t>b*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 School of Resources and Environmental Engineering, Hefei University of Technology, Hefei 230009, China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 School of Environmental Science and Engineering, Shanghai Jiao Tong University, Shanghai 200240, China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 Key Lab of Aerospace Structural Parts Forming Technology and Equipment of Anhui Province, Institute of Industry and Equipment Technology, Hefei University of Technology, Hefei, 230009, China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 NUS Environmental Research Institute, National University of Singapore, 5A Engineering Drive 1, #02-01, Singapore 117411, Singapore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 xml:space="preserve">e </w:t>
      </w:r>
      <w:r>
        <w:rPr>
          <w:rFonts w:hint="eastAsia" w:ascii="Times New Roman" w:hAnsi="Times New Roman" w:cs="Times New Roman"/>
          <w:sz w:val="24"/>
        </w:rPr>
        <w:t>School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</w:rPr>
        <w:t>of Management, Hefei University of Technology</w:t>
      </w:r>
      <w:r>
        <w:rPr>
          <w:rFonts w:ascii="Times New Roman" w:hAnsi="Times New Roman" w:cs="Times New Roman"/>
          <w:sz w:val="24"/>
        </w:rPr>
        <w:t>, Hefei 230009, China</w:t>
      </w:r>
      <w:bookmarkStart w:id="1" w:name="_GoBack"/>
      <w:bookmarkEnd w:id="1"/>
    </w:p>
    <w:p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Correspondence: Yihan Chen, PhD, School of Resources and Environmental Engineering, Hefei University of Technology, 193 Tunxi Road, Hefei 230009, China. Email: </w:t>
      </w:r>
      <w:r>
        <w:fldChar w:fldCharType="begin"/>
      </w:r>
      <w:r>
        <w:instrText xml:space="preserve"> HYPERLINK "mailto:yhchen@hfut.edu.cn" </w:instrText>
      </w:r>
      <w:r>
        <w:fldChar w:fldCharType="separate"/>
      </w:r>
      <w:r>
        <w:rPr>
          <w:rStyle w:val="18"/>
          <w:sz w:val="24"/>
        </w:rPr>
        <w:t>yhchen@hfut.edu.cn</w:t>
      </w:r>
      <w:r>
        <w:rPr>
          <w:rStyle w:val="18"/>
          <w:sz w:val="24"/>
        </w:rPr>
        <w:fldChar w:fldCharType="end"/>
      </w:r>
      <w:r>
        <w:rPr>
          <w:rFonts w:ascii="Times New Roman" w:hAnsi="Times New Roman" w:cs="Times New Roman"/>
          <w:sz w:val="24"/>
        </w:rPr>
        <w:t xml:space="preserve">; Yiliang He, PhD, School of Environmental Science &amp; Engineering, Shanghai Jiao Tong University, 800 Dongchuan Road, Shanghai 200240, China. Tel. 86-21-54744008. Email: </w:t>
      </w:r>
      <w:r>
        <w:fldChar w:fldCharType="begin"/>
      </w:r>
      <w:r>
        <w:instrText xml:space="preserve"> HYPERLINK "mailto:ylhe@sjtu.edu.cn"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</w:rPr>
        <w:t>ylhe@sjtu.edu.cn</w:t>
      </w:r>
      <w:r>
        <w:rPr>
          <w:rStyle w:val="8"/>
          <w:rFonts w:ascii="Times New Roman" w:hAnsi="Times New Roman" w:cs="Times New Roman"/>
          <w:sz w:val="24"/>
        </w:rPr>
        <w:fldChar w:fldCharType="end"/>
      </w:r>
    </w:p>
    <w:p>
      <w:pPr>
        <w:rPr>
          <w:rFonts w:ascii="Times New Roman" w:hAnsi="Times New Roman" w:cs="Times New Roman"/>
          <w:sz w:val="24"/>
        </w:rPr>
        <w:sectPr>
          <w:pgSz w:w="12240" w:h="15840"/>
          <w:pgMar w:top="1440" w:right="1800" w:bottom="1440" w:left="1800" w:header="720" w:footer="720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drawing>
          <wp:inline distT="0" distB="0" distL="114300" distR="114300">
            <wp:extent cx="5270500" cy="1675130"/>
            <wp:effectExtent l="0" t="0" r="6350" b="1270"/>
            <wp:docPr id="6" name="图片 6" descr="补充---采样点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补充---采样点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7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等线" w:cs="Times New Roman"/>
          <w:bCs/>
          <w:sz w:val="24"/>
        </w:rPr>
      </w:pPr>
      <w:r>
        <w:rPr>
          <w:rFonts w:ascii="Times New Roman" w:hAnsi="Times New Roman" w:eastAsia="等线" w:cs="Times New Roman"/>
          <w:bCs/>
          <w:sz w:val="24"/>
        </w:rPr>
        <w:t>Fig. S1 Pictures of the field samplings in the reservoir system, including water samples, sediment samples, and soil samples from riparian zone of the reservoir.</w:t>
      </w: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rPr>
          <w:rFonts w:ascii="Times New Roman" w:hAnsi="Times New Roman" w:eastAsia="等线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Table</w:t>
      </w:r>
      <w:r>
        <w:rPr>
          <w:rFonts w:hint="eastAsia"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S1 The basic information about Fengshuba Reservoir (FSBR).</w:t>
      </w:r>
    </w:p>
    <w:tbl>
      <w:tblPr>
        <w:tblStyle w:val="5"/>
        <w:tblW w:w="907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576"/>
        <w:gridCol w:w="1576"/>
        <w:gridCol w:w="1098"/>
        <w:gridCol w:w="937"/>
        <w:gridCol w:w="964"/>
        <w:gridCol w:w="1216"/>
        <w:gridCol w:w="1149"/>
        <w:gridCol w:w="12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3" w:hRule="atLeast"/>
          <w:jc w:val="center"/>
        </w:trPr>
        <w:tc>
          <w:tcPr>
            <w:tcW w:w="920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01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Air Temperature (℃)</w:t>
            </w:r>
          </w:p>
        </w:tc>
        <w:tc>
          <w:tcPr>
            <w:tcW w:w="1301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Water Temperature (℃)</w:t>
            </w:r>
          </w:p>
        </w:tc>
        <w:tc>
          <w:tcPr>
            <w:tcW w:w="921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Rainfall （mm）</w:t>
            </w:r>
          </w:p>
        </w:tc>
        <w:tc>
          <w:tcPr>
            <w:tcW w:w="793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Beiling River inflow (m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3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/s)</w:t>
            </w:r>
          </w:p>
        </w:tc>
        <w:tc>
          <w:tcPr>
            <w:tcW w:w="815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Xunwu River inflow (m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3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/s)</w:t>
            </w:r>
          </w:p>
        </w:tc>
        <w:tc>
          <w:tcPr>
            <w:tcW w:w="1015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Reserv</w:t>
            </w: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oir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 outflow（m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3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/s)</w:t>
            </w:r>
          </w:p>
        </w:tc>
        <w:tc>
          <w:tcPr>
            <w:tcW w:w="962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Volumn of reservoir (bilion m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3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1048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Hydraulic retention time (days)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Summer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27.3-28.4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18.7-32.9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76.6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87.4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1.16</w:t>
            </w:r>
          </w:p>
        </w:tc>
        <w:tc>
          <w:tcPr>
            <w:tcW w:w="0" w:type="auto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Autumn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15.6-18.0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21.1-25.0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29.2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33.4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62.7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Spring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14.3-16.5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15.5-19.0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1.11</w:t>
            </w:r>
          </w:p>
        </w:tc>
        <w:tc>
          <w:tcPr>
            <w:tcW w:w="0" w:type="auto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49</w:t>
            </w:r>
          </w:p>
        </w:tc>
      </w:tr>
    </w:tbl>
    <w:p>
      <w:pPr>
        <w:jc w:val="left"/>
        <w:rPr>
          <w:sz w:val="24"/>
        </w:rPr>
        <w:sectPr>
          <w:pgSz w:w="12240" w:h="15840"/>
          <w:pgMar w:top="1440" w:right="1800" w:bottom="1440" w:left="1800" w:header="720" w:footer="720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</w:t>
      </w:r>
      <w:r>
        <w:rPr>
          <w:rFonts w:hint="eastAsia"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S2 The basic physicochemical characteristic of the 16 PAHs.</w:t>
      </w:r>
    </w:p>
    <w:tbl>
      <w:tblPr>
        <w:tblStyle w:val="5"/>
        <w:tblW w:w="131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9"/>
        <w:gridCol w:w="1955"/>
        <w:gridCol w:w="1560"/>
        <w:gridCol w:w="1282"/>
        <w:gridCol w:w="1241"/>
        <w:gridCol w:w="1122"/>
        <w:gridCol w:w="156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2719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Compound</w:t>
            </w:r>
          </w:p>
        </w:tc>
        <w:tc>
          <w:tcPr>
            <w:tcW w:w="1955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Abbreviation</w:t>
            </w:r>
          </w:p>
        </w:tc>
        <w:tc>
          <w:tcPr>
            <w:tcW w:w="1560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Molar mass [g]</w:t>
            </w:r>
          </w:p>
        </w:tc>
        <w:tc>
          <w:tcPr>
            <w:tcW w:w="1282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Water solubility [mg L</w:t>
            </w: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vertAlign w:val="superscript"/>
                <w:lang w:bidi="ar"/>
              </w:rPr>
              <w:t>−1</w:t>
            </w: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] at 25 °C</w:t>
            </w:r>
          </w:p>
        </w:tc>
        <w:tc>
          <w:tcPr>
            <w:tcW w:w="1241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log K</w:t>
            </w: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vertAlign w:val="subscript"/>
                <w:lang w:bidi="ar"/>
              </w:rPr>
              <w:t xml:space="preserve">OW </w:t>
            </w: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at 25 °C</w:t>
            </w:r>
          </w:p>
        </w:tc>
        <w:tc>
          <w:tcPr>
            <w:tcW w:w="1122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log K</w:t>
            </w: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vertAlign w:val="subscript"/>
                <w:lang w:bidi="ar"/>
              </w:rPr>
              <w:t>OA</w:t>
            </w: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 xml:space="preserve"> at 25 °C</w:t>
            </w:r>
          </w:p>
        </w:tc>
        <w:tc>
          <w:tcPr>
            <w:tcW w:w="1569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Henry's law constant [Pa m</w:t>
            </w: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vertAlign w:val="superscript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/mol] at 25 °C</w:t>
            </w:r>
          </w:p>
        </w:tc>
        <w:tc>
          <w:tcPr>
            <w:tcW w:w="1709" w:type="dxa"/>
            <w:tcBorders>
              <w:top w:val="single" w:color="000000" w:themeColor="text1" w:sz="18" w:space="0"/>
              <w:left w:val="nil"/>
              <w:bottom w:val="single" w:color="000000" w:themeColor="text1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log supercooled liquid vapour pressure [Pa]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9DC3E6" w:themeColor="accent1" w:themeTint="99"/>
                <w:kern w:val="0"/>
                <w:sz w:val="24"/>
                <w:vertAlign w:val="superscript"/>
                <w:lang w:bidi="ar"/>
                <w14:textFill>
                  <w14:solidFill>
                    <w14:schemeClr w14:val="accent1">
                      <w14:lumMod w14:val="60000"/>
                      <w14:lumOff w14:val="40000"/>
                    </w14:schemeClr>
                  </w14:solidFill>
                </w14:textFill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719" w:type="dxa"/>
            <w:tcBorders>
              <w:top w:val="single" w:color="000000" w:themeColor="text1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Naphthalene</w:t>
            </w:r>
          </w:p>
        </w:tc>
        <w:tc>
          <w:tcPr>
            <w:tcW w:w="1955" w:type="dxa"/>
            <w:tcBorders>
              <w:top w:val="single" w:color="000000" w:themeColor="text1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Nap</w:t>
            </w:r>
          </w:p>
        </w:tc>
        <w:tc>
          <w:tcPr>
            <w:tcW w:w="1560" w:type="dxa"/>
            <w:tcBorders>
              <w:top w:val="single" w:color="000000" w:themeColor="text1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128.17</w:t>
            </w:r>
          </w:p>
        </w:tc>
        <w:tc>
          <w:tcPr>
            <w:tcW w:w="1282" w:type="dxa"/>
            <w:tcBorders>
              <w:top w:val="single" w:color="000000" w:themeColor="text1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31</w:t>
            </w:r>
          </w:p>
        </w:tc>
        <w:tc>
          <w:tcPr>
            <w:tcW w:w="1241" w:type="dxa"/>
            <w:tcBorders>
              <w:top w:val="single" w:color="000000" w:themeColor="text1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3.37</w:t>
            </w:r>
          </w:p>
        </w:tc>
        <w:tc>
          <w:tcPr>
            <w:tcW w:w="1122" w:type="dxa"/>
            <w:tcBorders>
              <w:top w:val="single" w:color="000000" w:themeColor="text1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5.1</w:t>
            </w:r>
          </w:p>
        </w:tc>
        <w:tc>
          <w:tcPr>
            <w:tcW w:w="1569" w:type="dxa"/>
            <w:tcBorders>
              <w:top w:val="single" w:color="000000" w:themeColor="text1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42.6</w:t>
            </w:r>
          </w:p>
        </w:tc>
        <w:tc>
          <w:tcPr>
            <w:tcW w:w="1709" w:type="dxa"/>
            <w:tcBorders>
              <w:top w:val="single" w:color="000000" w:themeColor="text1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Acenaphthylene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Acy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152.19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sz w:val="24"/>
              </w:rPr>
              <w:t>6.36</w:t>
            </w:r>
            <w:r>
              <w:rPr>
                <w:rFonts w:hint="eastAsia" w:ascii="Times New Roman" w:hAnsi="Times New Roman" w:eastAsia="宋体" w:cs="Times New Roman"/>
                <w:color w:val="9DC3E6" w:themeColor="accent1" w:themeTint="99"/>
                <w:sz w:val="24"/>
                <w:vertAlign w:val="superscript"/>
                <w14:textFill>
                  <w14:solidFill>
                    <w14:schemeClr w14:val="accent1">
                      <w14:lumMod w14:val="60000"/>
                      <w14:lumOff w14:val="40000"/>
                    </w14:schemeClr>
                  </w14:solidFill>
                </w14:textFill>
              </w:rPr>
              <w:t>a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12.7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Acenaphthene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Ace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154.21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3.8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3.92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6.3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18.5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Fluorene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Flo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166.22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1.9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4.18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6.7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9.8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−0.24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Phenanthrene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Phe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178.23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1.1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4.46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7.5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4.3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−1.05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Anthracene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Ant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178.23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4.49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7.3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4.45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−1.11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Fluoranthene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Fla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202.25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8.9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8.6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1.96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−2.24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Pyrene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Pyr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202.25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0.13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8.8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8.6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1.7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Benzo[a]anthracene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BaA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228.29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0.011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5.8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9.5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1.22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Chrysene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Chr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228.29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0.0019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5.73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10.4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0.53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−3.89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Benzo[b]fluoranthene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BbF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252.31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0.0015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5.78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–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−4.8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Benzo[k]fluoranthene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BkF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252.31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0.0008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6.5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11.2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Benzo[a]pyrene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BaP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252.31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0.0015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6.35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10.8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−5.04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Dibenzo[a,h]anthracene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DahA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278.35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0.0005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6.5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–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0.0075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−6.14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Benzo[g,h,i]perylene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BghiP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276.33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0.00014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6.63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–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0.031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71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Indeno[1,2,3-c,d]pyrene</w:t>
            </w:r>
          </w:p>
        </w:tc>
        <w:tc>
          <w:tcPr>
            <w:tcW w:w="1955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IcdP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276.33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0.00019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6.7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–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0.029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−5.97</w:t>
            </w:r>
          </w:p>
        </w:tc>
      </w:tr>
    </w:tbl>
    <w:p>
      <w:pPr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color w:val="9DC3E6" w:themeColor="accent1" w:themeTint="99"/>
          <w:sz w:val="24"/>
          <w:vertAlign w:val="superscript"/>
          <w14:textFill>
            <w14:solidFill>
              <w14:schemeClr w14:val="accent1">
                <w14:lumMod w14:val="60000"/>
                <w14:lumOff w14:val="40000"/>
              </w14:schemeClr>
            </w14:solidFill>
          </w14:textFill>
        </w:rPr>
        <w:t>a</w:t>
      </w:r>
      <w:r>
        <w:rPr>
          <w:rFonts w:hint="eastAsia" w:ascii="Times New Roman" w:hAnsi="Times New Roman" w:cs="Times New Roman"/>
          <w:color w:val="9DC3E6" w:themeColor="accent1" w:themeTint="99"/>
          <w:sz w:val="24"/>
          <w14:textFill>
            <w14:solidFill>
              <w14:schemeClr w14:val="accent1">
                <w14:lumMod w14:val="60000"/>
                <w14:lumOff w14:val="40000"/>
              </w14:schemeClr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sz w:val="24"/>
        </w:rPr>
        <w:t xml:space="preserve">From </w:t>
      </w:r>
      <w:r>
        <w:rPr>
          <w:rFonts w:hint="eastAsia" w:ascii="Times New Roman" w:hAnsi="Times New Roman" w:cs="Times New Roman"/>
          <w:sz w:val="24"/>
        </w:rPr>
        <w:fldChar w:fldCharType="begin"/>
      </w:r>
      <w:r>
        <w:rPr>
          <w:rFonts w:hint="eastAsia" w:ascii="Times New Roman" w:hAnsi="Times New Roman" w:cs="Times New Roman"/>
          <w:sz w:val="24"/>
        </w:rPr>
        <w:instrText xml:space="preserve"> ADDIN  EN.CITE &lt;EndNote&gt;&lt;Cite&gt;&lt;Author&gt;Hwang&lt;/Author&gt;&lt;Year&gt;2003&lt;/Year&gt;&lt;RecNum&gt;221&lt;/RecNum&gt;&lt;DisplayText&gt;(Hwang et al., 2003)&lt;/DisplayText&gt;&lt;record&gt;&lt;rec-number&gt;221&lt;/rec-number&gt;&lt;foreign-keys&gt;&lt;key app="EN" db-id="sfstzvpflztsr2eztf0pwdrvrdxvwsetpvxx" timestamp="1618836635"&gt;221&lt;/key&gt;&lt;key app="ENWeb" db-id=""&gt;0&lt;/key&gt;&lt;/foreign-keys&gt;&lt;ref-type name="Journal Article"&gt;17&lt;/ref-type&gt;&lt;contributors&gt;&lt;authors&gt;&lt;author&gt;Hwang, Hyun-Min&lt;/author&gt;&lt;author&gt;Wade, Terry L.&lt;/author&gt;&lt;author&gt;Sericano, Jose L.&lt;/author&gt;&lt;/authors&gt;&lt;/contributors&gt;&lt;titles&gt;&lt;title&gt;Concentrations and source characterization of polycyclic aromatic hydrocarbons in pine needles from Korea, Mexico, and United States&lt;/title&gt;&lt;secondary-title&gt;Atmospheric Environment&lt;/secondary-title&gt;&lt;/titles&gt;&lt;periodical&gt;&lt;full-title&gt;Atmospheric Environment&lt;/full-title&gt;&lt;/periodical&gt;&lt;pages&gt;2259-2267&lt;/pages&gt;&lt;volume&gt;37&lt;/volume&gt;&lt;number&gt;16&lt;/number&gt;&lt;section&gt;2259&lt;/section&gt;&lt;dates&gt;&lt;year&gt;2003&lt;/year&gt;&lt;/dates&gt;&lt;isbn&gt;13522310&lt;/isbn&gt;&lt;urls&gt;&lt;/urls&gt;&lt;electronic-resource-num&gt;10.1016/s1352-2310(03)00090-6&lt;/electronic-resource-num&gt;&lt;/record&gt;&lt;/Cite&gt;&lt;/EndNote&gt;</w:instrText>
      </w:r>
      <w:r>
        <w:rPr>
          <w:rFonts w:hint="eastAsia" w:ascii="Times New Roman" w:hAnsi="Times New Roman" w:cs="Times New Roman"/>
          <w:sz w:val="24"/>
        </w:rPr>
        <w:fldChar w:fldCharType="separate"/>
      </w:r>
      <w:r>
        <w:rPr>
          <w:rFonts w:hint="eastAsia" w:ascii="Times New Roman" w:hAnsi="Times New Roman" w:cs="Times New Roman"/>
          <w:sz w:val="24"/>
        </w:rPr>
        <w:t>(Hwang et al., 2003)</w:t>
      </w:r>
      <w:r>
        <w:rPr>
          <w:rFonts w:hint="eastAsia" w:ascii="Times New Roman" w:hAnsi="Times New Roman" w:cs="Times New Roman"/>
          <w:sz w:val="24"/>
        </w:rPr>
        <w:fldChar w:fldCharType="end"/>
      </w:r>
    </w:p>
    <w:p>
      <w:pPr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color w:val="9DC3E6" w:themeColor="accent1" w:themeTint="99"/>
          <w:sz w:val="24"/>
          <w:vertAlign w:val="superscript"/>
          <w14:textFill>
            <w14:solidFill>
              <w14:schemeClr w14:val="accent1">
                <w14:lumMod w14:val="60000"/>
                <w14:lumOff w14:val="40000"/>
              </w14:schemeClr>
            </w14:solidFill>
          </w14:textFill>
        </w:rPr>
        <w:t>b</w:t>
      </w:r>
      <w:r>
        <w:rPr>
          <w:rFonts w:hint="eastAsia" w:ascii="Times New Roman" w:hAnsi="Times New Roman" w:cs="Times New Roman"/>
          <w:color w:val="9DC3E6" w:themeColor="accent1" w:themeTint="99"/>
          <w:sz w:val="24"/>
          <w14:textFill>
            <w14:solidFill>
              <w14:schemeClr w14:val="accent1">
                <w14:lumMod w14:val="60000"/>
                <w14:lumOff w14:val="40000"/>
              </w14:schemeClr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sz w:val="24"/>
        </w:rPr>
        <w:t xml:space="preserve">From </w:t>
      </w:r>
      <w:r>
        <w:rPr>
          <w:rFonts w:hint="eastAsia" w:ascii="Times New Roman" w:hAnsi="Times New Roman" w:cs="Times New Roman"/>
          <w:sz w:val="24"/>
        </w:rPr>
        <w:fldChar w:fldCharType="begin"/>
      </w:r>
      <w:r>
        <w:rPr>
          <w:rFonts w:hint="eastAsia" w:ascii="Times New Roman" w:hAnsi="Times New Roman" w:cs="Times New Roman"/>
          <w:sz w:val="24"/>
        </w:rPr>
        <w:instrText xml:space="preserve"> ADDIN  EN.CITE &lt;EndNote&gt;&lt;Cite&gt;&lt;Author&gt;Odabasi&lt;/Author&gt;&lt;Year&gt;2006&lt;/Year&gt;&lt;RecNum&gt;222&lt;/RecNum&gt;&lt;DisplayText&gt;(Odabasi et al., 2006)&lt;/DisplayText&gt;&lt;record&gt;&lt;rec-number&gt;222&lt;/rec-number&gt;&lt;foreign-keys&gt;&lt;key app="EN" db-id="sfstzvpflztsr2eztf0pwdrvrdxvwsetpvxx" timestamp="1618837486"&gt;222&lt;/key&gt;&lt;key app="ENWeb" db-id=""&gt;0&lt;/key&gt;&lt;/foreign-keys&gt;&lt;ref-type name="Journal Article"&gt;17&lt;/ref-type&gt;&lt;contributors&gt;&lt;authors&gt;&lt;author&gt;Odabasi, Mustafa&lt;/author&gt;&lt;author&gt;Cetin, Eylem&lt;/author&gt;&lt;author&gt;Sofuoglu, Aysun&lt;/author&gt;&lt;/authors&gt;&lt;/contributors&gt;&lt;titles&gt;&lt;title&gt;Determination of octanol–air partition coefficients and supercooled liquid vapor pressures of PAHs as a function of temperature: Application to gas–particle partitioning in an urban atmosphere&lt;/title&gt;&lt;secondary-title&gt;Atmospheric Environment&lt;/secondary-title&gt;&lt;/titles&gt;&lt;periodical&gt;&lt;full-title&gt;Atmospheric Environment&lt;/full-title&gt;&lt;/periodical&gt;&lt;pages&gt;6615-6625&lt;/pages&gt;&lt;volume&gt;40&lt;/volume&gt;&lt;number&gt;34&lt;/number&gt;&lt;section&gt;6615&lt;/section&gt;&lt;dates&gt;&lt;year&gt;2006&lt;/year&gt;&lt;/dates&gt;&lt;isbn&gt;13522310&lt;/isbn&gt;&lt;urls&gt;&lt;/urls&gt;&lt;electronic-resource-num&gt;10.1016/j.atmosenv.2006.05.051&lt;/electronic-resource-num&gt;&lt;/record&gt;&lt;/Cite&gt;&lt;/EndNote&gt;</w:instrText>
      </w:r>
      <w:r>
        <w:rPr>
          <w:rFonts w:hint="eastAsia" w:ascii="Times New Roman" w:hAnsi="Times New Roman" w:cs="Times New Roman"/>
          <w:sz w:val="24"/>
        </w:rPr>
        <w:fldChar w:fldCharType="separate"/>
      </w:r>
      <w:r>
        <w:rPr>
          <w:rFonts w:hint="eastAsia" w:ascii="Times New Roman" w:hAnsi="Times New Roman" w:cs="Times New Roman"/>
          <w:sz w:val="24"/>
        </w:rPr>
        <w:t>(Odabasi et al., 2006)</w:t>
      </w:r>
      <w:r>
        <w:rPr>
          <w:rFonts w:hint="eastAsia" w:ascii="Times New Roman" w:hAnsi="Times New Roman" w:cs="Times New Roman"/>
          <w:sz w:val="24"/>
        </w:rPr>
        <w:fldChar w:fldCharType="end"/>
      </w:r>
    </w:p>
    <w:p>
      <w:pPr>
        <w:jc w:val="left"/>
        <w:rPr>
          <w:rFonts w:ascii="Times New Roman" w:hAnsi="Times New Roman" w:cs="Times New Roman"/>
          <w:color w:val="9DC3E6" w:themeColor="accent1" w:themeTint="99"/>
          <w:sz w:val="24"/>
          <w14:textFill>
            <w14:solidFill>
              <w14:schemeClr w14:val="accent1">
                <w14:lumMod w14:val="60000"/>
                <w14:lumOff w14:val="40000"/>
              </w14:schemeClr>
            </w14:solidFill>
          </w14:textFill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</w:p>
    <w:p>
      <w:pPr>
        <w:rPr>
          <w:sz w:val="24"/>
        </w:rPr>
      </w:pPr>
      <w:r>
        <w:rPr>
          <w:rFonts w:ascii="Times New Roman" w:hAnsi="Times New Roman" w:cs="Times New Roman"/>
          <w:sz w:val="24"/>
        </w:rPr>
        <w:t>Table</w:t>
      </w:r>
      <w:r>
        <w:rPr>
          <w:rFonts w:hint="eastAsia" w:ascii="Times New Roman" w:hAnsi="Times New Roman" w:cs="Times New Roman"/>
          <w:sz w:val="24"/>
        </w:rPr>
        <w:t xml:space="preserve"> S3</w:t>
      </w:r>
      <w:r>
        <w:rPr>
          <w:rFonts w:ascii="Times New Roman" w:hAnsi="Times New Roman" w:cs="Times New Roman"/>
          <w:sz w:val="24"/>
        </w:rPr>
        <w:t xml:space="preserve"> Tandem mass spectrometric parameters for typical PAHs, recovery indicator and internal standard substance</w:t>
      </w:r>
      <w:r>
        <w:rPr>
          <w:rFonts w:hint="eastAsia" w:ascii="Times New Roman" w:hAnsi="Times New Roman" w:cs="Times New Roman"/>
          <w:sz w:val="24"/>
        </w:rPr>
        <w:t>.</w:t>
      </w:r>
    </w:p>
    <w:tbl>
      <w:tblPr>
        <w:tblStyle w:val="5"/>
        <w:tblW w:w="98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8"/>
        <w:gridCol w:w="2719"/>
        <w:gridCol w:w="2171"/>
        <w:gridCol w:w="2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2288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Compound</w:t>
            </w:r>
          </w:p>
        </w:tc>
        <w:tc>
          <w:tcPr>
            <w:tcW w:w="2719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Retention time</w:t>
            </w:r>
          </w:p>
        </w:tc>
        <w:tc>
          <w:tcPr>
            <w:tcW w:w="217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ecovery indicator</w:t>
            </w:r>
          </w:p>
        </w:tc>
        <w:tc>
          <w:tcPr>
            <w:tcW w:w="268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nternal standard substance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28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Nap</w:t>
            </w:r>
          </w:p>
        </w:tc>
        <w:tc>
          <w:tcPr>
            <w:tcW w:w="271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6.396</w:t>
            </w:r>
          </w:p>
        </w:tc>
        <w:tc>
          <w:tcPr>
            <w:tcW w:w="217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128</w:t>
            </w:r>
          </w:p>
        </w:tc>
        <w:tc>
          <w:tcPr>
            <w:tcW w:w="268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127/129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Ace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8.964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152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135/137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Acy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9.266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153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154/152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Flo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10.16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166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165/167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Phe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12.602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178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176/179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Ant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12.8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178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176/179</w:t>
            </w:r>
          </w:p>
        </w:tc>
      </w:tr>
      <w:tr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Fla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17.493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202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200/203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Pyr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18.548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202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200/203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BaA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25.994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228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226/229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Chr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26.243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228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226/229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BbF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33.099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250/253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BkF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33.295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250/253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BaP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35.055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250/253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IcdP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41.67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276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277/138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DahA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42.026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279/276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BghiP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42.874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276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274/138</w:t>
            </w:r>
          </w:p>
        </w:tc>
      </w:tr>
    </w:tbl>
    <w:p>
      <w:pPr>
        <w:jc w:val="left"/>
        <w:rPr>
          <w:sz w:val="24"/>
        </w:rPr>
        <w:sectPr>
          <w:pgSz w:w="12240" w:h="15840"/>
          <w:pgMar w:top="1440" w:right="1800" w:bottom="1440" w:left="1800" w:header="720" w:footer="720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Table. S4 The concentration of 16 PAHs in the water phase (</w:t>
      </w:r>
      <w:r>
        <w:rPr>
          <w:rFonts w:ascii="Times New Roman" w:hAnsi="Times New Roman" w:eastAsia="宋体" w:cs="Times New Roman"/>
          <w:sz w:val="24"/>
          <w:lang w:bidi="ar"/>
        </w:rPr>
        <w:t>ng/L</w:t>
      </w:r>
      <w:r>
        <w:rPr>
          <w:rFonts w:hint="eastAsia" w:ascii="Times New Roman" w:hAnsi="Times New Roman" w:cs="Times New Roman"/>
          <w:sz w:val="24"/>
        </w:rPr>
        <w:t>), porewater phase (</w:t>
      </w:r>
      <w:r>
        <w:rPr>
          <w:rFonts w:ascii="Times New Roman" w:hAnsi="Times New Roman" w:eastAsia="宋体" w:cs="Times New Roman"/>
          <w:sz w:val="24"/>
          <w:lang w:bidi="ar"/>
        </w:rPr>
        <w:t>μg/L</w:t>
      </w:r>
      <w:r>
        <w:rPr>
          <w:rFonts w:hint="eastAsia" w:ascii="Times New Roman" w:hAnsi="Times New Roman" w:cs="Times New Roman"/>
          <w:sz w:val="24"/>
        </w:rPr>
        <w:t>), sediment phase (</w:t>
      </w:r>
      <w:r>
        <w:rPr>
          <w:rFonts w:ascii="Times New Roman" w:hAnsi="Times New Roman" w:eastAsia="宋体" w:cs="Times New Roman"/>
          <w:sz w:val="24"/>
          <w:lang w:bidi="ar"/>
        </w:rPr>
        <w:t>μg/kg</w:t>
      </w:r>
      <w:r>
        <w:rPr>
          <w:rFonts w:hint="eastAsia" w:ascii="Times New Roman" w:hAnsi="Times New Roman" w:cs="Times New Roman"/>
          <w:sz w:val="24"/>
        </w:rPr>
        <w:t>) and soil phase (</w:t>
      </w:r>
      <w:r>
        <w:rPr>
          <w:rFonts w:ascii="Times New Roman" w:hAnsi="Times New Roman" w:eastAsia="宋体" w:cs="Times New Roman"/>
          <w:sz w:val="24"/>
          <w:lang w:bidi="ar"/>
        </w:rPr>
        <w:t>μg/kg</w:t>
      </w:r>
      <w:r>
        <w:rPr>
          <w:rFonts w:hint="eastAsia" w:ascii="Times New Roman" w:hAnsi="Times New Roman" w:cs="Times New Roman"/>
          <w:sz w:val="24"/>
        </w:rPr>
        <w:t>) of FSBR.</w:t>
      </w:r>
    </w:p>
    <w:tbl>
      <w:tblPr>
        <w:tblStyle w:val="5"/>
        <w:tblpPr w:leftFromText="180" w:rightFromText="180" w:vertAnchor="text" w:horzAnchor="page" w:tblpXSpec="center" w:tblpY="128"/>
        <w:tblOverlap w:val="never"/>
        <w:tblW w:w="1549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3"/>
        <w:gridCol w:w="1468"/>
        <w:gridCol w:w="866"/>
        <w:gridCol w:w="827"/>
        <w:gridCol w:w="240"/>
        <w:gridCol w:w="2011"/>
        <w:gridCol w:w="889"/>
        <w:gridCol w:w="982"/>
        <w:gridCol w:w="256"/>
        <w:gridCol w:w="1502"/>
        <w:gridCol w:w="778"/>
        <w:gridCol w:w="795"/>
        <w:gridCol w:w="256"/>
        <w:gridCol w:w="1570"/>
        <w:gridCol w:w="767"/>
        <w:gridCol w:w="9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1323" w:type="dxa"/>
            <w:tcBorders>
              <w:top w:val="single" w:color="auto" w:sz="18" w:space="0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Compound</w:t>
            </w:r>
          </w:p>
        </w:tc>
        <w:tc>
          <w:tcPr>
            <w:tcW w:w="3161" w:type="dxa"/>
            <w:gridSpan w:val="3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Water phase</w:t>
            </w:r>
          </w:p>
        </w:tc>
        <w:tc>
          <w:tcPr>
            <w:tcW w:w="24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882" w:type="dxa"/>
            <w:gridSpan w:val="3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Porewater phase</w:t>
            </w:r>
          </w:p>
        </w:tc>
        <w:tc>
          <w:tcPr>
            <w:tcW w:w="25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75" w:type="dxa"/>
            <w:gridSpan w:val="3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Sediment phase</w:t>
            </w:r>
          </w:p>
        </w:tc>
        <w:tc>
          <w:tcPr>
            <w:tcW w:w="25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304" w:type="dxa"/>
            <w:gridSpan w:val="3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Soil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323" w:type="dxa"/>
            <w:tcBorders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468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Range</w:t>
            </w:r>
          </w:p>
        </w:tc>
        <w:tc>
          <w:tcPr>
            <w:tcW w:w="866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Mea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</w:t>
            </w:r>
          </w:p>
        </w:tc>
        <w:tc>
          <w:tcPr>
            <w:tcW w:w="827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Median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Range</w:t>
            </w:r>
          </w:p>
        </w:tc>
        <w:tc>
          <w:tcPr>
            <w:tcW w:w="889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Mea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</w:t>
            </w:r>
          </w:p>
        </w:tc>
        <w:tc>
          <w:tcPr>
            <w:tcW w:w="982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Median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Range</w:t>
            </w:r>
          </w:p>
        </w:tc>
        <w:tc>
          <w:tcPr>
            <w:tcW w:w="778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Mea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</w:t>
            </w:r>
          </w:p>
        </w:tc>
        <w:tc>
          <w:tcPr>
            <w:tcW w:w="795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Median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Range</w:t>
            </w:r>
          </w:p>
        </w:tc>
        <w:tc>
          <w:tcPr>
            <w:tcW w:w="767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Mea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</w:t>
            </w:r>
          </w:p>
        </w:tc>
        <w:tc>
          <w:tcPr>
            <w:tcW w:w="967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Median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132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Nap</w:t>
            </w:r>
          </w:p>
        </w:tc>
        <w:tc>
          <w:tcPr>
            <w:tcW w:w="146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62.09-256.44</w:t>
            </w:r>
          </w:p>
        </w:tc>
        <w:tc>
          <w:tcPr>
            <w:tcW w:w="86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138.44</w:t>
            </w:r>
          </w:p>
        </w:tc>
        <w:tc>
          <w:tcPr>
            <w:tcW w:w="82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125.72</w:t>
            </w:r>
          </w:p>
        </w:tc>
        <w:tc>
          <w:tcPr>
            <w:tcW w:w="24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0.57-16.97</w:t>
            </w:r>
          </w:p>
        </w:tc>
        <w:tc>
          <w:tcPr>
            <w:tcW w:w="88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.42</w:t>
            </w:r>
          </w:p>
        </w:tc>
        <w:tc>
          <w:tcPr>
            <w:tcW w:w="982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0.16</w:t>
            </w:r>
          </w:p>
        </w:tc>
        <w:tc>
          <w:tcPr>
            <w:tcW w:w="25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64.88-169.6</w:t>
            </w:r>
          </w:p>
        </w:tc>
        <w:tc>
          <w:tcPr>
            <w:tcW w:w="77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114.43</w:t>
            </w:r>
          </w:p>
        </w:tc>
        <w:tc>
          <w:tcPr>
            <w:tcW w:w="795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120.77</w:t>
            </w:r>
          </w:p>
        </w:tc>
        <w:tc>
          <w:tcPr>
            <w:tcW w:w="25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132.24-208.42</w:t>
            </w:r>
          </w:p>
        </w:tc>
        <w:tc>
          <w:tcPr>
            <w:tcW w:w="76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170.25</w:t>
            </w:r>
          </w:p>
        </w:tc>
        <w:tc>
          <w:tcPr>
            <w:tcW w:w="96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154.92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Acy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6.13-17.22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8.61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.21-0.69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.32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.28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2.88-4.43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3.87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3.92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3.27-4.08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3.51</w:t>
            </w:r>
          </w:p>
        </w:tc>
      </w:tr>
      <w:tr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Ace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5.51-17.22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8.75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8.63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.49-0.89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.71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.76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4.5-6.46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5.17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5.17-8.74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6.82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Flo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8.72-31.09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14.66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15.13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.81-1.79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.41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.49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24.39-37.16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29.92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28.71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33.96-48.55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39.65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40.44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Phe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11.81-29.64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19.09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19.45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.08-3.40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.80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.88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62.22-236.15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112.26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74.57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68.78-163.54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108.43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100.98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Ant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0.40-6.16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D-1.13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.11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12.78-18.59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14.74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14.13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5.25-12.05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7.44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Fla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4.89-8.71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6.48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5.87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.36-1.33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.56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.45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28.23-34.98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32.23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30.94-38.91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34.86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Pyr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3.46-6.90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4.84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.22-0.95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.34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21.25-30.85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26.38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25.6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27.19-45.04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34.9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33.93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BaA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ND-5.26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0.63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.06-0.20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.14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.14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52.91-67.23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59.19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58.1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26.32-41.96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31.23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Chr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7.04-11.05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8.70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.01-0.08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22.07-27.03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23.68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11.52-17.35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13.51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BbF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.05-0.61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.22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.14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14.17-21.59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16.93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16.67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6.89-13.25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BkF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.30-2.31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.85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.77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4.16-9.33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6.52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3.24-6.4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4.37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4.29</w:t>
            </w:r>
          </w:p>
        </w:tc>
      </w:tr>
      <w:tr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BaP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.58-3.35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.23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6.22-10.89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7.51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7.53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1.58-3.84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IcdP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D-1.07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.14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23.29-37.75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28.88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28.28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5.08-11.95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DahA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D-0.19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16.08-24.77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19.51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19.46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4.32-9.19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BghiP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D-0.19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.03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4.49-6.91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5.37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2.06-6.61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32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∑PAHs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110.04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389.88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213.14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198.37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5.75-34.96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8.33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 xml:space="preserve">8.56 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364.5-743.71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506.81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470.22</w:t>
            </w:r>
          </w:p>
        </w:tc>
        <w:tc>
          <w:tcPr>
            <w:tcW w:w="256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367.81-639.89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485.18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453.29</w:t>
            </w:r>
          </w:p>
        </w:tc>
      </w:tr>
    </w:tbl>
    <w:p>
      <w:pPr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Note: ND represent not detected.</w:t>
      </w:r>
    </w:p>
    <w:p>
      <w:pPr>
        <w:jc w:val="left"/>
        <w:rPr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Table. S5 Diagnostic ratios of the PAH sources in water, porewater, sed</w:t>
      </w:r>
      <w:r>
        <w:rPr>
          <w:rFonts w:ascii="Times New Roman" w:hAnsi="Times New Roman" w:cs="Times New Roman"/>
          <w:sz w:val="24"/>
        </w:rPr>
        <w:t>i</w:t>
      </w:r>
      <w:r>
        <w:rPr>
          <w:rFonts w:hint="eastAsia" w:ascii="Times New Roman" w:hAnsi="Times New Roman" w:cs="Times New Roman"/>
          <w:sz w:val="24"/>
        </w:rPr>
        <w:t>ment and soil samples of FSBR.</w:t>
      </w:r>
    </w:p>
    <w:tbl>
      <w:tblPr>
        <w:tblStyle w:val="5"/>
        <w:tblW w:w="875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1"/>
        <w:gridCol w:w="1565"/>
        <w:gridCol w:w="1743"/>
        <w:gridCol w:w="1565"/>
        <w:gridCol w:w="1565"/>
      </w:tblGrid>
      <w:tr>
        <w:trPr>
          <w:trHeight w:val="810" w:hRule="atLeast"/>
        </w:trPr>
        <w:tc>
          <w:tcPr>
            <w:tcW w:w="2321" w:type="dxa"/>
            <w:vMerge w:val="restart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PAH ratio</w:t>
            </w:r>
          </w:p>
        </w:tc>
        <w:tc>
          <w:tcPr>
            <w:tcW w:w="6438" w:type="dxa"/>
            <w:gridSpan w:val="4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321" w:type="dxa"/>
            <w:vMerge w:val="continue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0" w:type="auto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water</w:t>
            </w:r>
          </w:p>
        </w:tc>
        <w:tc>
          <w:tcPr>
            <w:tcW w:w="0" w:type="auto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porewater</w:t>
            </w:r>
          </w:p>
        </w:tc>
        <w:tc>
          <w:tcPr>
            <w:tcW w:w="0" w:type="auto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sediment</w:t>
            </w:r>
          </w:p>
        </w:tc>
        <w:tc>
          <w:tcPr>
            <w:tcW w:w="0" w:type="auto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soil</w:t>
            </w:r>
          </w:p>
        </w:tc>
      </w:tr>
      <w:tr>
        <w:trPr>
          <w:trHeight w:val="810" w:hRule="atLeast"/>
        </w:trPr>
        <w:tc>
          <w:tcPr>
            <w:tcW w:w="0" w:type="auto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Ant/(Ant+Phe)</w:t>
            </w:r>
          </w:p>
        </w:tc>
        <w:tc>
          <w:tcPr>
            <w:tcW w:w="0" w:type="auto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0.03-0.22</w:t>
            </w:r>
          </w:p>
        </w:tc>
        <w:tc>
          <w:tcPr>
            <w:tcW w:w="0" w:type="auto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0-0.25</w:t>
            </w:r>
          </w:p>
        </w:tc>
        <w:tc>
          <w:tcPr>
            <w:tcW w:w="0" w:type="auto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0.82-0.94</w:t>
            </w:r>
          </w:p>
        </w:tc>
        <w:tc>
          <w:tcPr>
            <w:tcW w:w="0" w:type="auto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0.93-0.96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Fla/(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la+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yr)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0.54-0.63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0.58-0.70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0.52-0.57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0.46-0.56</w:t>
            </w:r>
          </w:p>
        </w:tc>
      </w:tr>
    </w:tbl>
    <w:p>
      <w:pPr>
        <w:jc w:val="left"/>
        <w:rPr>
          <w:rFonts w:ascii="Times New Roman" w:hAnsi="Times New Roman" w:cs="Times New Roman"/>
          <w:b/>
          <w:bCs/>
          <w:sz w:val="24"/>
        </w:rPr>
        <w:sectPr>
          <w:pgSz w:w="12240" w:h="15840"/>
          <w:pgMar w:top="1440" w:right="1800" w:bottom="1440" w:left="1800" w:header="720" w:footer="720" w:gutter="0"/>
          <w:cols w:space="425" w:num="1"/>
          <w:docGrid w:type="lines" w:linePitch="312" w:charSpace="0"/>
        </w:sectPr>
      </w:pPr>
    </w:p>
    <w:p>
      <w:pPr>
        <w:widowControl/>
        <w:spacing w:line="360" w:lineRule="auto"/>
        <w:textAlignment w:val="center"/>
        <w:rPr>
          <w:rFonts w:ascii="Times New Roman" w:hAnsi="Times New Roman" w:eastAsia="等线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等线" w:cs="Times New Roman"/>
          <w:sz w:val="24"/>
        </w:rPr>
        <w:t>Table. S6 Description of the basic environmental parameters for the water samples from the five sites of the FSBR with the seasons: Summer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(S1-S5)</w:t>
      </w:r>
      <w:r>
        <w:rPr>
          <w:rFonts w:ascii="Times New Roman" w:hAnsi="Times New Roman" w:eastAsia="等线" w:cs="Times New Roman"/>
          <w:sz w:val="24"/>
        </w:rPr>
        <w:t xml:space="preserve">, </w:t>
      </w:r>
      <w:r>
        <w:rPr>
          <w:rFonts w:hint="eastAsia" w:ascii="Times New Roman" w:hAnsi="Times New Roman" w:eastAsia="等线" w:cs="Times New Roman"/>
          <w:sz w:val="24"/>
        </w:rPr>
        <w:t>Autumn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(A1-A5)</w:t>
      </w:r>
      <w:r>
        <w:rPr>
          <w:rFonts w:ascii="Times New Roman" w:hAnsi="Times New Roman" w:eastAsia="等线" w:cs="Times New Roman"/>
          <w:sz w:val="24"/>
        </w:rPr>
        <w:t xml:space="preserve">, and </w:t>
      </w:r>
      <w:r>
        <w:rPr>
          <w:rFonts w:hint="eastAsia" w:ascii="Times New Roman" w:hAnsi="Times New Roman" w:eastAsia="等线" w:cs="Times New Roman"/>
          <w:sz w:val="24"/>
        </w:rPr>
        <w:t>Spring</w:t>
      </w:r>
      <w:r>
        <w:rPr>
          <w:rFonts w:ascii="Times New Roman" w:hAnsi="Times New Roman" w:eastAsia="等线" w:cs="Times New Roman"/>
          <w:sz w:val="24"/>
        </w:rPr>
        <w:t>-2016</w:t>
      </w:r>
      <w:r>
        <w:rPr>
          <w:rFonts w:hint="eastAsia" w:ascii="Times New Roman" w:hAnsi="Times New Roman" w:eastAsia="等线" w:cs="Times New Roman"/>
          <w:sz w:val="24"/>
        </w:rPr>
        <w:t xml:space="preserve"> (S11-S15</w:t>
      </w:r>
      <w:r>
        <w:rPr>
          <w:rFonts w:ascii="Times New Roman" w:hAnsi="Times New Roman" w:eastAsia="等线" w:cs="Times New Roman"/>
          <w:sz w:val="24"/>
        </w:rPr>
        <w:t>)</w:t>
      </w:r>
      <w:r>
        <w:rPr>
          <w:rFonts w:hint="eastAsia" w:ascii="Times New Roman" w:hAnsi="Times New Roman" w:eastAsia="等线" w:cs="Times New Roman"/>
          <w:sz w:val="24"/>
        </w:rPr>
        <w:t>.</w:t>
      </w:r>
    </w:p>
    <w:tbl>
      <w:tblPr>
        <w:tblStyle w:val="5"/>
        <w:tblW w:w="125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967"/>
        <w:gridCol w:w="967"/>
        <w:gridCol w:w="967"/>
        <w:gridCol w:w="1094"/>
        <w:gridCol w:w="1186"/>
        <w:gridCol w:w="1202"/>
        <w:gridCol w:w="1017"/>
        <w:gridCol w:w="1109"/>
        <w:gridCol w:w="1001"/>
        <w:gridCol w:w="924"/>
        <w:gridCol w:w="1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67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IC</w:t>
            </w:r>
          </w:p>
        </w:tc>
        <w:tc>
          <w:tcPr>
            <w:tcW w:w="967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NTU</w:t>
            </w:r>
          </w:p>
        </w:tc>
        <w:tc>
          <w:tcPr>
            <w:tcW w:w="967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TN</w:t>
            </w:r>
          </w:p>
        </w:tc>
        <w:tc>
          <w:tcPr>
            <w:tcW w:w="1094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NH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4</w:t>
            </w:r>
            <w:r>
              <w:rPr>
                <w:rStyle w:val="20"/>
                <w:rFonts w:eastAsia="宋体"/>
                <w:lang w:bidi="ar"/>
              </w:rPr>
              <w:t>+</w:t>
            </w:r>
          </w:p>
        </w:tc>
        <w:tc>
          <w:tcPr>
            <w:tcW w:w="1186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NO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3</w:t>
            </w:r>
            <w:r>
              <w:rPr>
                <w:rStyle w:val="20"/>
                <w:rFonts w:eastAsia="宋体"/>
                <w:lang w:bidi="ar"/>
              </w:rPr>
              <w:t>-</w:t>
            </w:r>
          </w:p>
        </w:tc>
        <w:tc>
          <w:tcPr>
            <w:tcW w:w="1202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TP</w:t>
            </w:r>
          </w:p>
        </w:tc>
        <w:tc>
          <w:tcPr>
            <w:tcW w:w="1017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PH</w:t>
            </w:r>
          </w:p>
        </w:tc>
        <w:tc>
          <w:tcPr>
            <w:tcW w:w="1109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DO</w:t>
            </w:r>
          </w:p>
        </w:tc>
        <w:tc>
          <w:tcPr>
            <w:tcW w:w="1001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Chl-α</w:t>
            </w:r>
          </w:p>
        </w:tc>
        <w:tc>
          <w:tcPr>
            <w:tcW w:w="924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ORP</w:t>
            </w:r>
          </w:p>
        </w:tc>
        <w:tc>
          <w:tcPr>
            <w:tcW w:w="1171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67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</w:t>
            </w:r>
          </w:p>
        </w:tc>
        <w:tc>
          <w:tcPr>
            <w:tcW w:w="96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96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6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3.02</w:t>
            </w:r>
          </w:p>
        </w:tc>
        <w:tc>
          <w:tcPr>
            <w:tcW w:w="109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0.049</w:t>
            </w:r>
          </w:p>
        </w:tc>
        <w:tc>
          <w:tcPr>
            <w:tcW w:w="118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2.111</w:t>
            </w:r>
          </w:p>
        </w:tc>
        <w:tc>
          <w:tcPr>
            <w:tcW w:w="1202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0.006</w:t>
            </w:r>
          </w:p>
        </w:tc>
        <w:tc>
          <w:tcPr>
            <w:tcW w:w="101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7.16</w:t>
            </w:r>
          </w:p>
        </w:tc>
        <w:tc>
          <w:tcPr>
            <w:tcW w:w="110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6.93</w:t>
            </w:r>
          </w:p>
        </w:tc>
        <w:tc>
          <w:tcPr>
            <w:tcW w:w="100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3.25</w:t>
            </w:r>
          </w:p>
        </w:tc>
        <w:tc>
          <w:tcPr>
            <w:tcW w:w="92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117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2.66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3.31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0.078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2.389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104.8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2.472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3.73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3.19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3.96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0.053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2.497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4.14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122.8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2.73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1.69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0.078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2.564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3.76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112.6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1.88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0.283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0.065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6.72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2.19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2.67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0.327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0.023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2.32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2.99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0.358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0.167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6.97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2.08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0.388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0.148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0.025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6.78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79.9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0.403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0.162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0.061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2.41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88.3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0.539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0.911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0.037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9.47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7.12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47.5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0.581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1.531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9.36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3.59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3.11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0.805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1.561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9.36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7.13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62.8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0.537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1.754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9.62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3.75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136.8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6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S15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3.36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7.8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2.76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0.427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1.734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0.015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6.98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9.77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3.03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84.8</w:t>
            </w:r>
          </w:p>
        </w:tc>
      </w:tr>
    </w:tbl>
    <w:p>
      <w:pPr>
        <w:jc w:val="left"/>
        <w:rPr>
          <w:rFonts w:ascii="Times New Roman" w:hAnsi="Times New Roman" w:cs="Times New Roman"/>
          <w:b/>
          <w:bCs/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</w:p>
    <w:p>
      <w:pPr>
        <w:widowControl/>
        <w:spacing w:line="360" w:lineRule="auto"/>
        <w:textAlignment w:val="center"/>
        <w:rPr>
          <w:rFonts w:ascii="Times New Roman" w:hAnsi="Times New Roman" w:eastAsia="等线" w:cs="Times New Roman"/>
          <w:sz w:val="24"/>
        </w:rPr>
      </w:pPr>
      <w:r>
        <w:rPr>
          <w:rFonts w:hint="eastAsia" w:ascii="Times New Roman" w:hAnsi="Times New Roman" w:eastAsia="等线" w:cs="Times New Roman"/>
          <w:sz w:val="24"/>
        </w:rPr>
        <w:t>Table. S7 Description of the basic environmental parameters for the porewater samples from the five sites of the FSBR with the seasons: Summer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(S1-S5)</w:t>
      </w:r>
      <w:r>
        <w:rPr>
          <w:rFonts w:ascii="Times New Roman" w:hAnsi="Times New Roman" w:eastAsia="等线" w:cs="Times New Roman"/>
          <w:sz w:val="24"/>
        </w:rPr>
        <w:t xml:space="preserve">, </w:t>
      </w:r>
      <w:r>
        <w:rPr>
          <w:rFonts w:hint="eastAsia" w:ascii="Times New Roman" w:hAnsi="Times New Roman" w:eastAsia="等线" w:cs="Times New Roman"/>
          <w:sz w:val="24"/>
        </w:rPr>
        <w:t>Autumn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(A1-A5)</w:t>
      </w:r>
      <w:r>
        <w:rPr>
          <w:rFonts w:ascii="Times New Roman" w:hAnsi="Times New Roman" w:eastAsia="等线" w:cs="Times New Roman"/>
          <w:sz w:val="24"/>
        </w:rPr>
        <w:t xml:space="preserve">, and </w:t>
      </w:r>
      <w:r>
        <w:rPr>
          <w:rFonts w:hint="eastAsia" w:ascii="Times New Roman" w:hAnsi="Times New Roman" w:eastAsia="等线" w:cs="Times New Roman"/>
          <w:sz w:val="24"/>
        </w:rPr>
        <w:t>Spring</w:t>
      </w:r>
      <w:r>
        <w:rPr>
          <w:rFonts w:ascii="Times New Roman" w:hAnsi="Times New Roman" w:eastAsia="等线" w:cs="Times New Roman"/>
          <w:sz w:val="24"/>
        </w:rPr>
        <w:t>-2016</w:t>
      </w:r>
      <w:r>
        <w:rPr>
          <w:rFonts w:hint="eastAsia" w:ascii="Times New Roman" w:hAnsi="Times New Roman" w:eastAsia="等线" w:cs="Times New Roman"/>
          <w:sz w:val="24"/>
        </w:rPr>
        <w:t xml:space="preserve"> (S11-S15</w:t>
      </w:r>
      <w:r>
        <w:rPr>
          <w:rFonts w:ascii="Times New Roman" w:hAnsi="Times New Roman" w:eastAsia="等线" w:cs="Times New Roman"/>
          <w:sz w:val="24"/>
        </w:rPr>
        <w:t>)</w:t>
      </w:r>
      <w:r>
        <w:rPr>
          <w:rFonts w:hint="eastAsia" w:ascii="Times New Roman" w:hAnsi="Times New Roman" w:eastAsia="等线" w:cs="Times New Roman"/>
          <w:sz w:val="24"/>
        </w:rPr>
        <w:t>.</w:t>
      </w:r>
    </w:p>
    <w:tbl>
      <w:tblPr>
        <w:tblStyle w:val="5"/>
        <w:tblW w:w="12974" w:type="dxa"/>
        <w:jc w:val="center"/>
        <w:tblBorders>
          <w:top w:val="single" w:color="000000" w:sz="18" w:space="0"/>
          <w:left w:val="none" w:color="auto" w:sz="0" w:space="0"/>
          <w:bottom w:val="single" w:color="00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098"/>
        <w:gridCol w:w="1098"/>
        <w:gridCol w:w="1098"/>
        <w:gridCol w:w="1092"/>
        <w:gridCol w:w="1403"/>
        <w:gridCol w:w="1175"/>
        <w:gridCol w:w="1205"/>
        <w:gridCol w:w="1327"/>
        <w:gridCol w:w="1205"/>
        <w:gridCol w:w="1175"/>
      </w:tblGrid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98" w:type="dxa"/>
            <w:tcBorders>
              <w:bottom w:val="single" w:color="000000" w:sz="18" w:space="0"/>
            </w:tcBorders>
            <w:shd w:val="clear" w:color="auto" w:fill="FFFFFF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98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DOC</w:t>
            </w:r>
          </w:p>
        </w:tc>
        <w:tc>
          <w:tcPr>
            <w:tcW w:w="1098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IC</w:t>
            </w:r>
          </w:p>
        </w:tc>
        <w:tc>
          <w:tcPr>
            <w:tcW w:w="1098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TC</w:t>
            </w:r>
          </w:p>
        </w:tc>
        <w:tc>
          <w:tcPr>
            <w:tcW w:w="1092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TN</w:t>
            </w:r>
          </w:p>
        </w:tc>
        <w:tc>
          <w:tcPr>
            <w:tcW w:w="1403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NH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4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</w:p>
        </w:tc>
        <w:tc>
          <w:tcPr>
            <w:tcW w:w="1175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NO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</w:p>
        </w:tc>
        <w:tc>
          <w:tcPr>
            <w:tcW w:w="1205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NO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</w:p>
        </w:tc>
        <w:tc>
          <w:tcPr>
            <w:tcW w:w="1327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TP</w:t>
            </w:r>
          </w:p>
        </w:tc>
        <w:tc>
          <w:tcPr>
            <w:tcW w:w="1205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pH</w:t>
            </w:r>
          </w:p>
        </w:tc>
        <w:tc>
          <w:tcPr>
            <w:tcW w:w="1175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EC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8" w:type="dxa"/>
            <w:tcBorders>
              <w:top w:val="single" w:color="000000" w:sz="1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</w:t>
            </w:r>
          </w:p>
        </w:tc>
        <w:tc>
          <w:tcPr>
            <w:tcW w:w="1098" w:type="dxa"/>
            <w:tcBorders>
              <w:top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70.58</w:t>
            </w:r>
          </w:p>
        </w:tc>
        <w:tc>
          <w:tcPr>
            <w:tcW w:w="1098" w:type="dxa"/>
            <w:tcBorders>
              <w:top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15.74</w:t>
            </w:r>
          </w:p>
        </w:tc>
        <w:tc>
          <w:tcPr>
            <w:tcW w:w="1098" w:type="dxa"/>
            <w:tcBorders>
              <w:top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86.32</w:t>
            </w:r>
          </w:p>
        </w:tc>
        <w:tc>
          <w:tcPr>
            <w:tcW w:w="1092" w:type="dxa"/>
            <w:tcBorders>
              <w:top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28.38</w:t>
            </w:r>
          </w:p>
        </w:tc>
        <w:tc>
          <w:tcPr>
            <w:tcW w:w="1403" w:type="dxa"/>
            <w:tcBorders>
              <w:top w:val="single" w:color="auto" w:sz="1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12.676 </w:t>
            </w:r>
          </w:p>
        </w:tc>
        <w:tc>
          <w:tcPr>
            <w:tcW w:w="1175" w:type="dxa"/>
            <w:tcBorders>
              <w:top w:val="single" w:color="auto" w:sz="1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0.094 </w:t>
            </w:r>
          </w:p>
        </w:tc>
        <w:tc>
          <w:tcPr>
            <w:tcW w:w="1205" w:type="dxa"/>
            <w:tcBorders>
              <w:top w:val="single" w:color="auto" w:sz="1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0.092 </w:t>
            </w:r>
          </w:p>
        </w:tc>
        <w:tc>
          <w:tcPr>
            <w:tcW w:w="1327" w:type="dxa"/>
            <w:tcBorders>
              <w:top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0.1168</w:t>
            </w:r>
          </w:p>
        </w:tc>
        <w:tc>
          <w:tcPr>
            <w:tcW w:w="1205" w:type="dxa"/>
            <w:tcBorders>
              <w:top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5.84</w:t>
            </w:r>
          </w:p>
        </w:tc>
        <w:tc>
          <w:tcPr>
            <w:tcW w:w="1175" w:type="dxa"/>
            <w:tcBorders>
              <w:top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222.6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111.84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12.34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124.18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31.88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17.167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0.038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0.074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0.1684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6.26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360.6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S3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90.94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14.98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105.92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23.14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11.191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0.029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0.077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0.1203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6.24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194.6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72.34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19.22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91.56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20.9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9.370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0.020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0.076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0.1651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6.32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188.3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S5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101.72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13.18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114.9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23.84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10.331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0.024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0.071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0.1329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6.4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206.6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A1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73.82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16.16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89.98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27.6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15.565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0.020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0.071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0.1332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6.32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309.6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98.86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10.88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109.72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21.06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8.741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0.025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0.072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0.2052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6.35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184.9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A3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18.86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73.86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22.12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14.737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0.018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0.078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0.0927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6.38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268.6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111.54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16.72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128.26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23.82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11.431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0.014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0.068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0.0931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6.25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264.6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A5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84.96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14.62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99.6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22.74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11.028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0.010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0.078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0.0889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6.46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218.6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S11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124.32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10.82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135.14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27.84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12.259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0.008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0.072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0.1251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6.39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202.6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S12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53.4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19.38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72.76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22.24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12.084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0.014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0.076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0.1031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6.45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255.6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S13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104.44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22.86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127.3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32.3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16.767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0.039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0.080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0.1501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6.46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344.6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51.36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19.84</w:t>
            </w:r>
          </w:p>
        </w:tc>
        <w:tc>
          <w:tcPr>
            <w:tcW w:w="1098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71.2</w:t>
            </w:r>
          </w:p>
        </w:tc>
        <w:tc>
          <w:tcPr>
            <w:tcW w:w="1092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22.42</w:t>
            </w:r>
          </w:p>
        </w:tc>
        <w:tc>
          <w:tcPr>
            <w:tcW w:w="1403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12.447 </w:t>
            </w:r>
          </w:p>
        </w:tc>
        <w:tc>
          <w:tcPr>
            <w:tcW w:w="117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0.022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0.079 </w:t>
            </w:r>
          </w:p>
        </w:tc>
        <w:tc>
          <w:tcPr>
            <w:tcW w:w="1327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0.0953</w:t>
            </w:r>
          </w:p>
        </w:tc>
        <w:tc>
          <w:tcPr>
            <w:tcW w:w="120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6.42</w:t>
            </w:r>
          </w:p>
        </w:tc>
        <w:tc>
          <w:tcPr>
            <w:tcW w:w="1175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278.6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S15</w:t>
            </w:r>
          </w:p>
        </w:tc>
        <w:tc>
          <w:tcPr>
            <w:tcW w:w="1098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57.82</w:t>
            </w:r>
          </w:p>
        </w:tc>
        <w:tc>
          <w:tcPr>
            <w:tcW w:w="1098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26.48</w:t>
            </w:r>
          </w:p>
        </w:tc>
        <w:tc>
          <w:tcPr>
            <w:tcW w:w="1098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84.32</w:t>
            </w:r>
          </w:p>
        </w:tc>
        <w:tc>
          <w:tcPr>
            <w:tcW w:w="1092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25.64</w:t>
            </w:r>
          </w:p>
        </w:tc>
        <w:tc>
          <w:tcPr>
            <w:tcW w:w="1403" w:type="dxa"/>
            <w:tcBorders>
              <w:bottom w:val="single" w:color="auto" w:sz="1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13.815 </w:t>
            </w:r>
          </w:p>
        </w:tc>
        <w:tc>
          <w:tcPr>
            <w:tcW w:w="1175" w:type="dxa"/>
            <w:tcBorders>
              <w:bottom w:val="single" w:color="auto" w:sz="1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0.021 </w:t>
            </w:r>
          </w:p>
        </w:tc>
        <w:tc>
          <w:tcPr>
            <w:tcW w:w="1205" w:type="dxa"/>
            <w:tcBorders>
              <w:bottom w:val="single" w:color="auto" w:sz="1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0.080 </w:t>
            </w:r>
          </w:p>
        </w:tc>
        <w:tc>
          <w:tcPr>
            <w:tcW w:w="1327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0.092</w:t>
            </w:r>
          </w:p>
        </w:tc>
        <w:tc>
          <w:tcPr>
            <w:tcW w:w="1205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6.45</w:t>
            </w:r>
          </w:p>
        </w:tc>
        <w:tc>
          <w:tcPr>
            <w:tcW w:w="1175" w:type="dxa"/>
            <w:tcBorders>
              <w:bottom w:val="single" w:color="auto" w:sz="1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308.6</w:t>
            </w:r>
          </w:p>
        </w:tc>
      </w:tr>
    </w:tbl>
    <w:p>
      <w:pPr>
        <w:widowControl/>
        <w:spacing w:line="360" w:lineRule="auto"/>
        <w:textAlignment w:val="center"/>
        <w:rPr>
          <w:rFonts w:ascii="Times New Roman" w:hAnsi="Times New Roman" w:eastAsia="等线" w:cs="Times New Roman"/>
          <w:color w:val="000000"/>
          <w:kern w:val="0"/>
          <w:sz w:val="24"/>
          <w:lang w:bidi="ar"/>
        </w:rPr>
      </w:pPr>
    </w:p>
    <w:p>
      <w:pPr>
        <w:rPr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</w:p>
    <w:p>
      <w:pPr>
        <w:widowControl/>
        <w:spacing w:line="360" w:lineRule="auto"/>
        <w:textAlignment w:val="center"/>
        <w:rPr>
          <w:sz w:val="24"/>
        </w:rPr>
      </w:pPr>
      <w:r>
        <w:rPr>
          <w:rFonts w:hint="eastAsia" w:ascii="Times New Roman" w:hAnsi="Times New Roman" w:eastAsia="等线" w:cs="Times New Roman"/>
          <w:sz w:val="24"/>
        </w:rPr>
        <w:t>Table. S8 Description of the basic environmental parameters for the sediment samples from the five sites of the FSBR with the seasons: Summer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(S1-S5)</w:t>
      </w:r>
      <w:r>
        <w:rPr>
          <w:rFonts w:ascii="Times New Roman" w:hAnsi="Times New Roman" w:eastAsia="等线" w:cs="Times New Roman"/>
          <w:sz w:val="24"/>
        </w:rPr>
        <w:t xml:space="preserve">, </w:t>
      </w:r>
      <w:r>
        <w:rPr>
          <w:rFonts w:hint="eastAsia" w:ascii="Times New Roman" w:hAnsi="Times New Roman" w:eastAsia="等线" w:cs="Times New Roman"/>
          <w:sz w:val="24"/>
        </w:rPr>
        <w:t>Autumn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(A1-A5)</w:t>
      </w:r>
      <w:r>
        <w:rPr>
          <w:rFonts w:ascii="Times New Roman" w:hAnsi="Times New Roman" w:eastAsia="等线" w:cs="Times New Roman"/>
          <w:sz w:val="24"/>
        </w:rPr>
        <w:t xml:space="preserve">, and </w:t>
      </w:r>
      <w:r>
        <w:rPr>
          <w:rFonts w:hint="eastAsia" w:ascii="Times New Roman" w:hAnsi="Times New Roman" w:eastAsia="等线" w:cs="Times New Roman"/>
          <w:sz w:val="24"/>
        </w:rPr>
        <w:t>Spring</w:t>
      </w:r>
      <w:r>
        <w:rPr>
          <w:rFonts w:ascii="Times New Roman" w:hAnsi="Times New Roman" w:eastAsia="等线" w:cs="Times New Roman"/>
          <w:sz w:val="24"/>
        </w:rPr>
        <w:t>-2016</w:t>
      </w:r>
      <w:r>
        <w:rPr>
          <w:rFonts w:hint="eastAsia" w:ascii="Times New Roman" w:hAnsi="Times New Roman" w:eastAsia="等线" w:cs="Times New Roman"/>
          <w:sz w:val="24"/>
        </w:rPr>
        <w:t xml:space="preserve"> (S11-S15</w:t>
      </w:r>
      <w:r>
        <w:rPr>
          <w:rFonts w:ascii="Times New Roman" w:hAnsi="Times New Roman" w:eastAsia="等线" w:cs="Times New Roman"/>
          <w:sz w:val="24"/>
        </w:rPr>
        <w:t>)</w:t>
      </w:r>
      <w:r>
        <w:rPr>
          <w:rFonts w:hint="eastAsia" w:ascii="Times New Roman" w:hAnsi="Times New Roman" w:eastAsia="等线" w:cs="Times New Roman"/>
          <w:sz w:val="24"/>
        </w:rPr>
        <w:t>.</w:t>
      </w:r>
    </w:p>
    <w:tbl>
      <w:tblPr>
        <w:tblStyle w:val="5"/>
        <w:tblW w:w="124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037"/>
        <w:gridCol w:w="1037"/>
        <w:gridCol w:w="1037"/>
        <w:gridCol w:w="934"/>
        <w:gridCol w:w="951"/>
        <w:gridCol w:w="1008"/>
        <w:gridCol w:w="965"/>
        <w:gridCol w:w="1109"/>
        <w:gridCol w:w="994"/>
        <w:gridCol w:w="1138"/>
        <w:gridCol w:w="12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37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</w:t>
            </w:r>
          </w:p>
        </w:tc>
        <w:tc>
          <w:tcPr>
            <w:tcW w:w="1037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ORP</w:t>
            </w:r>
          </w:p>
        </w:tc>
        <w:tc>
          <w:tcPr>
            <w:tcW w:w="1037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DOC</w:t>
            </w:r>
          </w:p>
        </w:tc>
        <w:tc>
          <w:tcPr>
            <w:tcW w:w="934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pH</w:t>
            </w:r>
          </w:p>
        </w:tc>
        <w:tc>
          <w:tcPr>
            <w:tcW w:w="951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TOC</w:t>
            </w:r>
          </w:p>
        </w:tc>
        <w:tc>
          <w:tcPr>
            <w:tcW w:w="1008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TC</w:t>
            </w:r>
          </w:p>
        </w:tc>
        <w:tc>
          <w:tcPr>
            <w:tcW w:w="965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TN</w:t>
            </w:r>
          </w:p>
        </w:tc>
        <w:tc>
          <w:tcPr>
            <w:tcW w:w="1109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NH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4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</w:p>
        </w:tc>
        <w:tc>
          <w:tcPr>
            <w:tcW w:w="994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NO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</w:p>
        </w:tc>
        <w:tc>
          <w:tcPr>
            <w:tcW w:w="1138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NO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</w:p>
        </w:tc>
        <w:tc>
          <w:tcPr>
            <w:tcW w:w="1247" w:type="dxa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037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</w:t>
            </w:r>
          </w:p>
        </w:tc>
        <w:tc>
          <w:tcPr>
            <w:tcW w:w="103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28.5</w:t>
            </w:r>
          </w:p>
        </w:tc>
        <w:tc>
          <w:tcPr>
            <w:tcW w:w="103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-121</w:t>
            </w:r>
          </w:p>
        </w:tc>
        <w:tc>
          <w:tcPr>
            <w:tcW w:w="103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32.38</w:t>
            </w:r>
          </w:p>
        </w:tc>
        <w:tc>
          <w:tcPr>
            <w:tcW w:w="93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6.05</w:t>
            </w:r>
          </w:p>
        </w:tc>
        <w:tc>
          <w:tcPr>
            <w:tcW w:w="95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0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14.98</w:t>
            </w:r>
          </w:p>
        </w:tc>
        <w:tc>
          <w:tcPr>
            <w:tcW w:w="965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28.38</w:t>
            </w:r>
          </w:p>
        </w:tc>
        <w:tc>
          <w:tcPr>
            <w:tcW w:w="110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12.676 </w:t>
            </w:r>
          </w:p>
        </w:tc>
        <w:tc>
          <w:tcPr>
            <w:tcW w:w="99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0.094 </w:t>
            </w:r>
          </w:p>
        </w:tc>
        <w:tc>
          <w:tcPr>
            <w:tcW w:w="113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0.092 </w:t>
            </w:r>
          </w:p>
        </w:tc>
        <w:tc>
          <w:tcPr>
            <w:tcW w:w="124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26.1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-146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32.91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5.88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15.44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31.88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17.167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0.038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24.1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-127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28.84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5.92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8.58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11.69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11.191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0.029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-130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34.85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5.72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9.69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13.74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20.9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9.370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0.020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-100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35.47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6.37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9.27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13.04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10.331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0.024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21.6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-95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37.17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5.95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13.58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27.6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15.565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0.020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20.2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-100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35.93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6.06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10.25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15.01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21.06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8.741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0.025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0.205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19.5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-136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37.59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8.22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10.62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14.737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0.018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35.48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5.65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9.46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12.55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23.82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11.431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0.014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0.068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17.6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-95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31.89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6.31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7.91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11.38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11.028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0.010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16.5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-104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74.86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5.94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14.31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27.84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12.259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0.008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-131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49.11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6.38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10.69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12.084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0.014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19.5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-144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35.07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6.21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8.51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11.92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32.3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16.767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0.039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0.080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15.5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-85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32.86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5.85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9.38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13.06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12.447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0.022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0.079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037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S15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17.7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-113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36.12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6.12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10.48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14.77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25.64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13.815 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0.021 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0.080 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0.092 </w:t>
            </w:r>
          </w:p>
        </w:tc>
      </w:tr>
    </w:tbl>
    <w:p>
      <w:pPr>
        <w:widowControl/>
        <w:spacing w:line="360" w:lineRule="auto"/>
        <w:textAlignment w:val="center"/>
        <w:rPr>
          <w:rFonts w:ascii="Times New Roman" w:hAnsi="Times New Roman" w:eastAsia="等线" w:cs="Times New Roman"/>
          <w:b/>
          <w:bCs/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</w:p>
    <w:p>
      <w:pPr>
        <w:widowControl/>
        <w:spacing w:line="360" w:lineRule="auto"/>
        <w:textAlignment w:val="center"/>
        <w:rPr>
          <w:rFonts w:ascii="Times New Roman" w:hAnsi="Times New Roman" w:eastAsia="等线" w:cs="Times New Roman"/>
          <w:sz w:val="24"/>
        </w:rPr>
      </w:pPr>
      <w:r>
        <w:rPr>
          <w:rFonts w:hint="eastAsia" w:ascii="Times New Roman" w:hAnsi="Times New Roman" w:eastAsia="等线" w:cs="Times New Roman"/>
          <w:sz w:val="24"/>
        </w:rPr>
        <w:t>Table. S9 Description of the basic environmental parameters for the soil samples from the five sites of the FSBR with the seasons:</w:t>
      </w:r>
      <w:r>
        <w:rPr>
          <w:rFonts w:ascii="Times New Roman" w:hAnsi="Times New Roman" w:eastAsia="等线" w:cs="Times New Roman"/>
          <w:sz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</w:rPr>
        <w:t>Summer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(S1-S5)</w:t>
      </w:r>
      <w:r>
        <w:rPr>
          <w:rFonts w:ascii="Times New Roman" w:hAnsi="Times New Roman" w:eastAsia="等线" w:cs="Times New Roman"/>
          <w:sz w:val="24"/>
        </w:rPr>
        <w:t xml:space="preserve">, </w:t>
      </w:r>
      <w:r>
        <w:rPr>
          <w:rFonts w:hint="eastAsia" w:ascii="Times New Roman" w:hAnsi="Times New Roman" w:eastAsia="等线" w:cs="Times New Roman"/>
          <w:sz w:val="24"/>
        </w:rPr>
        <w:t>Autumn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(A1-A5)</w:t>
      </w:r>
      <w:r>
        <w:rPr>
          <w:rFonts w:ascii="Times New Roman" w:hAnsi="Times New Roman" w:eastAsia="等线" w:cs="Times New Roman"/>
          <w:sz w:val="24"/>
        </w:rPr>
        <w:t xml:space="preserve">, and </w:t>
      </w:r>
      <w:r>
        <w:rPr>
          <w:rFonts w:hint="eastAsia" w:ascii="Times New Roman" w:hAnsi="Times New Roman" w:eastAsia="等线" w:cs="Times New Roman"/>
          <w:sz w:val="24"/>
        </w:rPr>
        <w:t>Spring</w:t>
      </w:r>
      <w:r>
        <w:rPr>
          <w:rFonts w:ascii="Times New Roman" w:hAnsi="Times New Roman" w:eastAsia="等线" w:cs="Times New Roman"/>
          <w:sz w:val="24"/>
        </w:rPr>
        <w:t>-2016</w:t>
      </w:r>
      <w:r>
        <w:rPr>
          <w:rFonts w:hint="eastAsia" w:ascii="Times New Roman" w:hAnsi="Times New Roman" w:eastAsia="等线" w:cs="Times New Roman"/>
          <w:sz w:val="24"/>
        </w:rPr>
        <w:t xml:space="preserve"> (S11-S15</w:t>
      </w:r>
      <w:r>
        <w:rPr>
          <w:rFonts w:ascii="Times New Roman" w:hAnsi="Times New Roman" w:eastAsia="等线" w:cs="Times New Roman"/>
          <w:sz w:val="24"/>
        </w:rPr>
        <w:t>)</w:t>
      </w:r>
      <w:r>
        <w:rPr>
          <w:rFonts w:hint="eastAsia" w:ascii="Times New Roman" w:hAnsi="Times New Roman" w:eastAsia="等线" w:cs="Times New Roman"/>
          <w:sz w:val="24"/>
        </w:rPr>
        <w:t>.</w:t>
      </w:r>
    </w:p>
    <w:tbl>
      <w:tblPr>
        <w:tblStyle w:val="5"/>
        <w:tblW w:w="1285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446"/>
        <w:gridCol w:w="1446"/>
        <w:gridCol w:w="1446"/>
        <w:gridCol w:w="1469"/>
        <w:gridCol w:w="1366"/>
        <w:gridCol w:w="1587"/>
        <w:gridCol w:w="1366"/>
        <w:gridCol w:w="1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46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DOC</w:t>
            </w:r>
          </w:p>
        </w:tc>
        <w:tc>
          <w:tcPr>
            <w:tcW w:w="1446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pH</w:t>
            </w:r>
          </w:p>
        </w:tc>
        <w:tc>
          <w:tcPr>
            <w:tcW w:w="1446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TOC</w:t>
            </w:r>
          </w:p>
        </w:tc>
        <w:tc>
          <w:tcPr>
            <w:tcW w:w="1469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TC</w:t>
            </w:r>
          </w:p>
        </w:tc>
        <w:tc>
          <w:tcPr>
            <w:tcW w:w="1366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NH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4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</w:p>
        </w:tc>
        <w:tc>
          <w:tcPr>
            <w:tcW w:w="1587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NO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</w:p>
        </w:tc>
        <w:tc>
          <w:tcPr>
            <w:tcW w:w="1366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NO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</w:p>
        </w:tc>
        <w:tc>
          <w:tcPr>
            <w:tcW w:w="1285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TP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446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S11</w:t>
            </w:r>
          </w:p>
        </w:tc>
        <w:tc>
          <w:tcPr>
            <w:tcW w:w="1446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45.69</w:t>
            </w:r>
          </w:p>
        </w:tc>
        <w:tc>
          <w:tcPr>
            <w:tcW w:w="1446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5.45</w:t>
            </w:r>
          </w:p>
        </w:tc>
        <w:tc>
          <w:tcPr>
            <w:tcW w:w="1446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30.62</w:t>
            </w:r>
          </w:p>
        </w:tc>
        <w:tc>
          <w:tcPr>
            <w:tcW w:w="1469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37.72</w:t>
            </w:r>
          </w:p>
        </w:tc>
        <w:tc>
          <w:tcPr>
            <w:tcW w:w="1366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37.4 </w:t>
            </w:r>
          </w:p>
        </w:tc>
        <w:tc>
          <w:tcPr>
            <w:tcW w:w="1587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0.989 </w:t>
            </w:r>
          </w:p>
        </w:tc>
        <w:tc>
          <w:tcPr>
            <w:tcW w:w="1366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0.606 </w:t>
            </w:r>
          </w:p>
        </w:tc>
        <w:tc>
          <w:tcPr>
            <w:tcW w:w="1285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40.33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9.55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10.76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14.7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0.829 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0.675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28.59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16.84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18.74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18.0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0.783 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0.704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17.07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4.95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10.72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13.67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17.7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0.588 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0.603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446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46.87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5.7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22.51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26.32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28.0 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1.010 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0.595 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488 </w:t>
            </w:r>
          </w:p>
        </w:tc>
      </w:tr>
    </w:tbl>
    <w:p>
      <w:pPr>
        <w:widowControl/>
        <w:spacing w:line="360" w:lineRule="auto"/>
        <w:textAlignment w:val="center"/>
        <w:rPr>
          <w:rFonts w:ascii="Times New Roman" w:hAnsi="Times New Roman" w:eastAsia="等线" w:cs="Times New Roman"/>
          <w:b/>
          <w:bCs/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</w:p>
    <w:p>
      <w:pPr>
        <w:spacing w:before="156" w:beforeLines="50"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Table</w:t>
      </w:r>
      <w:r>
        <w:rPr>
          <w:rFonts w:hint="eastAsia" w:ascii="Times New Roman" w:hAnsi="Times New Roman" w:cs="Times New Roman"/>
          <w:bCs/>
          <w:sz w:val="24"/>
        </w:rPr>
        <w:t>. S10</w:t>
      </w:r>
      <w:r>
        <w:rPr>
          <w:rFonts w:ascii="Times New Roman" w:hAnsi="Times New Roman" w:cs="Times New Roman"/>
          <w:bCs/>
          <w:sz w:val="24"/>
        </w:rPr>
        <w:t xml:space="preserve"> Pseudo-partitioning coefficients (</w:t>
      </w:r>
      <w:r>
        <w:rPr>
          <w:rFonts w:ascii="Times New Roman" w:hAnsi="Times New Roman"/>
          <w:bCs/>
          <w:i/>
          <w:sz w:val="24"/>
        </w:rPr>
        <w:t>P-PC</w:t>
      </w:r>
      <w:r>
        <w:rPr>
          <w:rFonts w:ascii="Times New Roman" w:hAnsi="Times New Roman"/>
          <w:bCs/>
          <w:i/>
          <w:sz w:val="24"/>
          <w:vertAlign w:val="subscript"/>
        </w:rPr>
        <w:t xml:space="preserve">s,w </w:t>
      </w:r>
      <w:r>
        <w:rPr>
          <w:rFonts w:ascii="Times New Roman" w:hAnsi="Times New Roman"/>
          <w:bCs/>
          <w:sz w:val="24"/>
        </w:rPr>
        <w:t>; L/kg</w:t>
      </w:r>
      <w:r>
        <w:rPr>
          <w:rFonts w:ascii="Times New Roman" w:hAnsi="Times New Roman" w:cs="Times New Roman"/>
          <w:bCs/>
          <w:sz w:val="24"/>
        </w:rPr>
        <w:t xml:space="preserve">) of the </w:t>
      </w:r>
      <w:r>
        <w:rPr>
          <w:rFonts w:hint="eastAsia" w:ascii="Times New Roman" w:hAnsi="Times New Roman" w:cs="Times New Roman"/>
          <w:bCs/>
          <w:sz w:val="24"/>
        </w:rPr>
        <w:t>PAHs</w:t>
      </w:r>
      <w:r>
        <w:rPr>
          <w:rFonts w:ascii="Times New Roman" w:hAnsi="Times New Roman" w:cs="Times New Roman"/>
          <w:bCs/>
          <w:sz w:val="24"/>
        </w:rPr>
        <w:t xml:space="preserve"> in each sampling site with the seasons.</w:t>
      </w:r>
    </w:p>
    <w:tbl>
      <w:tblPr>
        <w:tblStyle w:val="5"/>
        <w:tblpPr w:leftFromText="180" w:rightFromText="180" w:vertAnchor="text" w:horzAnchor="page" w:tblpXSpec="center" w:tblpY="540"/>
        <w:tblOverlap w:val="never"/>
        <w:tblW w:w="1465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60"/>
        <w:gridCol w:w="1313"/>
        <w:gridCol w:w="1260"/>
        <w:gridCol w:w="1260"/>
        <w:gridCol w:w="1313"/>
        <w:gridCol w:w="1453"/>
        <w:gridCol w:w="1453"/>
        <w:gridCol w:w="1313"/>
        <w:gridCol w:w="1313"/>
        <w:gridCol w:w="14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Sites</w:t>
            </w:r>
          </w:p>
        </w:tc>
        <w:tc>
          <w:tcPr>
            <w:tcW w:w="131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Nap</w:t>
            </w:r>
          </w:p>
        </w:tc>
        <w:tc>
          <w:tcPr>
            <w:tcW w:w="126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Acy</w:t>
            </w:r>
          </w:p>
        </w:tc>
        <w:tc>
          <w:tcPr>
            <w:tcW w:w="126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Ace</w:t>
            </w:r>
          </w:p>
        </w:tc>
        <w:tc>
          <w:tcPr>
            <w:tcW w:w="131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Flo</w:t>
            </w:r>
          </w:p>
        </w:tc>
        <w:tc>
          <w:tcPr>
            <w:tcW w:w="145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Phe</w:t>
            </w:r>
          </w:p>
        </w:tc>
        <w:tc>
          <w:tcPr>
            <w:tcW w:w="145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Ant</w:t>
            </w:r>
          </w:p>
        </w:tc>
        <w:tc>
          <w:tcPr>
            <w:tcW w:w="131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Fla</w:t>
            </w:r>
          </w:p>
        </w:tc>
        <w:tc>
          <w:tcPr>
            <w:tcW w:w="131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Pyr</w:t>
            </w:r>
          </w:p>
        </w:tc>
        <w:tc>
          <w:tcPr>
            <w:tcW w:w="145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restart"/>
            <w:tcBorders>
              <w:top w:val="single" w:color="auto" w:sz="1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Summer</w:t>
            </w:r>
          </w:p>
        </w:tc>
        <w:tc>
          <w:tcPr>
            <w:tcW w:w="126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</w:t>
            </w:r>
          </w:p>
        </w:tc>
        <w:tc>
          <w:tcPr>
            <w:tcW w:w="131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927.35 </w:t>
            </w:r>
          </w:p>
        </w:tc>
        <w:tc>
          <w:tcPr>
            <w:tcW w:w="126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392.06 </w:t>
            </w:r>
          </w:p>
        </w:tc>
        <w:tc>
          <w:tcPr>
            <w:tcW w:w="126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675.25 </w:t>
            </w:r>
          </w:p>
        </w:tc>
        <w:tc>
          <w:tcPr>
            <w:tcW w:w="131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2357.83 </w:t>
            </w:r>
          </w:p>
        </w:tc>
        <w:tc>
          <w:tcPr>
            <w:tcW w:w="145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11113.54 </w:t>
            </w:r>
          </w:p>
        </w:tc>
        <w:tc>
          <w:tcPr>
            <w:tcW w:w="145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4560.30 </w:t>
            </w:r>
          </w:p>
        </w:tc>
        <w:tc>
          <w:tcPr>
            <w:tcW w:w="131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5868.95 </w:t>
            </w:r>
          </w:p>
        </w:tc>
        <w:tc>
          <w:tcPr>
            <w:tcW w:w="131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6461.84 </w:t>
            </w:r>
          </w:p>
        </w:tc>
        <w:tc>
          <w:tcPr>
            <w:tcW w:w="145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95326.74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960.64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422.37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654.06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2336.83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9606.08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15506.27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5488.07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5456.96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1084.18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306.88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625.51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2109.56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11923.24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7379.85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5817.09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6199.63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827.19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391.33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694.08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1990.06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6366.91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3874.33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6326.31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7079.48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59183.19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654.24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319.19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539.70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1695.79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6565.85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13893.38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6047.60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6401.34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Autumn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798.60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547.07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809.48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2726.83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4240.07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22091.43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5026.10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4456.13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53494.81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646.95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506.97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868.14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2635.44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4210.64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3025.79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3416.57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3660.90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37110.82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522.43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464.60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643.29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2961.76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6185.18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16056.86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4317.96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4732.31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22361.94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1474.52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693.00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937.87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3346.83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6219.42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37212.85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6957.81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8200.02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1293.69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673.72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863.67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3188.97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4974.35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31503.51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4718.79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5188.35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Spring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451.06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511.62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418.66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1538.91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2814.12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3175.55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3621.57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4147.13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32939.68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589.80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652.65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627.58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2064.11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3920.42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4094.41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4937.10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6159.11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754.54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546.71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528.57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1789.36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2319.70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2256.23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3766.00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4142.31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10053.28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687.39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565.59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600.14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1942.81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3167.29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4584.76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4710.49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4810.82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67105.33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260" w:type="dxa"/>
            <w:vMerge w:val="continue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S15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2731.34 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246.66 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300.71 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882.19 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5010.64 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6880.76 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5977.30 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8503.00 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</w:tr>
    </w:tbl>
    <w:p>
      <w:pPr>
        <w:spacing w:before="156" w:beforeLines="50" w:line="360" w:lineRule="auto"/>
        <w:rPr>
          <w:rFonts w:ascii="Times New Roman" w:hAnsi="Times New Roman" w:eastAsia="等线" w:cs="Times New Roman"/>
          <w:b/>
          <w:bCs/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sz w:val="24"/>
        </w:rPr>
        <w:t>Note: ND represent this PAHs was not detected in the water.</w:t>
      </w:r>
    </w:p>
    <w:p>
      <w:pPr>
        <w:spacing w:before="156" w:beforeLines="50" w:line="360" w:lineRule="auto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Cs/>
          <w:sz w:val="24"/>
        </w:rPr>
        <w:t>Table</w:t>
      </w:r>
      <w:r>
        <w:rPr>
          <w:rFonts w:hint="eastAsia" w:ascii="Times New Roman" w:hAnsi="Times New Roman" w:cs="Times New Roman"/>
          <w:bCs/>
          <w:sz w:val="24"/>
        </w:rPr>
        <w:t>.</w:t>
      </w:r>
      <w:r>
        <w:rPr>
          <w:rFonts w:ascii="Times New Roman" w:hAnsi="Times New Roman" w:cs="Times New Roman"/>
          <w:bCs/>
          <w:sz w:val="24"/>
        </w:rPr>
        <w:t xml:space="preserve"> S1</w:t>
      </w:r>
      <w:r>
        <w:rPr>
          <w:rFonts w:hint="eastAsia" w:ascii="Times New Roman" w:hAnsi="Times New Roman" w:cs="Times New Roman"/>
          <w:bCs/>
          <w:sz w:val="24"/>
        </w:rPr>
        <w:t>1</w:t>
      </w:r>
      <w:r>
        <w:rPr>
          <w:rFonts w:ascii="Times New Roman" w:hAnsi="Times New Roman" w:cs="Times New Roman"/>
          <w:bCs/>
          <w:sz w:val="24"/>
        </w:rPr>
        <w:t xml:space="preserve"> Pseudo-partitioning coefficients (</w:t>
      </w:r>
      <w:r>
        <w:rPr>
          <w:rFonts w:ascii="Times New Roman" w:hAnsi="Times New Roman"/>
          <w:bCs/>
          <w:i/>
          <w:sz w:val="24"/>
        </w:rPr>
        <w:t>P-PC</w:t>
      </w:r>
      <w:r>
        <w:rPr>
          <w:rFonts w:ascii="Times New Roman" w:hAnsi="Times New Roman"/>
          <w:bCs/>
          <w:i/>
          <w:sz w:val="24"/>
          <w:vertAlign w:val="subscript"/>
        </w:rPr>
        <w:t>s,</w:t>
      </w:r>
      <w:r>
        <w:rPr>
          <w:rFonts w:hint="eastAsia" w:ascii="Times New Roman" w:hAnsi="Times New Roman"/>
          <w:bCs/>
          <w:i/>
          <w:sz w:val="24"/>
          <w:vertAlign w:val="subscript"/>
        </w:rPr>
        <w:t>p</w:t>
      </w:r>
      <w:r>
        <w:rPr>
          <w:rFonts w:ascii="Times New Roman" w:hAnsi="Times New Roman"/>
          <w:bCs/>
          <w:i/>
          <w:sz w:val="24"/>
          <w:vertAlign w:val="subscript"/>
        </w:rPr>
        <w:t xml:space="preserve"> </w:t>
      </w:r>
      <w:r>
        <w:rPr>
          <w:rFonts w:ascii="Times New Roman" w:hAnsi="Times New Roman"/>
          <w:bCs/>
          <w:sz w:val="24"/>
        </w:rPr>
        <w:t>; L/kg</w:t>
      </w:r>
      <w:r>
        <w:rPr>
          <w:rFonts w:ascii="Times New Roman" w:hAnsi="Times New Roman" w:cs="Times New Roman"/>
          <w:bCs/>
          <w:sz w:val="24"/>
        </w:rPr>
        <w:t xml:space="preserve">) of the </w:t>
      </w:r>
      <w:r>
        <w:rPr>
          <w:rFonts w:hint="eastAsia" w:ascii="Times New Roman" w:hAnsi="Times New Roman" w:cs="Times New Roman"/>
          <w:bCs/>
          <w:sz w:val="24"/>
        </w:rPr>
        <w:t>PAHs</w:t>
      </w:r>
      <w:r>
        <w:rPr>
          <w:rFonts w:ascii="Times New Roman" w:hAnsi="Times New Roman" w:cs="Times New Roman"/>
          <w:bCs/>
          <w:sz w:val="24"/>
        </w:rPr>
        <w:t xml:space="preserve"> in each sampling site with the seasons</w:t>
      </w:r>
      <w:r>
        <w:rPr>
          <w:rFonts w:hint="eastAsia" w:ascii="Times New Roman" w:hAnsi="Times New Roman" w:cs="Times New Roman"/>
          <w:bCs/>
          <w:sz w:val="24"/>
        </w:rPr>
        <w:t>.</w:t>
      </w:r>
    </w:p>
    <w:tbl>
      <w:tblPr>
        <w:tblStyle w:val="5"/>
        <w:tblpPr w:leftFromText="180" w:rightFromText="180" w:vertAnchor="text" w:horzAnchor="page" w:tblpXSpec="center" w:tblpY="283"/>
        <w:tblOverlap w:val="never"/>
        <w:tblW w:w="1559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696"/>
        <w:gridCol w:w="876"/>
        <w:gridCol w:w="756"/>
        <w:gridCol w:w="756"/>
        <w:gridCol w:w="756"/>
        <w:gridCol w:w="763"/>
        <w:gridCol w:w="996"/>
        <w:gridCol w:w="756"/>
        <w:gridCol w:w="876"/>
        <w:gridCol w:w="996"/>
        <w:gridCol w:w="996"/>
        <w:gridCol w:w="876"/>
        <w:gridCol w:w="756"/>
        <w:gridCol w:w="756"/>
        <w:gridCol w:w="996"/>
        <w:gridCol w:w="996"/>
        <w:gridCol w:w="9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Sites</w:t>
            </w:r>
          </w:p>
        </w:tc>
        <w:tc>
          <w:tcPr>
            <w:tcW w:w="87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Nap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Acy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Ace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Flo</w:t>
            </w:r>
          </w:p>
        </w:tc>
        <w:tc>
          <w:tcPr>
            <w:tcW w:w="76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Phe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Ant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Fla</w:t>
            </w:r>
          </w:p>
        </w:tc>
        <w:tc>
          <w:tcPr>
            <w:tcW w:w="87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Pyr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BaA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Chr</w:t>
            </w:r>
          </w:p>
        </w:tc>
        <w:tc>
          <w:tcPr>
            <w:tcW w:w="87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BbF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BkF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BaP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IcdP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DahA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BghiP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restart"/>
            <w:tcBorders>
              <w:top w:val="single" w:color="auto" w:sz="1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Summer</w:t>
            </w:r>
          </w:p>
        </w:tc>
        <w:tc>
          <w:tcPr>
            <w:tcW w:w="69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</w:t>
            </w:r>
          </w:p>
        </w:tc>
        <w:tc>
          <w:tcPr>
            <w:tcW w:w="87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7.78 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18.75 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10.92 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45.67 </w:t>
            </w:r>
          </w:p>
        </w:tc>
        <w:tc>
          <w:tcPr>
            <w:tcW w:w="76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71.01 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16.10 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25.07 </w:t>
            </w:r>
          </w:p>
        </w:tc>
        <w:tc>
          <w:tcPr>
            <w:tcW w:w="87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32.00 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345.52 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339.40 </w:t>
            </w:r>
          </w:p>
        </w:tc>
        <w:tc>
          <w:tcPr>
            <w:tcW w:w="87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27.35 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1.81 </w:t>
            </w:r>
          </w:p>
        </w:tc>
        <w:tc>
          <w:tcPr>
            <w:tcW w:w="75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1.92 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193.73 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117.00 </w:t>
            </w:r>
          </w:p>
        </w:tc>
        <w:tc>
          <w:tcPr>
            <w:tcW w:w="98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16.56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13.60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8.30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24.98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71.01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422.12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52.81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61.63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316.23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1867.71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111.90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6.62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5.01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497.59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257.39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152.16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8.71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10.43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7.34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19.94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71.75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238.16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37.43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49.81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315.86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442.35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74.41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4.72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5.22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243.29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101.55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29.76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92.64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8.45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8.48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19.59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57.89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211.33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64.31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87.87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388.85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805.57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91.92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8.88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10.12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374.01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65.70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10.62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11.63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6.50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19.72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44.39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517.40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59.54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76.32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372.78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672.93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400.40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8.23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7.15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225.60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255.71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201.55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Autumn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6.02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11.38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7.50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22.01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26.55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456.38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74.94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91.10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390.08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2025.99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97.95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5.74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5.79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194.84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587.34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371.42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6.38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14.36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7.16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20.11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23.96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334.01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72.57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96.27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534.88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750.64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224.25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12.74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9.98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1050.14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860.73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181.78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6.75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11.48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6.42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17.83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28.04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602.33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70.08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108.96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423.22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1762.05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111.28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7.06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4.44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375.40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1396.45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661.81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13.07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15.82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5.78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17.08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21.57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638.34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81.98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125.30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705.02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1822.83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212.82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8.98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7.89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272.31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271.40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A5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8.08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11.98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6.24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16.87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24.16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360.67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71.10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98.96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405.15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538.13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24.56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7.94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7.25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673.69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323.53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254.99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Spring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14.74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15.75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6.21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15.88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24.91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462.46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68.93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104.27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474.37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289.63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38.33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8.99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6.56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526.33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866.70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141.52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11.83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19.53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6.72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16.67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24.71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4169.91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37.08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69.63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1000.93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1231.43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127.89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8.25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7.56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25.94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4309.73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183.35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18.52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13.33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10.34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29.47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30.85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446.08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76.94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105.06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468.24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583.64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135.62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21.68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10.98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1905.21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1022.08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1393.45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13.50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12.66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8.29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31.99 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30.97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853.32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93.18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114.02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577.83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1065.74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90.62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18.09 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8.69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1116.43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1189.49 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377.14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9" w:type="dxa"/>
            <w:vMerge w:val="continue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S15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297.02 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6.24 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8.00 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22.69 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35.35 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424.30 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83.90 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128.62 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428.70 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590.69 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181.87 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13.36 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7.35 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900.79 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1639.10 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154.25 </w:t>
            </w:r>
          </w:p>
        </w:tc>
      </w:tr>
    </w:tbl>
    <w:p>
      <w:pPr>
        <w:widowControl/>
        <w:textAlignment w:val="center"/>
        <w:rPr>
          <w:rFonts w:ascii="Times New Roman" w:hAnsi="Times New Roman" w:cs="Times New Roman"/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sz w:val="24"/>
        </w:rPr>
        <w:t>Note: ND represent this PAHs was not detected in the porewater.</w:t>
      </w:r>
    </w:p>
    <w:p>
      <w:pPr>
        <w:widowControl/>
        <w:textAlignment w:val="center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sz w:val="24"/>
        </w:rPr>
        <w:t>Table. S12 Mean values of RQ</w:t>
      </w:r>
      <w:r>
        <w:rPr>
          <w:rFonts w:hint="eastAsia" w:ascii="Times New Roman" w:hAnsi="Times New Roman" w:cs="Times New Roman"/>
          <w:sz w:val="24"/>
          <w:vertAlign w:val="subscript"/>
        </w:rPr>
        <w:t>NCs</w:t>
      </w:r>
      <w:r>
        <w:rPr>
          <w:rFonts w:hint="eastAsia" w:ascii="Times New Roman" w:hAnsi="Times New Roman" w:cs="Times New Roman"/>
          <w:sz w:val="24"/>
        </w:rPr>
        <w:t xml:space="preserve"> and RQ</w:t>
      </w:r>
      <w:r>
        <w:rPr>
          <w:rFonts w:hint="eastAsia" w:ascii="Times New Roman" w:hAnsi="Times New Roman" w:cs="Times New Roman"/>
          <w:sz w:val="24"/>
          <w:vertAlign w:val="subscript"/>
        </w:rPr>
        <w:t>MPCs</w:t>
      </w:r>
      <w:r>
        <w:rPr>
          <w:rFonts w:hint="eastAsia" w:ascii="Times New Roman" w:hAnsi="Times New Roman" w:cs="Times New Roman"/>
          <w:sz w:val="24"/>
        </w:rPr>
        <w:t xml:space="preserve"> of PAHs in water, sediment and bank soil in the Fengshuba reservior, China.</w:t>
      </w:r>
    </w:p>
    <w:tbl>
      <w:tblPr>
        <w:tblStyle w:val="5"/>
        <w:tblW w:w="135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114"/>
        <w:gridCol w:w="786"/>
        <w:gridCol w:w="1028"/>
        <w:gridCol w:w="952"/>
        <w:gridCol w:w="1044"/>
        <w:gridCol w:w="241"/>
        <w:gridCol w:w="740"/>
        <w:gridCol w:w="877"/>
        <w:gridCol w:w="1013"/>
        <w:gridCol w:w="968"/>
        <w:gridCol w:w="241"/>
        <w:gridCol w:w="760"/>
        <w:gridCol w:w="877"/>
        <w:gridCol w:w="872"/>
        <w:gridCol w:w="10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79" w:type="dxa"/>
            <w:vMerge w:val="restart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Merge w:val="restart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TEF</w:t>
            </w:r>
          </w:p>
        </w:tc>
        <w:tc>
          <w:tcPr>
            <w:tcW w:w="3810" w:type="dxa"/>
            <w:gridSpan w:val="4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Water(ng/L)</w:t>
            </w:r>
          </w:p>
        </w:tc>
        <w:tc>
          <w:tcPr>
            <w:tcW w:w="241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598" w:type="dxa"/>
            <w:gridSpan w:val="4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Sediment(ng/kg)</w:t>
            </w:r>
          </w:p>
        </w:tc>
        <w:tc>
          <w:tcPr>
            <w:tcW w:w="241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512" w:type="dxa"/>
            <w:gridSpan w:val="4"/>
            <w:tcBorders>
              <w:top w:val="single" w:color="000000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Soil(ng/kg)</w:t>
            </w:r>
          </w:p>
        </w:tc>
      </w:tr>
      <w:tr>
        <w:trPr>
          <w:trHeight w:val="485" w:hRule="atLeast"/>
          <w:jc w:val="center"/>
        </w:trPr>
        <w:tc>
          <w:tcPr>
            <w:tcW w:w="1079" w:type="dxa"/>
            <w:vMerge w:val="continue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14" w:type="dxa"/>
            <w:vMerge w:val="continue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NCs</w:t>
            </w:r>
          </w:p>
        </w:tc>
        <w:tc>
          <w:tcPr>
            <w:tcW w:w="1028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MECs</w:t>
            </w:r>
          </w:p>
        </w:tc>
        <w:tc>
          <w:tcPr>
            <w:tcW w:w="952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RQ</w:t>
            </w:r>
            <w:r>
              <w:rPr>
                <w:rStyle w:val="21"/>
                <w:rFonts w:eastAsia="宋体"/>
                <w:lang w:bidi="ar"/>
              </w:rPr>
              <w:t>NCs</w:t>
            </w:r>
          </w:p>
        </w:tc>
        <w:tc>
          <w:tcPr>
            <w:tcW w:w="1044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RQ</w:t>
            </w:r>
            <w:r>
              <w:rPr>
                <w:rStyle w:val="21"/>
                <w:rFonts w:eastAsia="宋体"/>
                <w:lang w:bidi="ar"/>
              </w:rPr>
              <w:t>MECs</w:t>
            </w:r>
          </w:p>
        </w:tc>
        <w:tc>
          <w:tcPr>
            <w:tcW w:w="24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NCs</w:t>
            </w:r>
          </w:p>
        </w:tc>
        <w:tc>
          <w:tcPr>
            <w:tcW w:w="877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MECs</w:t>
            </w:r>
          </w:p>
        </w:tc>
        <w:tc>
          <w:tcPr>
            <w:tcW w:w="101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RQ</w:t>
            </w:r>
            <w:r>
              <w:rPr>
                <w:rStyle w:val="21"/>
                <w:rFonts w:eastAsia="宋体"/>
                <w:lang w:bidi="ar"/>
              </w:rPr>
              <w:t>NCs</w:t>
            </w:r>
          </w:p>
        </w:tc>
        <w:tc>
          <w:tcPr>
            <w:tcW w:w="968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RQ</w:t>
            </w:r>
            <w:r>
              <w:rPr>
                <w:rStyle w:val="21"/>
                <w:rFonts w:eastAsia="宋体"/>
                <w:lang w:bidi="ar"/>
              </w:rPr>
              <w:t>MECs</w:t>
            </w:r>
          </w:p>
        </w:tc>
        <w:tc>
          <w:tcPr>
            <w:tcW w:w="24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NCs</w:t>
            </w:r>
          </w:p>
        </w:tc>
        <w:tc>
          <w:tcPr>
            <w:tcW w:w="877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MECs</w:t>
            </w:r>
          </w:p>
        </w:tc>
        <w:tc>
          <w:tcPr>
            <w:tcW w:w="872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RQ</w:t>
            </w:r>
            <w:r>
              <w:rPr>
                <w:rStyle w:val="21"/>
                <w:rFonts w:eastAsia="宋体"/>
                <w:lang w:bidi="ar"/>
              </w:rPr>
              <w:t>NCs</w:t>
            </w:r>
          </w:p>
        </w:tc>
        <w:tc>
          <w:tcPr>
            <w:tcW w:w="1003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RQ</w:t>
            </w:r>
            <w:r>
              <w:rPr>
                <w:rStyle w:val="21"/>
                <w:rFonts w:eastAsia="宋体"/>
                <w:lang w:bidi="ar"/>
              </w:rPr>
              <w:t>MECs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079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Nap</w:t>
            </w:r>
          </w:p>
        </w:tc>
        <w:tc>
          <w:tcPr>
            <w:tcW w:w="1114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78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02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1200</w:t>
            </w:r>
          </w:p>
        </w:tc>
        <w:tc>
          <w:tcPr>
            <w:tcW w:w="952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11.54</w:t>
            </w:r>
          </w:p>
        </w:tc>
        <w:tc>
          <w:tcPr>
            <w:tcW w:w="104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0.12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1.4</w:t>
            </w:r>
          </w:p>
        </w:tc>
        <w:tc>
          <w:tcPr>
            <w:tcW w:w="87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101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81.74</w:t>
            </w:r>
          </w:p>
        </w:tc>
        <w:tc>
          <w:tcPr>
            <w:tcW w:w="96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0.82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1.4</w:t>
            </w:r>
          </w:p>
        </w:tc>
        <w:tc>
          <w:tcPr>
            <w:tcW w:w="877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872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121.6</w:t>
            </w:r>
          </w:p>
        </w:tc>
        <w:tc>
          <w:tcPr>
            <w:tcW w:w="1003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1.22</w:t>
            </w:r>
          </w:p>
        </w:tc>
      </w:tr>
      <w:tr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Acy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12.3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0.12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0.03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3.03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Ace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12.5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0.12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0.04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5.69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0.06</w:t>
            </w:r>
          </w:p>
        </w:tc>
      </w:tr>
      <w:tr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Flo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20.94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0.21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24.93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0.25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33.04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Phe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6.36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0.06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5100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22.01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0.22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21.26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Ant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0.04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93.55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0.94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90.36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</w:t>
            </w:r>
          </w:p>
        </w:tc>
      </w:tr>
      <w:tr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Fla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2.16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0.02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1.23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1.34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Pyr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6.92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0.07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21.99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0.22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29.09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0.29</w:t>
            </w:r>
          </w:p>
        </w:tc>
      </w:tr>
      <w:tr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BaA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9.92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16.44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0.16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12.49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0.12</w:t>
            </w:r>
          </w:p>
        </w:tc>
      </w:tr>
      <w:tr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Chr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0.03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10700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10700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BbF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0.05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BkF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2400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BaP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0.28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IcdP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5900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0.49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5900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DahA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0.72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BghiP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7500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7500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0.05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079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RQ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vertAlign w:val="subscript"/>
                <w:lang w:bidi="ar"/>
              </w:rPr>
              <w:t>∑</w:t>
            </w:r>
            <w:r>
              <w:rPr>
                <w:rStyle w:val="21"/>
                <w:rFonts w:eastAsia="宋体"/>
                <w:lang w:bidi="ar"/>
              </w:rPr>
              <w:t>PAHs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88.88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276.3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41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325.7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1.22</w:t>
            </w:r>
          </w:p>
        </w:tc>
      </w:tr>
    </w:tbl>
    <w:p>
      <w:pPr>
        <w:widowControl/>
        <w:textAlignment w:val="center"/>
        <w:rPr>
          <w:rFonts w:ascii="Times New Roman" w:hAnsi="Times New Roman" w:cs="Times New Roman"/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</w:t>
      </w:r>
      <w:r>
        <w:rPr>
          <w:rFonts w:hint="eastAsia"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hint="eastAsia" w:ascii="Times New Roman" w:hAnsi="Times New Roman" w:cs="Times New Roman"/>
          <w:sz w:val="24"/>
        </w:rPr>
        <w:t>13</w:t>
      </w:r>
      <w:r>
        <w:rPr>
          <w:rFonts w:ascii="Times New Roman" w:hAnsi="Times New Roman" w:cs="Times New Roman"/>
          <w:sz w:val="24"/>
        </w:rPr>
        <w:t xml:space="preserve"> The classification of individual PAHs and ∑PAHs</w:t>
      </w:r>
      <w:r>
        <w:rPr>
          <w:rFonts w:hint="eastAsia" w:ascii="Times New Roman" w:hAnsi="Times New Roman" w:cs="Times New Roman"/>
          <w:sz w:val="24"/>
        </w:rPr>
        <w:t>.</w:t>
      </w:r>
    </w:p>
    <w:tbl>
      <w:tblPr>
        <w:tblStyle w:val="5"/>
        <w:tblW w:w="13466" w:type="dxa"/>
        <w:jc w:val="center"/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4"/>
        <w:gridCol w:w="1819"/>
        <w:gridCol w:w="2044"/>
        <w:gridCol w:w="2105"/>
        <w:gridCol w:w="2265"/>
        <w:gridCol w:w="2509"/>
      </w:tblGrid>
      <w:tr>
        <w:trPr>
          <w:trHeight w:val="492" w:hRule="atLeast"/>
          <w:jc w:val="center"/>
        </w:trPr>
        <w:tc>
          <w:tcPr>
            <w:tcW w:w="6587" w:type="dxa"/>
            <w:gridSpan w:val="3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Individual PAHs</w:t>
            </w:r>
          </w:p>
        </w:tc>
        <w:tc>
          <w:tcPr>
            <w:tcW w:w="6879" w:type="dxa"/>
            <w:gridSpan w:val="3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∑PAHs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72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</w:pPr>
          </w:p>
        </w:tc>
        <w:tc>
          <w:tcPr>
            <w:tcW w:w="181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RQ</w:t>
            </w: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vertAlign w:val="subscript"/>
                <w:lang w:bidi="ar"/>
              </w:rPr>
              <w:t>NCs</w:t>
            </w:r>
          </w:p>
        </w:tc>
        <w:tc>
          <w:tcPr>
            <w:tcW w:w="204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RQ</w:t>
            </w:r>
            <w:r>
              <w:rPr>
                <w:rStyle w:val="9"/>
                <w:rFonts w:eastAsia="宋体"/>
                <w:sz w:val="24"/>
                <w:szCs w:val="24"/>
                <w:vertAlign w:val="subscript"/>
                <w:lang w:bidi="ar"/>
              </w:rPr>
              <w:t>MPCs</w:t>
            </w:r>
          </w:p>
        </w:tc>
        <w:tc>
          <w:tcPr>
            <w:tcW w:w="2105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</w:pPr>
          </w:p>
        </w:tc>
        <w:tc>
          <w:tcPr>
            <w:tcW w:w="2265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RQ</w:t>
            </w:r>
            <w:r>
              <w:rPr>
                <w:rStyle w:val="9"/>
                <w:rFonts w:eastAsia="宋体"/>
                <w:sz w:val="24"/>
                <w:szCs w:val="24"/>
                <w:vertAlign w:val="subscript"/>
                <w:lang w:bidi="ar"/>
              </w:rPr>
              <w:t>∑PAHs(NCs)</w:t>
            </w:r>
          </w:p>
        </w:tc>
        <w:tc>
          <w:tcPr>
            <w:tcW w:w="2509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RQ</w:t>
            </w:r>
            <w:r>
              <w:rPr>
                <w:rStyle w:val="9"/>
                <w:rFonts w:eastAsia="宋体"/>
                <w:sz w:val="24"/>
                <w:szCs w:val="24"/>
                <w:vertAlign w:val="subscript"/>
                <w:lang w:bidi="ar"/>
              </w:rPr>
              <w:t>∑PAHs(MPCs)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Risk-free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&lt;1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Risk-free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Low-risk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Low-risk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1; &lt;800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Moderate-risk</w:t>
            </w: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vertAlign w:val="subscript"/>
                <w:lang w:bidi="ar"/>
              </w:rPr>
              <w:t>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1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&lt;1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Moderate-risk</w:t>
            </w: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vertAlign w:val="subscript"/>
                <w:lang w:bidi="ar"/>
              </w:rPr>
              <w:t>1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800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Moderate-risk</w:t>
            </w: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vertAlign w:val="subscript"/>
                <w:lang w:bidi="ar"/>
              </w:rPr>
              <w:t>2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Moderate-risk</w:t>
            </w: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vertAlign w:val="subscript"/>
                <w:lang w:bidi="ar"/>
              </w:rPr>
              <w:t>2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&lt;800</w:t>
            </w: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1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724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High-risk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 w:themeFill="background1"/>
            <w:noWrap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1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333333"/>
                <w:kern w:val="0"/>
                <w:sz w:val="24"/>
                <w:lang w:bidi="ar"/>
              </w:rPr>
              <w:t>High-risk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800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333333"/>
                <w:sz w:val="24"/>
              </w:rPr>
            </w:pPr>
            <w:r>
              <w:rPr>
                <w:rStyle w:val="10"/>
                <w:rFonts w:hint="default" w:ascii="Times New Roman" w:hAnsi="Times New Roman" w:cs="Times New Roman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lang w:bidi="ar"/>
              </w:rPr>
              <w:t>1</w:t>
            </w:r>
          </w:p>
        </w:tc>
      </w:tr>
    </w:tbl>
    <w:p>
      <w:pPr>
        <w:widowControl/>
        <w:textAlignment w:val="center"/>
        <w:rPr>
          <w:rFonts w:ascii="Times New Roman" w:hAnsi="Times New Roman" w:cs="Times New Roman"/>
          <w:b/>
          <w:bCs/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</w:t>
      </w:r>
      <w:r>
        <w:rPr>
          <w:rFonts w:hint="eastAsia"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hint="eastAsia" w:ascii="Times New Roman" w:hAnsi="Times New Roman" w:cs="Times New Roman"/>
          <w:sz w:val="24"/>
        </w:rPr>
        <w:t>14</w:t>
      </w:r>
      <w:r>
        <w:rPr>
          <w:rFonts w:ascii="Times New Roman" w:hAnsi="Times New Roman" w:cs="Times New Roman"/>
          <w:sz w:val="24"/>
        </w:rPr>
        <w:t xml:space="preserve"> The parameters of lifetime carcinogenic risk assessment.</w:t>
      </w:r>
    </w:p>
    <w:tbl>
      <w:tblPr>
        <w:tblStyle w:val="5"/>
        <w:tblpPr w:leftFromText="180" w:rightFromText="180" w:vertAnchor="text" w:horzAnchor="page" w:tblpXSpec="center" w:tblpY="183"/>
        <w:tblOverlap w:val="never"/>
        <w:tblW w:w="13697" w:type="dxa"/>
        <w:jc w:val="center"/>
        <w:tblBorders>
          <w:top w:val="single" w:color="auto" w:sz="24" w:space="0"/>
          <w:left w:val="none" w:color="auto" w:sz="0" w:space="0"/>
          <w:bottom w:val="single" w:color="auto" w:sz="2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3901"/>
        <w:gridCol w:w="1667"/>
        <w:gridCol w:w="1776"/>
        <w:gridCol w:w="2025"/>
        <w:gridCol w:w="2552"/>
      </w:tblGrid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776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Parameter</w:t>
            </w:r>
          </w:p>
        </w:tc>
        <w:tc>
          <w:tcPr>
            <w:tcW w:w="3901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Meaning</w:t>
            </w:r>
          </w:p>
        </w:tc>
        <w:tc>
          <w:tcPr>
            <w:tcW w:w="1667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Value</w:t>
            </w:r>
          </w:p>
        </w:tc>
        <w:tc>
          <w:tcPr>
            <w:tcW w:w="1776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Parameter</w:t>
            </w:r>
          </w:p>
        </w:tc>
        <w:tc>
          <w:tcPr>
            <w:tcW w:w="2025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Meaning</w:t>
            </w:r>
          </w:p>
        </w:tc>
        <w:tc>
          <w:tcPr>
            <w:tcW w:w="2552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Value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776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Ci</w:t>
            </w:r>
          </w:p>
        </w:tc>
        <w:tc>
          <w:tcPr>
            <w:tcW w:w="3901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Concentration of compound</w:t>
            </w:r>
          </w:p>
        </w:tc>
        <w:tc>
          <w:tcPr>
            <w:tcW w:w="1667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776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SA</w:t>
            </w:r>
          </w:p>
        </w:tc>
        <w:tc>
          <w:tcPr>
            <w:tcW w:w="2025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Skin exposure parameter</w:t>
            </w:r>
          </w:p>
        </w:tc>
        <w:tc>
          <w:tcPr>
            <w:tcW w:w="2552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2800 cm</w:t>
            </w:r>
            <w:r>
              <w:rPr>
                <w:rStyle w:val="11"/>
                <w:rFonts w:eastAsia="宋体"/>
                <w:sz w:val="24"/>
                <w:szCs w:val="24"/>
                <w:vertAlign w:val="superscript"/>
                <w:lang w:bidi="ar"/>
              </w:rPr>
              <w:t>2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TEF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Toxic equivalency factors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instrText xml:space="preserve"> ADDIN  EN.CITE &lt;EndNote&gt;&lt;Cite&gt;&lt;Author&gt;Nadal&lt;/Author&gt;&lt;Year&gt;2004&lt;/Year&gt;&lt;RecNum&gt;180&lt;/RecNum&gt;&lt;DisplayText&gt;(Nadal et al., 2004)&lt;/DisplayText&gt;&lt;record&gt;&lt;rec-number&gt;180&lt;/rec-number&gt;&lt;foreign-keys&gt;&lt;key app="EN" db-id="sfstzvpflztsr2eztf0pwdrvrdxvwsetpvxx" timestamp="1615806502"&gt;180&lt;/key&gt;&lt;key app="ENWeb" db-id=""&gt;0&lt;/key&gt;&lt;/foreign-keys&gt;&lt;ref-type name="Journal Article"&gt;17&lt;/ref-type&gt;&lt;contributors&gt;&lt;authors&gt;&lt;author&gt;Nadal, M.&lt;/author&gt;&lt;author&gt;Schuhmacher, M.&lt;/author&gt;&lt;author&gt;Domingo, J. L.&lt;/author&gt;&lt;/authors&gt;&lt;/contributors&gt;&lt;auth-address&gt;Laboratory of Toxicology and Environmental Health, School of Medicine, Rovira i Virgili University, San Lorenzo 21, 43201 Reus, Spain.&lt;/auth-address&gt;&lt;titles&gt;&lt;title&gt;Levels of PAHs in soil and vegetation samples from Tarragona County, Spain&lt;/title&gt;&lt;secondary-title&gt;Environ Pollut&lt;/secondary-title&gt;&lt;/titles&gt;&lt;periodical&gt;&lt;full-title&gt;Environ Pollut&lt;/full-title&gt;&lt;/periodical&gt;&lt;pages&gt;1-11&lt;/pages&gt;&lt;volume&gt;132&lt;/volume&gt;&lt;number&gt;1&lt;/number&gt;&lt;edition&gt;2004/07/28&lt;/edition&gt;&lt;keywords&gt;&lt;keyword&gt;Acenaphthenes/analysis&lt;/keyword&gt;&lt;keyword&gt;Anthracenes/analysis&lt;/keyword&gt;&lt;keyword&gt;Beta vulgaris/*chemistry&lt;/keyword&gt;&lt;keyword&gt;Carcinogens/analysis&lt;/keyword&gt;&lt;keyword&gt;Chemical Industry&lt;/keyword&gt;&lt;keyword&gt;Environmental Monitoring/methods&lt;/keyword&gt;&lt;keyword&gt;Environmental Pollutants/*analysis&lt;/keyword&gt;&lt;keyword&gt;Fluorenes/analysis&lt;/keyword&gt;&lt;keyword&gt;Polycyclic Aromatic Hydrocarbons/*analysis&lt;/keyword&gt;&lt;keyword&gt;Soil Pollutants/analysis&lt;/keyword&gt;&lt;keyword&gt;Spain&lt;/keyword&gt;&lt;keyword&gt;Urban Health&lt;/keyword&gt;&lt;/keywords&gt;&lt;dates&gt;&lt;year&gt;2004&lt;/year&gt;&lt;pub-dates&gt;&lt;date&gt;Nov&lt;/date&gt;&lt;/pub-dates&gt;&lt;/dates&gt;&lt;isbn&gt;0269-7491 (Print)&amp;#xD;0269-7491 (Linking)&lt;/isbn&gt;&lt;accession-num&gt;15276268&lt;/accession-num&gt;&lt;urls&gt;&lt;related-urls&gt;&lt;url&gt;https://www.ncbi.nlm.nih.gov/pubmed/15276268&lt;/url&gt;&lt;/related-urls&gt;&lt;/urls&gt;&lt;electronic-resource-num&gt;10.1016/j.envpol.2004.04.003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(Nadal et al., 2004)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fldChar w:fldCharType="end"/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K</w:t>
            </w:r>
            <w:r>
              <w:rPr>
                <w:rStyle w:val="11"/>
                <w:rFonts w:eastAsia="宋体"/>
                <w:b/>
                <w:bCs/>
                <w:sz w:val="24"/>
                <w:szCs w:val="24"/>
                <w:lang w:bidi="ar"/>
              </w:rPr>
              <w:t>p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Skin permeability constant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IRW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 xml:space="preserve">Direct </w:t>
            </w:r>
            <w:r>
              <w:rPr>
                <w:rFonts w:hint="eastAsia"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ingestion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2.0 L/d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ABS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Skin absorption factor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EF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Exposure days per year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350</w:t>
            </w:r>
            <w:r>
              <w:rPr>
                <w:rStyle w:val="12"/>
                <w:rFonts w:hint="default"/>
                <w:sz w:val="24"/>
                <w:szCs w:val="24"/>
                <w:lang w:bidi="ar"/>
              </w:rPr>
              <w:t>d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ET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Exposed time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0.6 h d</w:t>
            </w:r>
            <w:r>
              <w:rPr>
                <w:rStyle w:val="11"/>
                <w:rFonts w:eastAsia="宋体"/>
                <w:sz w:val="24"/>
                <w:szCs w:val="24"/>
                <w:lang w:bidi="ar"/>
              </w:rPr>
              <w:t>−1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ED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Duration of exposure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70 a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CF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conversion fraction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 L (1000 cm</w:t>
            </w:r>
            <w:r>
              <w:rPr>
                <w:rStyle w:val="11"/>
                <w:rFonts w:eastAsia="宋体"/>
                <w:sz w:val="24"/>
                <w:szCs w:val="24"/>
                <w:lang w:bidi="ar"/>
              </w:rPr>
              <w:t>3</w:t>
            </w:r>
            <w:r>
              <w:rPr>
                <w:rStyle w:val="13"/>
                <w:rFonts w:eastAsia="宋体"/>
                <w:sz w:val="24"/>
                <w:szCs w:val="24"/>
                <w:lang w:bidi="ar"/>
              </w:rPr>
              <w:t>)</w:t>
            </w:r>
            <w:r>
              <w:rPr>
                <w:rStyle w:val="11"/>
                <w:rFonts w:eastAsia="宋体"/>
                <w:sz w:val="24"/>
                <w:szCs w:val="24"/>
                <w:vertAlign w:val="superscript"/>
                <w:lang w:bidi="ar"/>
              </w:rPr>
              <w:t>−1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BW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Body weight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70 kg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CSF</w:t>
            </w:r>
            <w:r>
              <w:rPr>
                <w:rStyle w:val="11"/>
                <w:rFonts w:eastAsia="宋体"/>
                <w:b/>
                <w:bCs/>
                <w:sz w:val="24"/>
                <w:szCs w:val="24"/>
                <w:lang w:bidi="ar"/>
              </w:rPr>
              <w:t>i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 xml:space="preserve">Carcinogenic slope coefficient of BaP </w:t>
            </w:r>
            <w:r>
              <w:rPr>
                <w:rFonts w:ascii="Calibri" w:hAnsi="Calibri" w:eastAsia="宋体" w:cs="Times New Roman"/>
                <w:sz w:val="24"/>
                <w:lang w:bidi="ar"/>
              </w:rPr>
              <w:drawing>
                <wp:inline distT="0" distB="0" distL="114300" distR="114300">
                  <wp:extent cx="600075" cy="180975"/>
                  <wp:effectExtent l="0" t="0" r="9525" b="7620"/>
                  <wp:docPr id="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7.3 kg d mg</w:t>
            </w:r>
            <w:r>
              <w:rPr>
                <w:rStyle w:val="11"/>
                <w:rFonts w:eastAsia="宋体"/>
                <w:sz w:val="24"/>
                <w:szCs w:val="24"/>
                <w:vertAlign w:val="superscript"/>
                <w:lang w:bidi="ar"/>
              </w:rPr>
              <w:t>−1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776" w:type="dxa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AT</w:t>
            </w:r>
          </w:p>
        </w:tc>
        <w:tc>
          <w:tcPr>
            <w:tcW w:w="3901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Average time</w:t>
            </w:r>
          </w:p>
        </w:tc>
        <w:tc>
          <w:tcPr>
            <w:tcW w:w="1667" w:type="dxa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ED × EF d</w:t>
            </w:r>
          </w:p>
        </w:tc>
        <w:tc>
          <w:tcPr>
            <w:tcW w:w="1776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CSF</w:t>
            </w:r>
            <w:r>
              <w:rPr>
                <w:rStyle w:val="11"/>
                <w:rFonts w:eastAsia="宋体"/>
                <w:b/>
                <w:bCs/>
                <w:sz w:val="24"/>
                <w:szCs w:val="24"/>
                <w:lang w:bidi="ar"/>
              </w:rPr>
              <w:t>d</w:t>
            </w:r>
          </w:p>
        </w:tc>
        <w:tc>
          <w:tcPr>
            <w:tcW w:w="2025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Carcinogenic slope coefficient of skin contact with BaP</w:t>
            </w:r>
          </w:p>
        </w:tc>
        <w:tc>
          <w:tcPr>
            <w:tcW w:w="2552" w:type="dxa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25 kg d mg</w:t>
            </w:r>
            <w:r>
              <w:rPr>
                <w:rStyle w:val="11"/>
                <w:rFonts w:eastAsia="宋体"/>
                <w:sz w:val="24"/>
                <w:szCs w:val="24"/>
                <w:vertAlign w:val="superscript"/>
                <w:lang w:bidi="ar"/>
              </w:rPr>
              <w:t>−1</w:t>
            </w:r>
          </w:p>
        </w:tc>
      </w:tr>
    </w:tbl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Note:</w:t>
      </w:r>
      <w:r>
        <w:rPr>
          <w:rFonts w:hint="eastAsia" w:ascii="Times New Roman" w:hAnsi="Times New Roman" w:cs="Times New Roman"/>
          <w:sz w:val="24"/>
        </w:rPr>
        <w:t xml:space="preserve"> d and a represent time unit day and year respectively.</w:t>
      </w:r>
    </w:p>
    <w:p>
      <w:pPr>
        <w:widowControl/>
        <w:textAlignment w:val="center"/>
        <w:rPr>
          <w:rFonts w:ascii="Times New Roman" w:hAnsi="Times New Roman" w:cs="Times New Roman"/>
          <w:b/>
          <w:bCs/>
          <w:sz w:val="24"/>
        </w:rPr>
      </w:pPr>
    </w:p>
    <w:p>
      <w:pPr>
        <w:rPr>
          <w:sz w:val="24"/>
        </w:rPr>
      </w:pPr>
    </w:p>
    <w:p>
      <w:pPr>
        <w:jc w:val="left"/>
        <w:rPr>
          <w:sz w:val="24"/>
        </w:rPr>
      </w:pPr>
    </w:p>
    <w:p>
      <w:pPr>
        <w:jc w:val="left"/>
        <w:rPr>
          <w:sz w:val="24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</w:t>
      </w:r>
      <w:r>
        <w:rPr>
          <w:rFonts w:hint="eastAsia"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hint="eastAsia" w:ascii="Times New Roman" w:hAnsi="Times New Roman" w:cs="Times New Roman"/>
          <w:sz w:val="24"/>
        </w:rPr>
        <w:t>15</w:t>
      </w:r>
      <w:r>
        <w:rPr>
          <w:rFonts w:ascii="Times New Roman" w:hAnsi="Times New Roman" w:cs="Times New Roman"/>
          <w:sz w:val="24"/>
        </w:rPr>
        <w:t xml:space="preserve"> The parameters of lifetime carcinogenic risk assessment.</w:t>
      </w:r>
    </w:p>
    <w:tbl>
      <w:tblPr>
        <w:tblStyle w:val="5"/>
        <w:tblpPr w:leftFromText="180" w:rightFromText="180" w:vertAnchor="text" w:horzAnchor="page" w:tblpXSpec="center" w:tblpY="183"/>
        <w:tblOverlap w:val="never"/>
        <w:tblW w:w="13697" w:type="dxa"/>
        <w:jc w:val="center"/>
        <w:tblBorders>
          <w:top w:val="single" w:color="auto" w:sz="24" w:space="0"/>
          <w:left w:val="none" w:color="auto" w:sz="0" w:space="0"/>
          <w:bottom w:val="single" w:color="auto" w:sz="2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3901"/>
        <w:gridCol w:w="1667"/>
        <w:gridCol w:w="1776"/>
        <w:gridCol w:w="2025"/>
        <w:gridCol w:w="2552"/>
      </w:tblGrid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776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Parameter</w:t>
            </w:r>
          </w:p>
        </w:tc>
        <w:tc>
          <w:tcPr>
            <w:tcW w:w="3901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Meaning</w:t>
            </w:r>
          </w:p>
        </w:tc>
        <w:tc>
          <w:tcPr>
            <w:tcW w:w="1667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Value</w:t>
            </w:r>
          </w:p>
        </w:tc>
        <w:tc>
          <w:tcPr>
            <w:tcW w:w="1776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Parameter</w:t>
            </w:r>
          </w:p>
        </w:tc>
        <w:tc>
          <w:tcPr>
            <w:tcW w:w="2025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Meaning</w:t>
            </w:r>
          </w:p>
        </w:tc>
        <w:tc>
          <w:tcPr>
            <w:tcW w:w="2552" w:type="dxa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Value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776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Ci</w:t>
            </w:r>
          </w:p>
        </w:tc>
        <w:tc>
          <w:tcPr>
            <w:tcW w:w="3901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Concentration of compound</w:t>
            </w:r>
          </w:p>
        </w:tc>
        <w:tc>
          <w:tcPr>
            <w:tcW w:w="1667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776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SA</w:t>
            </w:r>
          </w:p>
        </w:tc>
        <w:tc>
          <w:tcPr>
            <w:tcW w:w="2025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Skin exposure parameter</w:t>
            </w:r>
          </w:p>
        </w:tc>
        <w:tc>
          <w:tcPr>
            <w:tcW w:w="2552" w:type="dxa"/>
            <w:tcBorders>
              <w:top w:val="single" w:color="auto" w:sz="1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2800 cm</w:t>
            </w:r>
            <w:r>
              <w:rPr>
                <w:rStyle w:val="11"/>
                <w:rFonts w:eastAsia="宋体"/>
                <w:sz w:val="24"/>
                <w:szCs w:val="24"/>
                <w:vertAlign w:val="superscript"/>
                <w:lang w:bidi="ar"/>
              </w:rPr>
              <w:t>2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TEF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Toxic equivalency factors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instrText xml:space="preserve"> ADDIN  EN.CITE &lt;EndNote&gt;&lt;Cite&gt;&lt;Author&gt;Nadal&lt;/Author&gt;&lt;Year&gt;2004&lt;/Year&gt;&lt;RecNum&gt;180&lt;/RecNum&gt;&lt;DisplayText&gt;(Nadal et al., 2004)&lt;/DisplayText&gt;&lt;record&gt;&lt;rec-number&gt;180&lt;/rec-number&gt;&lt;foreign-keys&gt;&lt;key app="EN" db-id="sfstzvpflztsr2eztf0pwdrvrdxvwsetpvxx" timestamp="1615806502"&gt;180&lt;/key&gt;&lt;key app="ENWeb" db-id=""&gt;0&lt;/key&gt;&lt;/foreign-keys&gt;&lt;ref-type name="Journal Article"&gt;17&lt;/ref-type&gt;&lt;contributors&gt;&lt;authors&gt;&lt;author&gt;Nadal, M.&lt;/author&gt;&lt;author&gt;Schuhmacher, M.&lt;/author&gt;&lt;author&gt;Domingo, J. L.&lt;/author&gt;&lt;/authors&gt;&lt;/contributors&gt;&lt;auth-address&gt;Laboratory of Toxicology and Environmental Health, School of Medicine, Rovira i Virgili University, San Lorenzo 21, 43201 Reus, Spain.&lt;/auth-address&gt;&lt;titles&gt;&lt;title&gt;Levels of PAHs in soil and vegetation samples from Tarragona County, Spain&lt;/title&gt;&lt;secondary-title&gt;Environ Pollut&lt;/secondary-title&gt;&lt;/titles&gt;&lt;periodical&gt;&lt;full-title&gt;Environ Pollut&lt;/full-title&gt;&lt;/periodical&gt;&lt;pages&gt;1-11&lt;/pages&gt;&lt;volume&gt;132&lt;/volume&gt;&lt;number&gt;1&lt;/number&gt;&lt;edition&gt;2004/07/28&lt;/edition&gt;&lt;keywords&gt;&lt;keyword&gt;Acenaphthenes/analysis&lt;/keyword&gt;&lt;keyword&gt;Anthracenes/analysis&lt;/keyword&gt;&lt;keyword&gt;Beta vulgaris/*chemistry&lt;/keyword&gt;&lt;keyword&gt;Carcinogens/analysis&lt;/keyword&gt;&lt;keyword&gt;Chemical Industry&lt;/keyword&gt;&lt;keyword&gt;Environmental Monitoring/methods&lt;/keyword&gt;&lt;keyword&gt;Environmental Pollutants/*analysis&lt;/keyword&gt;&lt;keyword&gt;Fluorenes/analysis&lt;/keyword&gt;&lt;keyword&gt;Polycyclic Aromatic Hydrocarbons/*analysis&lt;/keyword&gt;&lt;keyword&gt;Soil Pollutants/analysis&lt;/keyword&gt;&lt;keyword&gt;Spain&lt;/keyword&gt;&lt;keyword&gt;Urban Health&lt;/keyword&gt;&lt;/keywords&gt;&lt;dates&gt;&lt;year&gt;2004&lt;/year&gt;&lt;pub-dates&gt;&lt;date&gt;Nov&lt;/date&gt;&lt;/pub-dates&gt;&lt;/dates&gt;&lt;isbn&gt;0269-7491 (Print)&amp;#xD;0269-7491 (Linking)&lt;/isbn&gt;&lt;accession-num&gt;15276268&lt;/accession-num&gt;&lt;urls&gt;&lt;related-urls&gt;&lt;url&gt;https://www.ncbi.nlm.nih.gov/pubmed/15276268&lt;/url&gt;&lt;/related-urls&gt;&lt;/urls&gt;&lt;electronic-resource-num&gt;10.1016/j.envpol.2004.04.003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(Nadal et al., 2004)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fldChar w:fldCharType="end"/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K</w:t>
            </w:r>
            <w:r>
              <w:rPr>
                <w:rStyle w:val="11"/>
                <w:rFonts w:eastAsia="宋体"/>
                <w:b/>
                <w:bCs/>
                <w:sz w:val="24"/>
                <w:szCs w:val="24"/>
                <w:lang w:bidi="ar"/>
              </w:rPr>
              <w:t>p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Skin permeability constant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IRW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 xml:space="preserve">Direct </w:t>
            </w: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drawing>
                <wp:inline distT="0" distB="0" distL="114300" distR="114300">
                  <wp:extent cx="600075" cy="180975"/>
                  <wp:effectExtent l="0" t="0" r="9525" b="7620"/>
                  <wp:docPr id="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2.0 L/d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ABS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Skin absorption factor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0.001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EF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Exposure days per year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350</w:t>
            </w:r>
            <w:r>
              <w:rPr>
                <w:rStyle w:val="12"/>
                <w:rFonts w:hint="default"/>
                <w:sz w:val="24"/>
                <w:szCs w:val="24"/>
                <w:lang w:bidi="ar"/>
              </w:rPr>
              <w:t>d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ET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Exposed time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0.6 h d</w:t>
            </w:r>
            <w:r>
              <w:rPr>
                <w:rStyle w:val="11"/>
                <w:rFonts w:eastAsia="宋体"/>
                <w:sz w:val="24"/>
                <w:szCs w:val="24"/>
                <w:lang w:bidi="ar"/>
              </w:rPr>
              <w:t>−1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ED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Duration of exposure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70 a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CF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conversion fraction</w:t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1 L (1000 cm</w:t>
            </w:r>
            <w:r>
              <w:rPr>
                <w:rStyle w:val="11"/>
                <w:rFonts w:eastAsia="宋体"/>
                <w:sz w:val="24"/>
                <w:szCs w:val="24"/>
                <w:lang w:bidi="ar"/>
              </w:rPr>
              <w:t>3</w:t>
            </w:r>
            <w:r>
              <w:rPr>
                <w:rStyle w:val="13"/>
                <w:rFonts w:eastAsia="宋体"/>
                <w:sz w:val="24"/>
                <w:szCs w:val="24"/>
                <w:lang w:bidi="ar"/>
              </w:rPr>
              <w:t>)</w:t>
            </w:r>
            <w:r>
              <w:rPr>
                <w:rStyle w:val="11"/>
                <w:rFonts w:eastAsia="宋体"/>
                <w:sz w:val="24"/>
                <w:szCs w:val="24"/>
                <w:vertAlign w:val="superscript"/>
                <w:lang w:bidi="ar"/>
              </w:rPr>
              <w:t>−1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BW</w:t>
            </w:r>
          </w:p>
        </w:tc>
        <w:tc>
          <w:tcPr>
            <w:tcW w:w="39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Body weight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70 kg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CSF</w:t>
            </w:r>
            <w:r>
              <w:rPr>
                <w:rStyle w:val="11"/>
                <w:rFonts w:eastAsia="宋体"/>
                <w:b/>
                <w:bCs/>
                <w:sz w:val="24"/>
                <w:szCs w:val="24"/>
                <w:lang w:bidi="ar"/>
              </w:rPr>
              <w:t>i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 xml:space="preserve">Carcinogenic slope coefficient of BaP </w:t>
            </w:r>
            <w:r>
              <w:rPr>
                <w:rFonts w:ascii="Calibri" w:hAnsi="Calibri" w:eastAsia="宋体" w:cs="Times New Roman"/>
                <w:sz w:val="24"/>
                <w:lang w:bidi="ar"/>
              </w:rPr>
              <w:drawing>
                <wp:inline distT="0" distB="0" distL="114300" distR="114300">
                  <wp:extent cx="600075" cy="180975"/>
                  <wp:effectExtent l="0" t="0" r="9525" b="7620"/>
                  <wp:docPr id="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7.3 kg d mg</w:t>
            </w:r>
            <w:r>
              <w:rPr>
                <w:rStyle w:val="11"/>
                <w:rFonts w:eastAsia="宋体"/>
                <w:sz w:val="24"/>
                <w:szCs w:val="24"/>
                <w:vertAlign w:val="superscript"/>
                <w:lang w:bidi="ar"/>
              </w:rPr>
              <w:t>−1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776" w:type="dxa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AT</w:t>
            </w:r>
          </w:p>
        </w:tc>
        <w:tc>
          <w:tcPr>
            <w:tcW w:w="3901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Average time</w:t>
            </w:r>
          </w:p>
        </w:tc>
        <w:tc>
          <w:tcPr>
            <w:tcW w:w="1667" w:type="dxa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ED × EF d</w:t>
            </w:r>
          </w:p>
        </w:tc>
        <w:tc>
          <w:tcPr>
            <w:tcW w:w="1776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E2E2E"/>
                <w:kern w:val="0"/>
                <w:sz w:val="24"/>
                <w:lang w:bidi="ar"/>
              </w:rPr>
              <w:t>CSF</w:t>
            </w:r>
            <w:r>
              <w:rPr>
                <w:rStyle w:val="11"/>
                <w:rFonts w:eastAsia="宋体"/>
                <w:b/>
                <w:bCs/>
                <w:sz w:val="24"/>
                <w:szCs w:val="24"/>
                <w:lang w:bidi="ar"/>
              </w:rPr>
              <w:t>d</w:t>
            </w:r>
          </w:p>
        </w:tc>
        <w:tc>
          <w:tcPr>
            <w:tcW w:w="2025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Carcinogenic slope coefficient of skin contact with BaP</w:t>
            </w:r>
          </w:p>
        </w:tc>
        <w:tc>
          <w:tcPr>
            <w:tcW w:w="2552" w:type="dxa"/>
            <w:tcBorders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E2E2E"/>
                <w:sz w:val="24"/>
              </w:rPr>
            </w:pPr>
            <w:r>
              <w:rPr>
                <w:rFonts w:ascii="Times New Roman" w:hAnsi="Times New Roman" w:eastAsia="宋体" w:cs="Times New Roman"/>
                <w:color w:val="2E2E2E"/>
                <w:kern w:val="0"/>
                <w:sz w:val="24"/>
                <w:lang w:bidi="ar"/>
              </w:rPr>
              <w:t>25 kg d mg</w:t>
            </w:r>
            <w:r>
              <w:rPr>
                <w:rStyle w:val="11"/>
                <w:rFonts w:eastAsia="宋体"/>
                <w:sz w:val="24"/>
                <w:szCs w:val="24"/>
                <w:vertAlign w:val="superscript"/>
                <w:lang w:bidi="ar"/>
              </w:rPr>
              <w:t>−1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24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Note:</w:t>
      </w:r>
      <w:r>
        <w:rPr>
          <w:rFonts w:hint="eastAsia" w:ascii="Times New Roman" w:hAnsi="Times New Roman" w:cs="Times New Roman"/>
          <w:sz w:val="24"/>
        </w:rPr>
        <w:t xml:space="preserve"> d and a represent time unit day and year respectively.</w:t>
      </w:r>
    </w:p>
    <w:p>
      <w:pPr>
        <w:jc w:val="left"/>
        <w:rPr>
          <w:sz w:val="24"/>
        </w:rPr>
        <w:sectPr>
          <w:pgSz w:w="15840" w:h="12240" w:orient="landscape"/>
          <w:pgMar w:top="1800" w:right="1440" w:bottom="1800" w:left="1440" w:header="720" w:footer="720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eastAsia="等线" w:cs="Times New Roman"/>
          <w:sz w:val="24"/>
        </w:rPr>
      </w:pPr>
      <w:r>
        <w:rPr>
          <w:rFonts w:hint="eastAsia" w:ascii="Times New Roman" w:hAnsi="Times New Roman" w:eastAsia="等线" w:cs="Times New Roman"/>
          <w:sz w:val="24"/>
        </w:rPr>
        <w:drawing>
          <wp:inline distT="0" distB="0" distL="114300" distR="114300">
            <wp:extent cx="5483860" cy="3877945"/>
            <wp:effectExtent l="0" t="0" r="2540" b="8255"/>
            <wp:docPr id="2" name="图片 2" descr="000---水相---补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0---水相---补充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387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hAnsi="Times New Roman" w:eastAsia="等线" w:cs="Times New Roman"/>
          <w:sz w:val="24"/>
        </w:rPr>
        <w:sectPr>
          <w:pgSz w:w="12240" w:h="15840"/>
          <w:pgMar w:top="1440" w:right="1800" w:bottom="1440" w:left="1800" w:header="720" w:footer="720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等线" w:cs="Times New Roman"/>
          <w:sz w:val="24"/>
        </w:rPr>
        <w:t>Fig. S2 The PAHs</w:t>
      </w:r>
      <w:r>
        <w:rPr>
          <w:rFonts w:ascii="Times New Roman" w:hAnsi="Times New Roman" w:eastAsia="等线" w:cs="Times New Roman"/>
          <w:sz w:val="24"/>
        </w:rPr>
        <w:t xml:space="preserve"> concentrations (A) and compositions (B) in the water samples from the </w:t>
      </w:r>
      <w:r>
        <w:rPr>
          <w:rFonts w:hint="eastAsia" w:ascii="Times New Roman" w:hAnsi="Times New Roman" w:eastAsia="等线" w:cs="Times New Roman"/>
          <w:sz w:val="24"/>
        </w:rPr>
        <w:t>five</w:t>
      </w:r>
      <w:r>
        <w:rPr>
          <w:rFonts w:ascii="Times New Roman" w:hAnsi="Times New Roman" w:eastAsia="等线" w:cs="Times New Roman"/>
          <w:sz w:val="24"/>
        </w:rPr>
        <w:t xml:space="preserve"> sites of the FSBR with the seasons</w:t>
      </w:r>
      <w:r>
        <w:rPr>
          <w:rFonts w:hint="eastAsia" w:ascii="Times New Roman" w:hAnsi="Times New Roman" w:eastAsia="等线" w:cs="Times New Roman"/>
          <w:sz w:val="24"/>
        </w:rPr>
        <w:t>:</w:t>
      </w:r>
      <w:r>
        <w:rPr>
          <w:rFonts w:ascii="Times New Roman" w:hAnsi="Times New Roman" w:eastAsia="等线" w:cs="Times New Roman"/>
          <w:sz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</w:rPr>
        <w:t>Summer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(S1-S5)</w:t>
      </w:r>
      <w:r>
        <w:rPr>
          <w:rFonts w:ascii="Times New Roman" w:hAnsi="Times New Roman" w:eastAsia="等线" w:cs="Times New Roman"/>
          <w:sz w:val="24"/>
        </w:rPr>
        <w:t xml:space="preserve">, </w:t>
      </w:r>
      <w:r>
        <w:rPr>
          <w:rFonts w:hint="eastAsia" w:ascii="Times New Roman" w:hAnsi="Times New Roman" w:eastAsia="等线" w:cs="Times New Roman"/>
          <w:sz w:val="24"/>
        </w:rPr>
        <w:t>Autumn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(A1-A5)</w:t>
      </w:r>
      <w:r>
        <w:rPr>
          <w:rFonts w:ascii="Times New Roman" w:hAnsi="Times New Roman" w:eastAsia="等线" w:cs="Times New Roman"/>
          <w:sz w:val="24"/>
        </w:rPr>
        <w:t xml:space="preserve">, and </w:t>
      </w:r>
      <w:r>
        <w:rPr>
          <w:rFonts w:hint="eastAsia" w:ascii="Times New Roman" w:hAnsi="Times New Roman" w:eastAsia="等线" w:cs="Times New Roman"/>
          <w:sz w:val="24"/>
        </w:rPr>
        <w:t>Spring</w:t>
      </w:r>
      <w:r>
        <w:rPr>
          <w:rFonts w:ascii="Times New Roman" w:hAnsi="Times New Roman" w:eastAsia="等线" w:cs="Times New Roman"/>
          <w:sz w:val="24"/>
        </w:rPr>
        <w:t>-2016</w:t>
      </w:r>
      <w:r>
        <w:rPr>
          <w:rFonts w:hint="eastAsia" w:ascii="Times New Roman" w:hAnsi="Times New Roman" w:eastAsia="等线" w:cs="Times New Roman"/>
          <w:sz w:val="24"/>
        </w:rPr>
        <w:t xml:space="preserve"> (S11-S15</w:t>
      </w:r>
      <w:r>
        <w:rPr>
          <w:rFonts w:ascii="Times New Roman" w:hAnsi="Times New Roman" w:eastAsia="等线" w:cs="Times New Roman"/>
          <w:sz w:val="24"/>
        </w:rPr>
        <w:t>)..</w:t>
      </w:r>
    </w:p>
    <w:p>
      <w:pPr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</w:rPr>
        <w:sectPr>
          <w:pgSz w:w="12240" w:h="15840"/>
          <w:pgMar w:top="1440" w:right="1800" w:bottom="1440" w:left="1800" w:header="720" w:footer="720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等线" w:cs="Times New Roman"/>
          <w:b/>
          <w:bCs/>
          <w:sz w:val="24"/>
        </w:rPr>
        <w:drawing>
          <wp:inline distT="0" distB="0" distL="114300" distR="114300">
            <wp:extent cx="5484495" cy="4250690"/>
            <wp:effectExtent l="0" t="0" r="1905" b="16510"/>
            <wp:docPr id="3" name="图片 3" descr="000---porewater---补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0---porewater---补充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425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等线" w:cs="Times New Roman"/>
          <w:sz w:val="24"/>
        </w:rPr>
        <w:t>Fig. S3 The PAHs</w:t>
      </w:r>
      <w:r>
        <w:rPr>
          <w:rFonts w:ascii="Times New Roman" w:hAnsi="Times New Roman" w:eastAsia="等线" w:cs="Times New Roman"/>
          <w:sz w:val="24"/>
        </w:rPr>
        <w:t xml:space="preserve"> concentrations (A) and compositions (B) in the </w:t>
      </w:r>
      <w:r>
        <w:rPr>
          <w:rFonts w:hint="eastAsia" w:ascii="Times New Roman" w:hAnsi="Times New Roman" w:eastAsia="等线" w:cs="Times New Roman"/>
          <w:sz w:val="24"/>
        </w:rPr>
        <w:t>pore</w:t>
      </w:r>
      <w:r>
        <w:rPr>
          <w:rFonts w:ascii="Times New Roman" w:hAnsi="Times New Roman" w:eastAsia="等线" w:cs="Times New Roman"/>
          <w:sz w:val="24"/>
        </w:rPr>
        <w:t xml:space="preserve">water samples from the </w:t>
      </w:r>
      <w:r>
        <w:rPr>
          <w:rFonts w:hint="eastAsia" w:ascii="Times New Roman" w:hAnsi="Times New Roman" w:eastAsia="等线" w:cs="Times New Roman"/>
          <w:sz w:val="24"/>
        </w:rPr>
        <w:t>five</w:t>
      </w:r>
      <w:r>
        <w:rPr>
          <w:rFonts w:ascii="Times New Roman" w:hAnsi="Times New Roman" w:eastAsia="等线" w:cs="Times New Roman"/>
          <w:sz w:val="24"/>
        </w:rPr>
        <w:t xml:space="preserve"> sites of the FSBR with the seasons</w:t>
      </w:r>
      <w:r>
        <w:rPr>
          <w:rFonts w:hint="eastAsia" w:ascii="Times New Roman" w:hAnsi="Times New Roman" w:eastAsia="等线" w:cs="Times New Roman"/>
          <w:sz w:val="24"/>
        </w:rPr>
        <w:t>:</w:t>
      </w:r>
      <w:r>
        <w:rPr>
          <w:rFonts w:ascii="Times New Roman" w:hAnsi="Times New Roman" w:eastAsia="等线" w:cs="Times New Roman"/>
          <w:sz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</w:rPr>
        <w:t>Summer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(S1-S5)</w:t>
      </w:r>
      <w:r>
        <w:rPr>
          <w:rFonts w:ascii="Times New Roman" w:hAnsi="Times New Roman" w:eastAsia="等线" w:cs="Times New Roman"/>
          <w:sz w:val="24"/>
        </w:rPr>
        <w:t xml:space="preserve">, </w:t>
      </w:r>
      <w:r>
        <w:rPr>
          <w:rFonts w:hint="eastAsia" w:ascii="Times New Roman" w:hAnsi="Times New Roman" w:eastAsia="等线" w:cs="Times New Roman"/>
          <w:sz w:val="24"/>
        </w:rPr>
        <w:t>Autumn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(A1-A5)</w:t>
      </w:r>
      <w:r>
        <w:rPr>
          <w:rFonts w:ascii="Times New Roman" w:hAnsi="Times New Roman" w:eastAsia="等线" w:cs="Times New Roman"/>
          <w:sz w:val="24"/>
        </w:rPr>
        <w:t xml:space="preserve">, and </w:t>
      </w:r>
      <w:r>
        <w:rPr>
          <w:rFonts w:hint="eastAsia" w:ascii="Times New Roman" w:hAnsi="Times New Roman" w:eastAsia="等线" w:cs="Times New Roman"/>
          <w:sz w:val="24"/>
        </w:rPr>
        <w:t>Spring</w:t>
      </w:r>
      <w:r>
        <w:rPr>
          <w:rFonts w:ascii="Times New Roman" w:hAnsi="Times New Roman" w:eastAsia="等线" w:cs="Times New Roman"/>
          <w:sz w:val="24"/>
        </w:rPr>
        <w:t>-2016</w:t>
      </w:r>
      <w:r>
        <w:rPr>
          <w:rFonts w:hint="eastAsia" w:ascii="Times New Roman" w:hAnsi="Times New Roman" w:eastAsia="等线" w:cs="Times New Roman"/>
          <w:sz w:val="24"/>
        </w:rPr>
        <w:t xml:space="preserve"> (S11-S15</w:t>
      </w:r>
      <w:r>
        <w:rPr>
          <w:rFonts w:ascii="Times New Roman" w:hAnsi="Times New Roman" w:eastAsia="等线" w:cs="Times New Roman"/>
          <w:sz w:val="24"/>
        </w:rPr>
        <w:t>).</w:t>
      </w:r>
    </w:p>
    <w:p>
      <w:pPr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</w:rPr>
        <w:sectPr>
          <w:pgSz w:w="12240" w:h="15840"/>
          <w:pgMar w:top="1440" w:right="1800" w:bottom="1440" w:left="1800" w:header="720" w:footer="720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等线" w:cs="Times New Roman"/>
          <w:b/>
          <w:bCs/>
          <w:sz w:val="24"/>
        </w:rPr>
        <w:drawing>
          <wp:inline distT="0" distB="0" distL="114300" distR="114300">
            <wp:extent cx="5483860" cy="4406900"/>
            <wp:effectExtent l="0" t="0" r="2540" b="12700"/>
            <wp:docPr id="4" name="图片 4" descr="000---sediment----补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0---sediment----补充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等线" w:cs="Times New Roman"/>
          <w:sz w:val="24"/>
        </w:rPr>
        <w:t xml:space="preserve">Fig. S4 The PAHs </w:t>
      </w:r>
      <w:r>
        <w:rPr>
          <w:rFonts w:ascii="Times New Roman" w:hAnsi="Times New Roman" w:eastAsia="等线" w:cs="Times New Roman"/>
          <w:sz w:val="24"/>
        </w:rPr>
        <w:t xml:space="preserve">concentrations (A) and compositions (B) in the </w:t>
      </w:r>
      <w:r>
        <w:rPr>
          <w:rFonts w:hint="eastAsia" w:ascii="Times New Roman" w:hAnsi="Times New Roman" w:eastAsia="等线" w:cs="Times New Roman"/>
          <w:sz w:val="24"/>
        </w:rPr>
        <w:t>sediment</w:t>
      </w:r>
      <w:r>
        <w:rPr>
          <w:rFonts w:ascii="Times New Roman" w:hAnsi="Times New Roman" w:eastAsia="等线" w:cs="Times New Roman"/>
          <w:sz w:val="24"/>
        </w:rPr>
        <w:t xml:space="preserve"> samples from the </w:t>
      </w:r>
      <w:r>
        <w:rPr>
          <w:rFonts w:hint="eastAsia" w:ascii="Times New Roman" w:hAnsi="Times New Roman" w:eastAsia="等线" w:cs="Times New Roman"/>
          <w:sz w:val="24"/>
        </w:rPr>
        <w:t>five</w:t>
      </w:r>
      <w:r>
        <w:rPr>
          <w:rFonts w:ascii="Times New Roman" w:hAnsi="Times New Roman" w:eastAsia="等线" w:cs="Times New Roman"/>
          <w:sz w:val="24"/>
        </w:rPr>
        <w:t xml:space="preserve"> sites of the FSBR with the seasons</w:t>
      </w:r>
      <w:r>
        <w:rPr>
          <w:rFonts w:hint="eastAsia" w:ascii="Times New Roman" w:hAnsi="Times New Roman" w:eastAsia="等线" w:cs="Times New Roman"/>
          <w:sz w:val="24"/>
        </w:rPr>
        <w:t>:</w:t>
      </w:r>
      <w:r>
        <w:rPr>
          <w:rFonts w:ascii="Times New Roman" w:hAnsi="Times New Roman" w:eastAsia="等线" w:cs="Times New Roman"/>
          <w:sz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</w:rPr>
        <w:t>Summer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(S1-S5)</w:t>
      </w:r>
      <w:r>
        <w:rPr>
          <w:rFonts w:ascii="Times New Roman" w:hAnsi="Times New Roman" w:eastAsia="等线" w:cs="Times New Roman"/>
          <w:sz w:val="24"/>
        </w:rPr>
        <w:t xml:space="preserve">, </w:t>
      </w:r>
      <w:r>
        <w:rPr>
          <w:rFonts w:hint="eastAsia" w:ascii="Times New Roman" w:hAnsi="Times New Roman" w:eastAsia="等线" w:cs="Times New Roman"/>
          <w:sz w:val="24"/>
        </w:rPr>
        <w:t>Autumn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(A1-A5)</w:t>
      </w:r>
      <w:r>
        <w:rPr>
          <w:rFonts w:ascii="Times New Roman" w:hAnsi="Times New Roman" w:eastAsia="等线" w:cs="Times New Roman"/>
          <w:sz w:val="24"/>
        </w:rPr>
        <w:t xml:space="preserve">, and </w:t>
      </w:r>
      <w:r>
        <w:rPr>
          <w:rFonts w:hint="eastAsia" w:ascii="Times New Roman" w:hAnsi="Times New Roman" w:eastAsia="等线" w:cs="Times New Roman"/>
          <w:sz w:val="24"/>
        </w:rPr>
        <w:t>Spring</w:t>
      </w:r>
      <w:r>
        <w:rPr>
          <w:rFonts w:ascii="Times New Roman" w:hAnsi="Times New Roman" w:eastAsia="等线" w:cs="Times New Roman"/>
          <w:sz w:val="24"/>
        </w:rPr>
        <w:t>-2016</w:t>
      </w:r>
      <w:r>
        <w:rPr>
          <w:rFonts w:hint="eastAsia" w:ascii="Times New Roman" w:hAnsi="Times New Roman" w:eastAsia="等线" w:cs="Times New Roman"/>
          <w:sz w:val="24"/>
        </w:rPr>
        <w:t xml:space="preserve"> (S11-S15</w:t>
      </w:r>
      <w:r>
        <w:rPr>
          <w:rFonts w:ascii="Times New Roman" w:hAnsi="Times New Roman" w:eastAsia="等线" w:cs="Times New Roman"/>
          <w:sz w:val="24"/>
        </w:rPr>
        <w:t>).</w:t>
      </w:r>
    </w:p>
    <w:p>
      <w:pPr>
        <w:spacing w:line="360" w:lineRule="auto"/>
        <w:jc w:val="left"/>
        <w:rPr>
          <w:rFonts w:ascii="Times New Roman" w:hAnsi="Times New Roman" w:eastAsia="等线" w:cs="Times New Roman"/>
          <w:sz w:val="24"/>
        </w:rPr>
      </w:pPr>
      <w:r>
        <w:rPr>
          <w:rFonts w:hint="eastAsia" w:ascii="Times New Roman" w:hAnsi="Times New Roman" w:eastAsia="等线" w:cs="Times New Roman"/>
          <w:b/>
          <w:bCs/>
          <w:sz w:val="24"/>
        </w:rPr>
        <w:drawing>
          <wp:inline distT="0" distB="0" distL="114300" distR="114300">
            <wp:extent cx="5483860" cy="3876040"/>
            <wp:effectExtent l="0" t="0" r="2540" b="10160"/>
            <wp:docPr id="5" name="图片 5" descr="000---SOIL---补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0---SOIL---补充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等线" w:cs="Times New Roman"/>
          <w:sz w:val="24"/>
        </w:rPr>
        <w:t>Fig. S5. The PAHs</w:t>
      </w:r>
      <w:r>
        <w:rPr>
          <w:rFonts w:ascii="Times New Roman" w:hAnsi="Times New Roman" w:eastAsia="等线" w:cs="Times New Roman"/>
          <w:sz w:val="24"/>
        </w:rPr>
        <w:t xml:space="preserve"> concentrations (A) and compositions (B) in the </w:t>
      </w:r>
      <w:r>
        <w:rPr>
          <w:rFonts w:hint="eastAsia" w:ascii="Times New Roman" w:hAnsi="Times New Roman" w:eastAsia="等线" w:cs="Times New Roman"/>
          <w:sz w:val="24"/>
        </w:rPr>
        <w:t>soil</w:t>
      </w:r>
      <w:r>
        <w:rPr>
          <w:rFonts w:ascii="Times New Roman" w:hAnsi="Times New Roman" w:eastAsia="等线" w:cs="Times New Roman"/>
          <w:sz w:val="24"/>
        </w:rPr>
        <w:t xml:space="preserve"> samples from the </w:t>
      </w:r>
      <w:r>
        <w:rPr>
          <w:rFonts w:hint="eastAsia" w:ascii="Times New Roman" w:hAnsi="Times New Roman" w:eastAsia="等线" w:cs="Times New Roman"/>
          <w:sz w:val="24"/>
        </w:rPr>
        <w:t>five</w:t>
      </w:r>
      <w:r>
        <w:rPr>
          <w:rFonts w:ascii="Times New Roman" w:hAnsi="Times New Roman" w:eastAsia="等线" w:cs="Times New Roman"/>
          <w:sz w:val="24"/>
        </w:rPr>
        <w:t xml:space="preserve"> sites of the FSBR with the seasons</w:t>
      </w:r>
      <w:r>
        <w:rPr>
          <w:rFonts w:hint="eastAsia" w:ascii="Times New Roman" w:hAnsi="Times New Roman" w:eastAsia="等线" w:cs="Times New Roman"/>
          <w:sz w:val="24"/>
        </w:rPr>
        <w:t>:</w:t>
      </w:r>
      <w:r>
        <w:rPr>
          <w:rFonts w:ascii="Times New Roman" w:hAnsi="Times New Roman" w:eastAsia="等线" w:cs="Times New Roman"/>
          <w:sz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</w:rPr>
        <w:t>Summer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(S1-S5)</w:t>
      </w:r>
      <w:r>
        <w:rPr>
          <w:rFonts w:ascii="Times New Roman" w:hAnsi="Times New Roman" w:eastAsia="等线" w:cs="Times New Roman"/>
          <w:sz w:val="24"/>
        </w:rPr>
        <w:t xml:space="preserve">, </w:t>
      </w:r>
      <w:r>
        <w:rPr>
          <w:rFonts w:hint="eastAsia" w:ascii="Times New Roman" w:hAnsi="Times New Roman" w:eastAsia="等线" w:cs="Times New Roman"/>
          <w:sz w:val="24"/>
        </w:rPr>
        <w:t>Autumn</w:t>
      </w:r>
      <w:r>
        <w:rPr>
          <w:rFonts w:ascii="Times New Roman" w:hAnsi="Times New Roman" w:eastAsia="等线" w:cs="Times New Roman"/>
          <w:sz w:val="24"/>
        </w:rPr>
        <w:t>-2015</w:t>
      </w:r>
      <w:r>
        <w:rPr>
          <w:rFonts w:hint="eastAsia" w:ascii="Times New Roman" w:hAnsi="Times New Roman" w:eastAsia="等线" w:cs="Times New Roman"/>
          <w:sz w:val="24"/>
        </w:rPr>
        <w:t xml:space="preserve"> (A1-A5)</w:t>
      </w:r>
      <w:r>
        <w:rPr>
          <w:rFonts w:ascii="Times New Roman" w:hAnsi="Times New Roman" w:eastAsia="等线" w:cs="Times New Roman"/>
          <w:sz w:val="24"/>
        </w:rPr>
        <w:t xml:space="preserve">, and </w:t>
      </w:r>
      <w:r>
        <w:rPr>
          <w:rFonts w:hint="eastAsia" w:ascii="Times New Roman" w:hAnsi="Times New Roman" w:eastAsia="等线" w:cs="Times New Roman"/>
          <w:sz w:val="24"/>
        </w:rPr>
        <w:t>Spring</w:t>
      </w:r>
      <w:r>
        <w:rPr>
          <w:rFonts w:ascii="Times New Roman" w:hAnsi="Times New Roman" w:eastAsia="等线" w:cs="Times New Roman"/>
          <w:sz w:val="24"/>
        </w:rPr>
        <w:t>-2016</w:t>
      </w:r>
      <w:r>
        <w:rPr>
          <w:rFonts w:hint="eastAsia" w:ascii="Times New Roman" w:hAnsi="Times New Roman" w:eastAsia="等线" w:cs="Times New Roman"/>
          <w:sz w:val="24"/>
        </w:rPr>
        <w:t xml:space="preserve"> (S11-S15</w:t>
      </w:r>
      <w:r>
        <w:rPr>
          <w:rFonts w:ascii="Times New Roman" w:hAnsi="Times New Roman" w:eastAsia="等线" w:cs="Times New Roman"/>
          <w:sz w:val="24"/>
        </w:rPr>
        <w:t>)</w:t>
      </w:r>
      <w:r>
        <w:rPr>
          <w:rFonts w:hint="eastAsia" w:ascii="Times New Roman" w:hAnsi="Times New Roman" w:eastAsia="等线" w:cs="Times New Roman"/>
          <w:sz w:val="24"/>
        </w:rPr>
        <w:t>.</w:t>
      </w:r>
    </w:p>
    <w:p>
      <w:pPr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</w:rPr>
        <w:sectPr>
          <w:pgSz w:w="12240" w:h="15840"/>
          <w:pgMar w:top="1440" w:right="1800" w:bottom="1440" w:left="1800" w:header="720" w:footer="720" w:gutter="0"/>
          <w:cols w:space="425" w:num="1"/>
          <w:docGrid w:type="lines" w:linePitch="312" w:charSpace="0"/>
        </w:sectPr>
      </w:pPr>
    </w:p>
    <w:p>
      <w:pPr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</w:rPr>
      </w:pPr>
      <w:r>
        <w:rPr>
          <w:rFonts w:hint="eastAsia" w:ascii="Times New Roman" w:hAnsi="Times New Roman" w:eastAsia="等线" w:cs="Times New Roman"/>
          <w:b/>
          <w:bCs/>
          <w:sz w:val="24"/>
        </w:rPr>
        <w:t>Reference：</w:t>
      </w:r>
    </w:p>
    <w:p>
      <w:pPr>
        <w:pStyle w:val="17"/>
        <w:rPr>
          <w:sz w:val="24"/>
        </w:rPr>
      </w:pPr>
      <w:r>
        <w:rPr>
          <w:rFonts w:hint="eastAsia" w:ascii="Times New Roman" w:hAnsi="Times New Roman" w:eastAsia="等线" w:cs="Times New Roman"/>
          <w:b/>
          <w:bCs/>
          <w:sz w:val="24"/>
        </w:rPr>
        <w:fldChar w:fldCharType="begin"/>
      </w:r>
      <w:r>
        <w:rPr>
          <w:rFonts w:hint="eastAsia" w:ascii="Times New Roman" w:hAnsi="Times New Roman" w:eastAsia="等线" w:cs="Times New Roman"/>
          <w:b/>
          <w:bCs/>
          <w:sz w:val="24"/>
        </w:rPr>
        <w:instrText xml:space="preserve"> ADDIN  EN.REFLIST </w:instrText>
      </w:r>
      <w:r>
        <w:rPr>
          <w:rFonts w:hint="eastAsia" w:ascii="Times New Roman" w:hAnsi="Times New Roman" w:eastAsia="等线" w:cs="Times New Roman"/>
          <w:b/>
          <w:bCs/>
          <w:sz w:val="24"/>
        </w:rPr>
        <w:fldChar w:fldCharType="separate"/>
      </w:r>
      <w:r>
        <w:rPr>
          <w:sz w:val="24"/>
        </w:rPr>
        <w:t>Hwang, H.-M., Wade, T.L., Sericano, J.L. (2003) Concentrations and source characterization of polycyclic aromatic hydrocarbons in pine needles from Korea, Mexico, and United States. Atmospheric Environment 37, 2259-2267.</w:t>
      </w:r>
    </w:p>
    <w:p>
      <w:pPr>
        <w:pStyle w:val="17"/>
        <w:rPr>
          <w:sz w:val="24"/>
        </w:rPr>
      </w:pPr>
      <w:r>
        <w:rPr>
          <w:sz w:val="24"/>
        </w:rPr>
        <w:t>Nadal, M., Schuhmacher, M., Domingo, J.L. (2004) Levels of PAHs in soil and vegetation samples from Tarragona County, Spain. Environ Pollut 132, 1-11.</w:t>
      </w:r>
    </w:p>
    <w:p>
      <w:pPr>
        <w:pStyle w:val="17"/>
        <w:rPr>
          <w:sz w:val="24"/>
        </w:rPr>
      </w:pPr>
      <w:r>
        <w:rPr>
          <w:sz w:val="24"/>
        </w:rPr>
        <w:t>Odabasi, M., Cetin, E., Sofuoglu, A. (2006) Determination of octanol–air partition coefficients and supercooled liquid vapor pressures of PAHs as a function of temperature: Application to gas–particle partitioning in an urban atmosphere. Atmospheric Environment 40, 6615-6625.</w:t>
      </w:r>
    </w:p>
    <w:p>
      <w:pPr>
        <w:pStyle w:val="17"/>
        <w:rPr>
          <w:rFonts w:ascii="Times New Roman" w:hAnsi="Times New Roman" w:eastAsia="等线" w:cs="Times New Roman"/>
          <w:bCs/>
          <w:sz w:val="24"/>
        </w:rPr>
      </w:pPr>
    </w:p>
    <w:p>
      <w:pPr>
        <w:spacing w:line="360" w:lineRule="auto"/>
        <w:jc w:val="left"/>
        <w:rPr>
          <w:rFonts w:ascii="Times New Roman" w:hAnsi="Times New Roman" w:eastAsia="等线" w:cs="Times New Roman"/>
          <w:b/>
          <w:bCs/>
          <w:sz w:val="24"/>
        </w:rPr>
      </w:pPr>
      <w:r>
        <w:rPr>
          <w:rFonts w:hint="eastAsia" w:ascii="Times New Roman" w:hAnsi="Times New Roman" w:eastAsia="等线" w:cs="Times New Roman"/>
          <w:b/>
          <w:bCs/>
          <w:sz w:val="24"/>
        </w:rPr>
        <w:fldChar w:fldCharType="end"/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Global Environ Change&lt;/Style&gt;&lt;LeftDelim&gt;{&lt;/LeftDelim&gt;&lt;RightDelim&gt;}&lt;/RightDelim&gt;&lt;FontName&gt;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stzvpflztsr2eztf0pwdrvrdxvwsetpvxx&quot;&gt;我的EndNote库&lt;record-ids&gt;&lt;item&gt;180&lt;/item&gt;&lt;item&gt;221&lt;/item&gt;&lt;item&gt;222&lt;/item&gt;&lt;/record-ids&gt;&lt;/item&gt;&lt;/Libraries&gt;"/>
  </w:docVars>
  <w:rsids>
    <w:rsidRoot w:val="35A869C5"/>
    <w:rsid w:val="000401FD"/>
    <w:rsid w:val="00053616"/>
    <w:rsid w:val="00111B6C"/>
    <w:rsid w:val="00177F98"/>
    <w:rsid w:val="001E3191"/>
    <w:rsid w:val="002A1B4F"/>
    <w:rsid w:val="00343BD1"/>
    <w:rsid w:val="00450836"/>
    <w:rsid w:val="004A4355"/>
    <w:rsid w:val="004C0508"/>
    <w:rsid w:val="004E26BD"/>
    <w:rsid w:val="005731B8"/>
    <w:rsid w:val="00590A2F"/>
    <w:rsid w:val="006052FA"/>
    <w:rsid w:val="006B7669"/>
    <w:rsid w:val="006D768E"/>
    <w:rsid w:val="0079714A"/>
    <w:rsid w:val="0090335A"/>
    <w:rsid w:val="00907918"/>
    <w:rsid w:val="00992B46"/>
    <w:rsid w:val="00AE1AE4"/>
    <w:rsid w:val="00B105B6"/>
    <w:rsid w:val="00B52074"/>
    <w:rsid w:val="00C216E4"/>
    <w:rsid w:val="00CA03EE"/>
    <w:rsid w:val="00DB6075"/>
    <w:rsid w:val="00E165DC"/>
    <w:rsid w:val="00F44768"/>
    <w:rsid w:val="00F4740E"/>
    <w:rsid w:val="00F86291"/>
    <w:rsid w:val="04B42924"/>
    <w:rsid w:val="0A98795D"/>
    <w:rsid w:val="0DF85D6D"/>
    <w:rsid w:val="1B140A34"/>
    <w:rsid w:val="1C6F26C2"/>
    <w:rsid w:val="2AA211E5"/>
    <w:rsid w:val="2C7705F7"/>
    <w:rsid w:val="2CC36EAB"/>
    <w:rsid w:val="35A869C5"/>
    <w:rsid w:val="386C338B"/>
    <w:rsid w:val="41CF4685"/>
    <w:rsid w:val="4A781E58"/>
    <w:rsid w:val="4AA400EE"/>
    <w:rsid w:val="4B4E4954"/>
    <w:rsid w:val="516B661E"/>
    <w:rsid w:val="589D0478"/>
    <w:rsid w:val="58FB1BC1"/>
    <w:rsid w:val="59035313"/>
    <w:rsid w:val="5F0742FB"/>
    <w:rsid w:val="605122D8"/>
    <w:rsid w:val="71410E92"/>
    <w:rsid w:val="724F68A9"/>
    <w:rsid w:val="73B64E0A"/>
    <w:rsid w:val="785E3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font51"/>
    <w:basedOn w:val="7"/>
    <w:qFormat/>
    <w:uiPriority w:val="0"/>
    <w:rPr>
      <w:rFonts w:hint="default" w:ascii="Times New Roman" w:hAnsi="Times New Roman" w:cs="Times New Roman"/>
      <w:b/>
      <w:bCs/>
      <w:color w:val="333333"/>
      <w:sz w:val="18"/>
      <w:szCs w:val="18"/>
      <w:u w:val="none"/>
    </w:rPr>
  </w:style>
  <w:style w:type="character" w:customStyle="1" w:styleId="10">
    <w:name w:val="font71"/>
    <w:basedOn w:val="7"/>
    <w:qFormat/>
    <w:uiPriority w:val="0"/>
    <w:rPr>
      <w:rFonts w:hint="eastAsia" w:ascii="宋体" w:hAnsi="宋体" w:eastAsia="宋体" w:cs="宋体"/>
      <w:color w:val="333333"/>
      <w:sz w:val="24"/>
      <w:szCs w:val="24"/>
      <w:u w:val="none"/>
    </w:rPr>
  </w:style>
  <w:style w:type="character" w:customStyle="1" w:styleId="11">
    <w:name w:val="font21"/>
    <w:basedOn w:val="7"/>
    <w:qFormat/>
    <w:uiPriority w:val="0"/>
    <w:rPr>
      <w:rFonts w:hint="default" w:ascii="Times New Roman" w:hAnsi="Times New Roman" w:cs="Times New Roman"/>
      <w:color w:val="2E2E2E"/>
      <w:sz w:val="18"/>
      <w:szCs w:val="18"/>
      <w:u w:val="none"/>
    </w:rPr>
  </w:style>
  <w:style w:type="character" w:customStyle="1" w:styleId="12">
    <w:name w:val="font11"/>
    <w:basedOn w:val="7"/>
    <w:qFormat/>
    <w:uiPriority w:val="0"/>
    <w:rPr>
      <w:rFonts w:hint="eastAsia" w:ascii="宋体" w:hAnsi="宋体" w:eastAsia="宋体" w:cs="宋体"/>
      <w:color w:val="2E2E2E"/>
      <w:sz w:val="21"/>
      <w:szCs w:val="21"/>
      <w:u w:val="none"/>
    </w:rPr>
  </w:style>
  <w:style w:type="character" w:customStyle="1" w:styleId="13">
    <w:name w:val="font41"/>
    <w:basedOn w:val="7"/>
    <w:qFormat/>
    <w:uiPriority w:val="0"/>
    <w:rPr>
      <w:rFonts w:hint="default" w:ascii="Times New Roman" w:hAnsi="Times New Roman" w:cs="Times New Roman"/>
      <w:color w:val="2E2E2E"/>
      <w:sz w:val="21"/>
      <w:szCs w:val="21"/>
      <w:u w:val="none"/>
    </w:rPr>
  </w:style>
  <w:style w:type="character" w:customStyle="1" w:styleId="14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EndNote Bibliography Title"/>
    <w:qFormat/>
    <w:uiPriority w:val="0"/>
    <w:pPr>
      <w:jc w:val="center"/>
    </w:pPr>
    <w:rPr>
      <w:rFonts w:asciiTheme="minorHAnsi" w:hAnsiTheme="minorHAnsi" w:eastAsiaTheme="minorEastAsia" w:cstheme="minorBidi"/>
      <w:kern w:val="2"/>
      <w:szCs w:val="24"/>
      <w:lang w:val="en-US" w:eastAsia="zh-CN" w:bidi="ar-SA"/>
    </w:rPr>
  </w:style>
  <w:style w:type="paragraph" w:customStyle="1" w:styleId="17">
    <w:name w:val="EndNote Bibliography"/>
    <w:qFormat/>
    <w:uiPriority w:val="0"/>
    <w:rPr>
      <w:rFonts w:asciiTheme="minorHAnsi" w:hAnsiTheme="minorHAnsi" w:eastAsiaTheme="minorEastAsia" w:cstheme="minorBidi"/>
      <w:kern w:val="2"/>
      <w:szCs w:val="24"/>
      <w:lang w:val="en-US" w:eastAsia="zh-CN" w:bidi="ar-SA"/>
    </w:rPr>
  </w:style>
  <w:style w:type="character" w:customStyle="1" w:styleId="18">
    <w:name w:val="15"/>
    <w:basedOn w:val="7"/>
    <w:qFormat/>
    <w:uiPriority w:val="0"/>
    <w:rPr>
      <w:rFonts w:hint="default" w:ascii="Times New Roman" w:hAnsi="Times New Roman" w:cs="Times New Roman"/>
      <w:color w:val="0563C1"/>
      <w:u w:val="single"/>
    </w:rPr>
  </w:style>
  <w:style w:type="character" w:customStyle="1" w:styleId="19">
    <w:name w:val="font0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  <w:vertAlign w:val="superscript"/>
    </w:rPr>
  </w:style>
  <w:style w:type="character" w:customStyle="1" w:styleId="20">
    <w:name w:val="font6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  <w:vertAlign w:val="superscript"/>
    </w:rPr>
  </w:style>
  <w:style w:type="character" w:customStyle="1" w:styleId="21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3567</Words>
  <Characters>20333</Characters>
  <Lines>169</Lines>
  <Paragraphs>47</Paragraphs>
  <TotalTime>0</TotalTime>
  <ScaleCrop>false</ScaleCrop>
  <LinksUpToDate>false</LinksUpToDate>
  <CharactersWithSpaces>23853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2021-05-07T03:09:00Z</dcterms:created>
  <dc:creator>Only Sunshine</dc:creator>
  <cp:lastModifiedBy>Only Sunshine</cp:lastModifiedBy>
  <dcterms:modified xsi:type="dcterms:W3CDTF">2021-05-17T02:12:37Z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CE0CC5B576704E1D91A51D883889ACCC</vt:lpwstr>
  </property>
</Properties>
</file>