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70EC3" w14:textId="77777777" w:rsidR="004A32A2" w:rsidRDefault="004A32A2" w:rsidP="004A32A2">
      <w:pPr>
        <w:pStyle w:val="Heading1"/>
        <w:spacing w:before="120" w:after="120" w:line="240" w:lineRule="auto"/>
      </w:pPr>
      <w:r>
        <w:rPr>
          <w:i/>
        </w:rPr>
        <w:t>Extended data tables</w:t>
      </w:r>
    </w:p>
    <w:p w14:paraId="492E2B00" w14:textId="77777777" w:rsidR="004A32A2" w:rsidRDefault="004A32A2" w:rsidP="004A32A2">
      <w:pPr>
        <w:spacing w:after="0" w:line="276" w:lineRule="auto"/>
        <w:ind w:firstLine="0"/>
        <w:rPr>
          <w:rFonts w:asciiTheme="majorHAnsi" w:hAnsiTheme="majorHAnsi"/>
          <w:b/>
          <w:bCs/>
          <w:lang w:val="en-US"/>
        </w:rPr>
      </w:pPr>
      <w:r>
        <w:rPr>
          <w:rFonts w:asciiTheme="majorHAnsi" w:hAnsiTheme="majorHAnsi"/>
          <w:b/>
          <w:bCs/>
          <w:lang w:val="en-US"/>
        </w:rPr>
        <w:t>Extended Data Table 1 | Co-production mechanisms for product development</w:t>
      </w:r>
    </w:p>
    <w:tbl>
      <w:tblPr>
        <w:tblStyle w:val="TableGrid"/>
        <w:tblW w:w="0" w:type="auto"/>
        <w:tblInd w:w="0" w:type="dxa"/>
        <w:tblLook w:val="04A0" w:firstRow="1" w:lastRow="0" w:firstColumn="1" w:lastColumn="0" w:noHBand="0" w:noVBand="1"/>
      </w:tblPr>
      <w:tblGrid>
        <w:gridCol w:w="1319"/>
        <w:gridCol w:w="2055"/>
        <w:gridCol w:w="1370"/>
        <w:gridCol w:w="4272"/>
      </w:tblGrid>
      <w:tr w:rsidR="004A32A2" w14:paraId="1BA06010" w14:textId="77777777">
        <w:tc>
          <w:tcPr>
            <w:tcW w:w="1319" w:type="dxa"/>
            <w:tcBorders>
              <w:top w:val="single" w:sz="4" w:space="0" w:color="auto"/>
              <w:left w:val="single" w:sz="4" w:space="0" w:color="auto"/>
              <w:bottom w:val="single" w:sz="18" w:space="0" w:color="auto"/>
              <w:right w:val="single" w:sz="4" w:space="0" w:color="auto"/>
            </w:tcBorders>
            <w:hideMark/>
          </w:tcPr>
          <w:p w14:paraId="0B3488E1"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Stage</w:t>
            </w:r>
          </w:p>
        </w:tc>
        <w:tc>
          <w:tcPr>
            <w:tcW w:w="2055" w:type="dxa"/>
            <w:tcBorders>
              <w:top w:val="single" w:sz="4" w:space="0" w:color="auto"/>
              <w:left w:val="single" w:sz="4" w:space="0" w:color="auto"/>
              <w:bottom w:val="single" w:sz="18" w:space="0" w:color="auto"/>
              <w:right w:val="single" w:sz="4" w:space="0" w:color="auto"/>
            </w:tcBorders>
            <w:hideMark/>
          </w:tcPr>
          <w:p w14:paraId="7973C619"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Mechanism</w:t>
            </w:r>
          </w:p>
        </w:tc>
        <w:tc>
          <w:tcPr>
            <w:tcW w:w="1370" w:type="dxa"/>
            <w:tcBorders>
              <w:top w:val="single" w:sz="4" w:space="0" w:color="auto"/>
              <w:left w:val="single" w:sz="4" w:space="0" w:color="auto"/>
              <w:bottom w:val="single" w:sz="18" w:space="0" w:color="auto"/>
              <w:right w:val="single" w:sz="4" w:space="0" w:color="auto"/>
            </w:tcBorders>
            <w:hideMark/>
          </w:tcPr>
          <w:p w14:paraId="6983AD48"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Type of Mechanism</w:t>
            </w:r>
          </w:p>
        </w:tc>
        <w:tc>
          <w:tcPr>
            <w:tcW w:w="4272" w:type="dxa"/>
            <w:tcBorders>
              <w:top w:val="single" w:sz="4" w:space="0" w:color="auto"/>
              <w:left w:val="single" w:sz="4" w:space="0" w:color="auto"/>
              <w:bottom w:val="single" w:sz="18" w:space="0" w:color="auto"/>
              <w:right w:val="single" w:sz="4" w:space="0" w:color="auto"/>
            </w:tcBorders>
            <w:hideMark/>
          </w:tcPr>
          <w:p w14:paraId="7B9B9B43"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Definition</w:t>
            </w:r>
          </w:p>
        </w:tc>
      </w:tr>
      <w:tr w:rsidR="004A32A2" w14:paraId="5E9A2E37" w14:textId="77777777">
        <w:tc>
          <w:tcPr>
            <w:tcW w:w="1319" w:type="dxa"/>
            <w:vMerge w:val="restart"/>
            <w:tcBorders>
              <w:top w:val="single" w:sz="18" w:space="0" w:color="auto"/>
              <w:left w:val="single" w:sz="4" w:space="0" w:color="auto"/>
              <w:bottom w:val="single" w:sz="12" w:space="0" w:color="auto"/>
              <w:right w:val="single" w:sz="4" w:space="0" w:color="auto"/>
            </w:tcBorders>
            <w:hideMark/>
          </w:tcPr>
          <w:p w14:paraId="72921010" w14:textId="77777777" w:rsidR="004A32A2" w:rsidRDefault="004A32A2">
            <w:pPr>
              <w:spacing w:after="0" w:line="276" w:lineRule="auto"/>
              <w:ind w:firstLine="0"/>
              <w:rPr>
                <w:rFonts w:asciiTheme="majorHAnsi" w:hAnsiTheme="majorHAnsi"/>
                <w:bCs/>
                <w:sz w:val="20"/>
                <w:szCs w:val="20"/>
              </w:rPr>
            </w:pPr>
            <w:r>
              <w:rPr>
                <w:rFonts w:asciiTheme="majorHAnsi" w:hAnsiTheme="majorHAnsi"/>
                <w:bCs/>
                <w:sz w:val="20"/>
                <w:szCs w:val="20"/>
              </w:rPr>
              <w:t>Across Stages</w:t>
            </w:r>
          </w:p>
        </w:tc>
        <w:tc>
          <w:tcPr>
            <w:tcW w:w="2055" w:type="dxa"/>
            <w:tcBorders>
              <w:top w:val="single" w:sz="18" w:space="0" w:color="auto"/>
              <w:left w:val="single" w:sz="4" w:space="0" w:color="auto"/>
              <w:bottom w:val="single" w:sz="4" w:space="0" w:color="auto"/>
              <w:right w:val="single" w:sz="4" w:space="0" w:color="auto"/>
            </w:tcBorders>
            <w:hideMark/>
          </w:tcPr>
          <w:p w14:paraId="687F363D"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Survey (or Questionnaire)</w:t>
            </w:r>
          </w:p>
        </w:tc>
        <w:tc>
          <w:tcPr>
            <w:tcW w:w="1370" w:type="dxa"/>
            <w:tcBorders>
              <w:top w:val="single" w:sz="18" w:space="0" w:color="auto"/>
              <w:left w:val="single" w:sz="4" w:space="0" w:color="auto"/>
              <w:bottom w:val="single" w:sz="4" w:space="0" w:color="auto"/>
              <w:right w:val="single" w:sz="4" w:space="0" w:color="auto"/>
            </w:tcBorders>
            <w:hideMark/>
          </w:tcPr>
          <w:p w14:paraId="7350A8E2"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Artifact</w:t>
            </w:r>
          </w:p>
        </w:tc>
        <w:tc>
          <w:tcPr>
            <w:tcW w:w="4272" w:type="dxa"/>
            <w:tcBorders>
              <w:top w:val="single" w:sz="18" w:space="0" w:color="auto"/>
              <w:left w:val="single" w:sz="4" w:space="0" w:color="auto"/>
              <w:bottom w:val="single" w:sz="4" w:space="0" w:color="auto"/>
              <w:right w:val="single" w:sz="4" w:space="0" w:color="auto"/>
            </w:tcBorders>
            <w:hideMark/>
          </w:tcPr>
          <w:p w14:paraId="786BE76D"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cs="Times-Roman"/>
                <w:sz w:val="20"/>
                <w:szCs w:val="20"/>
                <w:lang w:val="en-US"/>
              </w:rPr>
              <w:t>A list of questions that can be used to gather insights into the product and user needs</w:t>
            </w:r>
            <w:r>
              <w:rPr>
                <w:rFonts w:asciiTheme="majorHAnsi" w:hAnsiTheme="majorHAnsi" w:cs="Times-Roman"/>
                <w:color w:val="0432FF"/>
                <w:sz w:val="20"/>
                <w:szCs w:val="20"/>
                <w:vertAlign w:val="superscript"/>
                <w:lang w:val="en-US"/>
              </w:rPr>
              <w:t>5</w:t>
            </w:r>
          </w:p>
        </w:tc>
      </w:tr>
      <w:tr w:rsidR="004A32A2" w14:paraId="35A6855D"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5BEBEA4A"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4" w:space="0" w:color="auto"/>
              <w:right w:val="single" w:sz="4" w:space="0" w:color="auto"/>
            </w:tcBorders>
            <w:hideMark/>
          </w:tcPr>
          <w:p w14:paraId="048811D2"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Interview</w:t>
            </w:r>
          </w:p>
        </w:tc>
        <w:tc>
          <w:tcPr>
            <w:tcW w:w="1370" w:type="dxa"/>
            <w:tcBorders>
              <w:top w:val="single" w:sz="4" w:space="0" w:color="auto"/>
              <w:left w:val="single" w:sz="4" w:space="0" w:color="auto"/>
              <w:bottom w:val="single" w:sz="4" w:space="0" w:color="auto"/>
              <w:right w:val="single" w:sz="4" w:space="0" w:color="auto"/>
            </w:tcBorders>
            <w:hideMark/>
          </w:tcPr>
          <w:p w14:paraId="73205F35"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Activity</w:t>
            </w:r>
          </w:p>
        </w:tc>
        <w:tc>
          <w:tcPr>
            <w:tcW w:w="4272" w:type="dxa"/>
            <w:tcBorders>
              <w:top w:val="single" w:sz="4" w:space="0" w:color="auto"/>
              <w:left w:val="single" w:sz="4" w:space="0" w:color="auto"/>
              <w:bottom w:val="single" w:sz="4" w:space="0" w:color="auto"/>
              <w:right w:val="single" w:sz="4" w:space="0" w:color="auto"/>
            </w:tcBorders>
            <w:hideMark/>
          </w:tcPr>
          <w:p w14:paraId="3BF15DC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cs="Times-Roman"/>
                <w:sz w:val="20"/>
                <w:szCs w:val="20"/>
                <w:lang w:val="en-US"/>
              </w:rPr>
              <w:t>A structured or semi-structured question-focused conversation with stakeholders or users</w:t>
            </w:r>
            <w:r>
              <w:rPr>
                <w:rFonts w:asciiTheme="majorHAnsi" w:hAnsiTheme="majorHAnsi" w:cs="Times-Roman"/>
                <w:color w:val="0432FF"/>
                <w:sz w:val="20"/>
                <w:szCs w:val="20"/>
                <w:vertAlign w:val="superscript"/>
                <w:lang w:val="en-US"/>
              </w:rPr>
              <w:t>83</w:t>
            </w:r>
          </w:p>
        </w:tc>
      </w:tr>
      <w:tr w:rsidR="004A32A2" w14:paraId="444008DF"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505708DE"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4" w:space="0" w:color="auto"/>
              <w:right w:val="single" w:sz="4" w:space="0" w:color="auto"/>
            </w:tcBorders>
            <w:hideMark/>
          </w:tcPr>
          <w:p w14:paraId="35FBFC73"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Periodic Meeting</w:t>
            </w:r>
          </w:p>
        </w:tc>
        <w:tc>
          <w:tcPr>
            <w:tcW w:w="1370" w:type="dxa"/>
            <w:tcBorders>
              <w:top w:val="single" w:sz="4" w:space="0" w:color="auto"/>
              <w:left w:val="single" w:sz="4" w:space="0" w:color="auto"/>
              <w:bottom w:val="single" w:sz="4" w:space="0" w:color="auto"/>
              <w:right w:val="single" w:sz="4" w:space="0" w:color="auto"/>
            </w:tcBorders>
            <w:hideMark/>
          </w:tcPr>
          <w:p w14:paraId="1F108C6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Activity</w:t>
            </w:r>
          </w:p>
        </w:tc>
        <w:tc>
          <w:tcPr>
            <w:tcW w:w="4272" w:type="dxa"/>
            <w:tcBorders>
              <w:top w:val="single" w:sz="4" w:space="0" w:color="auto"/>
              <w:left w:val="single" w:sz="4" w:space="0" w:color="auto"/>
              <w:bottom w:val="single" w:sz="4" w:space="0" w:color="auto"/>
              <w:right w:val="single" w:sz="4" w:space="0" w:color="auto"/>
            </w:tcBorders>
            <w:hideMark/>
          </w:tcPr>
          <w:p w14:paraId="58E780A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cs="Times-Roman"/>
                <w:sz w:val="20"/>
                <w:szCs w:val="20"/>
                <w:lang w:val="en-US"/>
              </w:rPr>
              <w:t xml:space="preserve">A </w:t>
            </w:r>
            <w:proofErr w:type="gramStart"/>
            <w:r>
              <w:rPr>
                <w:rFonts w:asciiTheme="majorHAnsi" w:hAnsiTheme="majorHAnsi" w:cs="Times-Roman"/>
                <w:sz w:val="20"/>
                <w:szCs w:val="20"/>
                <w:lang w:val="en-US"/>
              </w:rPr>
              <w:t>regularly occurring</w:t>
            </w:r>
            <w:proofErr w:type="gramEnd"/>
            <w:r>
              <w:rPr>
                <w:rFonts w:asciiTheme="majorHAnsi" w:hAnsiTheme="majorHAnsi" w:cs="Times-Roman"/>
                <w:sz w:val="20"/>
                <w:szCs w:val="20"/>
                <w:lang w:val="en-US"/>
              </w:rPr>
              <w:t xml:space="preserve"> gathering of developers, stakeholders, and users</w:t>
            </w:r>
            <w:r>
              <w:rPr>
                <w:rFonts w:asciiTheme="majorHAnsi" w:hAnsiTheme="majorHAnsi" w:cs="Times-Roman"/>
                <w:color w:val="0432FF"/>
                <w:sz w:val="20"/>
                <w:szCs w:val="20"/>
                <w:vertAlign w:val="superscript"/>
                <w:lang w:val="en-US"/>
              </w:rPr>
              <w:t>84</w:t>
            </w:r>
          </w:p>
        </w:tc>
      </w:tr>
      <w:tr w:rsidR="004A32A2" w14:paraId="2AD90821"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67A12A4D"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4" w:space="0" w:color="auto"/>
              <w:right w:val="single" w:sz="4" w:space="0" w:color="auto"/>
            </w:tcBorders>
            <w:hideMark/>
          </w:tcPr>
          <w:p w14:paraId="2CE0BD44"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Focus Group</w:t>
            </w:r>
          </w:p>
        </w:tc>
        <w:tc>
          <w:tcPr>
            <w:tcW w:w="1370" w:type="dxa"/>
            <w:tcBorders>
              <w:top w:val="single" w:sz="4" w:space="0" w:color="auto"/>
              <w:left w:val="single" w:sz="4" w:space="0" w:color="auto"/>
              <w:bottom w:val="single" w:sz="4" w:space="0" w:color="auto"/>
              <w:right w:val="single" w:sz="4" w:space="0" w:color="auto"/>
            </w:tcBorders>
            <w:hideMark/>
          </w:tcPr>
          <w:p w14:paraId="44C9A5C1"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Actor</w:t>
            </w:r>
          </w:p>
        </w:tc>
        <w:tc>
          <w:tcPr>
            <w:tcW w:w="4272" w:type="dxa"/>
            <w:tcBorders>
              <w:top w:val="single" w:sz="4" w:space="0" w:color="auto"/>
              <w:left w:val="single" w:sz="4" w:space="0" w:color="auto"/>
              <w:bottom w:val="single" w:sz="4" w:space="0" w:color="auto"/>
              <w:right w:val="single" w:sz="4" w:space="0" w:color="auto"/>
            </w:tcBorders>
            <w:hideMark/>
          </w:tcPr>
          <w:p w14:paraId="06E8C4F8"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cs="Times-Roman"/>
                <w:sz w:val="20"/>
                <w:szCs w:val="20"/>
                <w:lang w:val="en-US"/>
              </w:rPr>
              <w:t>A targeted group of stakeholders and users that can provide in-depth opinions and insights on research questions, user needs, and product development</w:t>
            </w:r>
            <w:r>
              <w:rPr>
                <w:rFonts w:asciiTheme="majorHAnsi" w:hAnsiTheme="majorHAnsi" w:cs="Times-Roman"/>
                <w:color w:val="0432FF"/>
                <w:sz w:val="20"/>
                <w:szCs w:val="20"/>
                <w:vertAlign w:val="superscript"/>
                <w:lang w:val="en-US"/>
              </w:rPr>
              <w:t>11</w:t>
            </w:r>
          </w:p>
        </w:tc>
      </w:tr>
      <w:tr w:rsidR="004A32A2" w14:paraId="522542C6"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6319B001"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4" w:space="0" w:color="auto"/>
              <w:right w:val="single" w:sz="4" w:space="0" w:color="auto"/>
            </w:tcBorders>
            <w:hideMark/>
          </w:tcPr>
          <w:p w14:paraId="6B820448"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Workshop</w:t>
            </w:r>
          </w:p>
        </w:tc>
        <w:tc>
          <w:tcPr>
            <w:tcW w:w="1370" w:type="dxa"/>
            <w:tcBorders>
              <w:top w:val="single" w:sz="4" w:space="0" w:color="auto"/>
              <w:left w:val="single" w:sz="4" w:space="0" w:color="auto"/>
              <w:bottom w:val="single" w:sz="4" w:space="0" w:color="auto"/>
              <w:right w:val="single" w:sz="4" w:space="0" w:color="auto"/>
            </w:tcBorders>
            <w:hideMark/>
          </w:tcPr>
          <w:p w14:paraId="75EB29E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Activity</w:t>
            </w:r>
          </w:p>
        </w:tc>
        <w:tc>
          <w:tcPr>
            <w:tcW w:w="4272" w:type="dxa"/>
            <w:tcBorders>
              <w:top w:val="single" w:sz="4" w:space="0" w:color="auto"/>
              <w:left w:val="single" w:sz="4" w:space="0" w:color="auto"/>
              <w:bottom w:val="single" w:sz="4" w:space="0" w:color="auto"/>
              <w:right w:val="single" w:sz="4" w:space="0" w:color="auto"/>
            </w:tcBorders>
            <w:hideMark/>
          </w:tcPr>
          <w:p w14:paraId="59B3648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cs="Times-Roman"/>
                <w:sz w:val="20"/>
                <w:szCs w:val="20"/>
                <w:lang w:val="en-US"/>
              </w:rPr>
              <w:t>A targeted gathering of stakeholders and users that usually facilitates interviews and focus groups to gather insights</w:t>
            </w:r>
            <w:r>
              <w:rPr>
                <w:rFonts w:asciiTheme="majorHAnsi" w:hAnsiTheme="majorHAnsi" w:cs="Times-Roman"/>
                <w:color w:val="0432FF"/>
                <w:sz w:val="20"/>
                <w:szCs w:val="20"/>
                <w:vertAlign w:val="superscript"/>
                <w:lang w:val="en-US"/>
              </w:rPr>
              <w:t>84</w:t>
            </w:r>
          </w:p>
        </w:tc>
      </w:tr>
      <w:tr w:rsidR="004A32A2" w14:paraId="2999740E"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7A7F7FB1"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4" w:space="0" w:color="auto"/>
              <w:right w:val="single" w:sz="4" w:space="0" w:color="auto"/>
            </w:tcBorders>
            <w:hideMark/>
          </w:tcPr>
          <w:p w14:paraId="08529A5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Core Working Group</w:t>
            </w:r>
          </w:p>
        </w:tc>
        <w:tc>
          <w:tcPr>
            <w:tcW w:w="1370" w:type="dxa"/>
            <w:tcBorders>
              <w:top w:val="single" w:sz="4" w:space="0" w:color="auto"/>
              <w:left w:val="single" w:sz="4" w:space="0" w:color="auto"/>
              <w:bottom w:val="single" w:sz="4" w:space="0" w:color="auto"/>
              <w:right w:val="single" w:sz="4" w:space="0" w:color="auto"/>
            </w:tcBorders>
            <w:hideMark/>
          </w:tcPr>
          <w:p w14:paraId="63F8E5BB"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Actor</w:t>
            </w:r>
          </w:p>
        </w:tc>
        <w:tc>
          <w:tcPr>
            <w:tcW w:w="4272" w:type="dxa"/>
            <w:tcBorders>
              <w:top w:val="single" w:sz="4" w:space="0" w:color="auto"/>
              <w:left w:val="single" w:sz="4" w:space="0" w:color="auto"/>
              <w:bottom w:val="single" w:sz="4" w:space="0" w:color="auto"/>
              <w:right w:val="single" w:sz="4" w:space="0" w:color="auto"/>
            </w:tcBorders>
            <w:hideMark/>
          </w:tcPr>
          <w:p w14:paraId="5E92321D"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cs="Times-Roman"/>
                <w:sz w:val="20"/>
                <w:szCs w:val="20"/>
                <w:lang w:val="en-US"/>
              </w:rPr>
              <w:t>A core group of stakeholders at priority decision-making bodies that meet regularly with developers to voice user needs and provide feedback on the product</w:t>
            </w:r>
            <w:r>
              <w:rPr>
                <w:rFonts w:asciiTheme="majorHAnsi" w:hAnsiTheme="majorHAnsi" w:cs="Times-Roman"/>
                <w:color w:val="0432FF"/>
                <w:sz w:val="20"/>
                <w:szCs w:val="20"/>
                <w:vertAlign w:val="superscript"/>
                <w:lang w:val="en-US"/>
              </w:rPr>
              <w:t>7</w:t>
            </w:r>
          </w:p>
        </w:tc>
      </w:tr>
      <w:tr w:rsidR="004A32A2" w14:paraId="75EDFA34"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7F05F7AD"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4" w:space="0" w:color="auto"/>
              <w:right w:val="single" w:sz="4" w:space="0" w:color="auto"/>
            </w:tcBorders>
            <w:hideMark/>
          </w:tcPr>
          <w:p w14:paraId="22FBA9B3"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Local Task Team</w:t>
            </w:r>
          </w:p>
        </w:tc>
        <w:tc>
          <w:tcPr>
            <w:tcW w:w="1370" w:type="dxa"/>
            <w:tcBorders>
              <w:top w:val="single" w:sz="4" w:space="0" w:color="auto"/>
              <w:left w:val="single" w:sz="4" w:space="0" w:color="auto"/>
              <w:bottom w:val="single" w:sz="4" w:space="0" w:color="auto"/>
              <w:right w:val="single" w:sz="4" w:space="0" w:color="auto"/>
            </w:tcBorders>
            <w:hideMark/>
          </w:tcPr>
          <w:p w14:paraId="2BAA09A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Actor</w:t>
            </w:r>
          </w:p>
        </w:tc>
        <w:tc>
          <w:tcPr>
            <w:tcW w:w="4272" w:type="dxa"/>
            <w:tcBorders>
              <w:top w:val="single" w:sz="4" w:space="0" w:color="auto"/>
              <w:left w:val="single" w:sz="4" w:space="0" w:color="auto"/>
              <w:bottom w:val="single" w:sz="4" w:space="0" w:color="auto"/>
              <w:right w:val="single" w:sz="4" w:space="0" w:color="auto"/>
            </w:tcBorders>
            <w:hideMark/>
          </w:tcPr>
          <w:p w14:paraId="3540118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cs="Times-Roman"/>
                <w:sz w:val="20"/>
                <w:szCs w:val="20"/>
                <w:lang w:val="en-US"/>
              </w:rPr>
              <w:t xml:space="preserve">A localized team that is established </w:t>
            </w:r>
            <w:proofErr w:type="gramStart"/>
            <w:r>
              <w:rPr>
                <w:rFonts w:asciiTheme="majorHAnsi" w:hAnsiTheme="majorHAnsi" w:cs="Times-Roman"/>
                <w:sz w:val="20"/>
                <w:szCs w:val="20"/>
                <w:lang w:val="en-US"/>
              </w:rPr>
              <w:t>as a means to</w:t>
            </w:r>
            <w:proofErr w:type="gramEnd"/>
            <w:r>
              <w:rPr>
                <w:rFonts w:asciiTheme="majorHAnsi" w:hAnsiTheme="majorHAnsi" w:cs="Times-Roman"/>
                <w:sz w:val="20"/>
                <w:szCs w:val="20"/>
                <w:lang w:val="en-US"/>
              </w:rPr>
              <w:t xml:space="preserve"> organize engagements and ensure the smooth running of processes</w:t>
            </w:r>
            <w:r>
              <w:rPr>
                <w:rFonts w:asciiTheme="majorHAnsi" w:hAnsiTheme="majorHAnsi" w:cs="Times-Roman"/>
                <w:color w:val="0432FF"/>
                <w:sz w:val="20"/>
                <w:szCs w:val="20"/>
                <w:vertAlign w:val="superscript"/>
                <w:lang w:val="en-US"/>
              </w:rPr>
              <w:t>59</w:t>
            </w:r>
          </w:p>
        </w:tc>
      </w:tr>
      <w:tr w:rsidR="004A32A2" w14:paraId="2D43797B"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45A48EA2"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4" w:space="0" w:color="auto"/>
              <w:right w:val="single" w:sz="4" w:space="0" w:color="auto"/>
            </w:tcBorders>
            <w:hideMark/>
          </w:tcPr>
          <w:p w14:paraId="5500AC8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Breakout Group</w:t>
            </w:r>
          </w:p>
        </w:tc>
        <w:tc>
          <w:tcPr>
            <w:tcW w:w="1370" w:type="dxa"/>
            <w:tcBorders>
              <w:top w:val="single" w:sz="4" w:space="0" w:color="auto"/>
              <w:left w:val="single" w:sz="4" w:space="0" w:color="auto"/>
              <w:bottom w:val="single" w:sz="4" w:space="0" w:color="auto"/>
              <w:right w:val="single" w:sz="4" w:space="0" w:color="auto"/>
            </w:tcBorders>
            <w:hideMark/>
          </w:tcPr>
          <w:p w14:paraId="15E6879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Actor</w:t>
            </w:r>
          </w:p>
        </w:tc>
        <w:tc>
          <w:tcPr>
            <w:tcW w:w="4272" w:type="dxa"/>
            <w:tcBorders>
              <w:top w:val="single" w:sz="4" w:space="0" w:color="auto"/>
              <w:left w:val="single" w:sz="4" w:space="0" w:color="auto"/>
              <w:bottom w:val="single" w:sz="4" w:space="0" w:color="auto"/>
              <w:right w:val="single" w:sz="4" w:space="0" w:color="auto"/>
            </w:tcBorders>
            <w:hideMark/>
          </w:tcPr>
          <w:p w14:paraId="47EB69B7"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cs="Times-Roman"/>
                <w:sz w:val="20"/>
                <w:szCs w:val="20"/>
                <w:lang w:val="en-US"/>
              </w:rPr>
              <w:t>A smaller focused group of stakeholders and users that discuss more complex topics, challenges, and priorities</w:t>
            </w:r>
            <w:r>
              <w:rPr>
                <w:rFonts w:asciiTheme="majorHAnsi" w:hAnsiTheme="majorHAnsi" w:cs="Times-Roman"/>
                <w:color w:val="0432FF"/>
                <w:sz w:val="20"/>
                <w:szCs w:val="20"/>
                <w:vertAlign w:val="superscript"/>
                <w:lang w:val="en-US"/>
              </w:rPr>
              <w:t>7</w:t>
            </w:r>
          </w:p>
        </w:tc>
      </w:tr>
      <w:tr w:rsidR="004A32A2" w14:paraId="7ED1ED3C"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10984206"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12" w:space="0" w:color="auto"/>
              <w:right w:val="single" w:sz="4" w:space="0" w:color="auto"/>
            </w:tcBorders>
            <w:hideMark/>
          </w:tcPr>
          <w:p w14:paraId="3C298798"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Capacity Development</w:t>
            </w:r>
          </w:p>
        </w:tc>
        <w:tc>
          <w:tcPr>
            <w:tcW w:w="1370" w:type="dxa"/>
            <w:tcBorders>
              <w:top w:val="single" w:sz="4" w:space="0" w:color="auto"/>
              <w:left w:val="single" w:sz="4" w:space="0" w:color="auto"/>
              <w:bottom w:val="single" w:sz="12" w:space="0" w:color="auto"/>
              <w:right w:val="single" w:sz="4" w:space="0" w:color="auto"/>
            </w:tcBorders>
            <w:hideMark/>
          </w:tcPr>
          <w:p w14:paraId="20439A87"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Activity</w:t>
            </w:r>
          </w:p>
        </w:tc>
        <w:tc>
          <w:tcPr>
            <w:tcW w:w="4272" w:type="dxa"/>
            <w:tcBorders>
              <w:top w:val="single" w:sz="4" w:space="0" w:color="auto"/>
              <w:left w:val="single" w:sz="4" w:space="0" w:color="auto"/>
              <w:bottom w:val="single" w:sz="12" w:space="0" w:color="auto"/>
              <w:right w:val="single" w:sz="4" w:space="0" w:color="auto"/>
            </w:tcBorders>
            <w:hideMark/>
          </w:tcPr>
          <w:p w14:paraId="5C8BEB6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cs="Times-Roman"/>
                <w:sz w:val="20"/>
                <w:szCs w:val="20"/>
                <w:lang w:val="en-US"/>
              </w:rPr>
              <w:t>A training program for stakeholders and users to get a better understanding of climate, science, and other technical components related to the product</w:t>
            </w:r>
            <w:r>
              <w:rPr>
                <w:rFonts w:asciiTheme="majorHAnsi" w:hAnsiTheme="majorHAnsi" w:cs="Times-Roman"/>
                <w:color w:val="0432FF"/>
                <w:sz w:val="20"/>
                <w:szCs w:val="20"/>
                <w:vertAlign w:val="superscript"/>
                <w:lang w:val="en-US"/>
              </w:rPr>
              <w:t>59</w:t>
            </w:r>
          </w:p>
        </w:tc>
      </w:tr>
      <w:tr w:rsidR="004A32A2" w14:paraId="3A5A7C0A" w14:textId="77777777">
        <w:tc>
          <w:tcPr>
            <w:tcW w:w="1319" w:type="dxa"/>
            <w:vMerge w:val="restart"/>
            <w:tcBorders>
              <w:top w:val="single" w:sz="12" w:space="0" w:color="auto"/>
              <w:left w:val="single" w:sz="4" w:space="0" w:color="auto"/>
              <w:bottom w:val="single" w:sz="12" w:space="0" w:color="auto"/>
              <w:right w:val="single" w:sz="4" w:space="0" w:color="auto"/>
            </w:tcBorders>
            <w:hideMark/>
          </w:tcPr>
          <w:p w14:paraId="56870072" w14:textId="77777777" w:rsidR="004A32A2" w:rsidRDefault="004A32A2">
            <w:pPr>
              <w:spacing w:after="0" w:line="276" w:lineRule="auto"/>
              <w:ind w:firstLine="0"/>
              <w:rPr>
                <w:rFonts w:asciiTheme="majorHAnsi" w:hAnsiTheme="majorHAnsi"/>
                <w:bCs/>
                <w:sz w:val="20"/>
                <w:szCs w:val="20"/>
              </w:rPr>
            </w:pPr>
            <w:r>
              <w:rPr>
                <w:rFonts w:asciiTheme="majorHAnsi" w:hAnsiTheme="majorHAnsi"/>
                <w:bCs/>
                <w:sz w:val="20"/>
                <w:szCs w:val="20"/>
              </w:rPr>
              <w:t>Identify Actors &amp; Build Partnerships</w:t>
            </w:r>
          </w:p>
        </w:tc>
        <w:tc>
          <w:tcPr>
            <w:tcW w:w="2055" w:type="dxa"/>
            <w:tcBorders>
              <w:top w:val="single" w:sz="12" w:space="0" w:color="auto"/>
              <w:left w:val="single" w:sz="4" w:space="0" w:color="auto"/>
              <w:bottom w:val="single" w:sz="4" w:space="0" w:color="auto"/>
              <w:right w:val="single" w:sz="4" w:space="0" w:color="auto"/>
            </w:tcBorders>
            <w:hideMark/>
          </w:tcPr>
          <w:p w14:paraId="1428F3C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Stakeholder Interaction Manual (or Memorandum of Understanding)</w:t>
            </w:r>
          </w:p>
        </w:tc>
        <w:tc>
          <w:tcPr>
            <w:tcW w:w="1370" w:type="dxa"/>
            <w:tcBorders>
              <w:top w:val="single" w:sz="12" w:space="0" w:color="auto"/>
              <w:left w:val="single" w:sz="4" w:space="0" w:color="auto"/>
              <w:bottom w:val="single" w:sz="4" w:space="0" w:color="auto"/>
              <w:right w:val="single" w:sz="4" w:space="0" w:color="auto"/>
            </w:tcBorders>
            <w:hideMark/>
          </w:tcPr>
          <w:p w14:paraId="021BDA88"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Artifact</w:t>
            </w:r>
          </w:p>
        </w:tc>
        <w:tc>
          <w:tcPr>
            <w:tcW w:w="4272" w:type="dxa"/>
            <w:tcBorders>
              <w:top w:val="single" w:sz="12" w:space="0" w:color="auto"/>
              <w:left w:val="single" w:sz="4" w:space="0" w:color="auto"/>
              <w:bottom w:val="single" w:sz="4" w:space="0" w:color="auto"/>
              <w:right w:val="single" w:sz="4" w:space="0" w:color="auto"/>
            </w:tcBorders>
            <w:hideMark/>
          </w:tcPr>
          <w:p w14:paraId="019B355A"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cs="Times-Roman"/>
                <w:sz w:val="20"/>
                <w:szCs w:val="20"/>
                <w:lang w:val="en-US"/>
              </w:rPr>
              <w:t xml:space="preserve">A written document that outlines the goals, priorities, responsibilities, and interaction processes of developers and users </w:t>
            </w:r>
            <w:proofErr w:type="gramStart"/>
            <w:r>
              <w:rPr>
                <w:rFonts w:asciiTheme="majorHAnsi" w:hAnsiTheme="majorHAnsi" w:cs="Times-Roman"/>
                <w:sz w:val="20"/>
                <w:szCs w:val="20"/>
                <w:lang w:val="en-US"/>
              </w:rPr>
              <w:t>in order to</w:t>
            </w:r>
            <w:proofErr w:type="gramEnd"/>
            <w:r>
              <w:rPr>
                <w:rFonts w:asciiTheme="majorHAnsi" w:hAnsiTheme="majorHAnsi" w:cs="Times-Roman"/>
                <w:sz w:val="20"/>
                <w:szCs w:val="20"/>
                <w:lang w:val="en-US"/>
              </w:rPr>
              <w:t xml:space="preserve"> formalize collaboration</w:t>
            </w:r>
            <w:r>
              <w:rPr>
                <w:rFonts w:asciiTheme="majorHAnsi" w:hAnsiTheme="majorHAnsi" w:cs="Times-Roman"/>
                <w:color w:val="0432FF"/>
                <w:sz w:val="20"/>
                <w:szCs w:val="20"/>
                <w:vertAlign w:val="superscript"/>
                <w:lang w:val="en-US"/>
              </w:rPr>
              <w:t>5, 36</w:t>
            </w:r>
          </w:p>
        </w:tc>
      </w:tr>
      <w:tr w:rsidR="004A32A2" w14:paraId="7944EAEE"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3C555AE7"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12" w:space="0" w:color="auto"/>
              <w:right w:val="single" w:sz="4" w:space="0" w:color="auto"/>
            </w:tcBorders>
            <w:hideMark/>
          </w:tcPr>
          <w:p w14:paraId="318D1D65"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Knowledge Broker</w:t>
            </w:r>
          </w:p>
        </w:tc>
        <w:tc>
          <w:tcPr>
            <w:tcW w:w="1370" w:type="dxa"/>
            <w:tcBorders>
              <w:top w:val="single" w:sz="4" w:space="0" w:color="auto"/>
              <w:left w:val="single" w:sz="4" w:space="0" w:color="auto"/>
              <w:bottom w:val="single" w:sz="12" w:space="0" w:color="auto"/>
              <w:right w:val="single" w:sz="4" w:space="0" w:color="auto"/>
            </w:tcBorders>
            <w:hideMark/>
          </w:tcPr>
          <w:p w14:paraId="0DAD7E7E"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Actor</w:t>
            </w:r>
          </w:p>
        </w:tc>
        <w:tc>
          <w:tcPr>
            <w:tcW w:w="4272" w:type="dxa"/>
            <w:tcBorders>
              <w:top w:val="single" w:sz="4" w:space="0" w:color="auto"/>
              <w:left w:val="single" w:sz="4" w:space="0" w:color="auto"/>
              <w:bottom w:val="single" w:sz="12" w:space="0" w:color="auto"/>
              <w:right w:val="single" w:sz="4" w:space="0" w:color="auto"/>
            </w:tcBorders>
            <w:hideMark/>
          </w:tcPr>
          <w:p w14:paraId="53DA503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cs="Times-Roman"/>
                <w:sz w:val="20"/>
                <w:szCs w:val="20"/>
                <w:lang w:val="en-US"/>
              </w:rPr>
              <w:t>An individual or set of individuals who can facilitate communication between developers and stakeholders as they have both a scientific and technical understanding of the product along with an understanding of user needs</w:t>
            </w:r>
            <w:r>
              <w:rPr>
                <w:rFonts w:asciiTheme="majorHAnsi" w:hAnsiTheme="majorHAnsi" w:cs="Times-Roman"/>
                <w:color w:val="0432FF"/>
                <w:sz w:val="20"/>
                <w:szCs w:val="20"/>
                <w:vertAlign w:val="superscript"/>
                <w:lang w:val="en-US"/>
              </w:rPr>
              <w:t>85</w:t>
            </w:r>
          </w:p>
        </w:tc>
      </w:tr>
      <w:tr w:rsidR="004A32A2" w14:paraId="08383B33" w14:textId="77777777">
        <w:tc>
          <w:tcPr>
            <w:tcW w:w="1319" w:type="dxa"/>
            <w:vMerge w:val="restart"/>
            <w:tcBorders>
              <w:top w:val="single" w:sz="12" w:space="0" w:color="auto"/>
              <w:left w:val="single" w:sz="4" w:space="0" w:color="auto"/>
              <w:bottom w:val="single" w:sz="12" w:space="0" w:color="auto"/>
              <w:right w:val="single" w:sz="4" w:space="0" w:color="auto"/>
            </w:tcBorders>
            <w:hideMark/>
          </w:tcPr>
          <w:p w14:paraId="63F5A432" w14:textId="77777777" w:rsidR="004A32A2" w:rsidRDefault="004A32A2">
            <w:pPr>
              <w:spacing w:after="0" w:line="276" w:lineRule="auto"/>
              <w:ind w:firstLine="0"/>
              <w:rPr>
                <w:rFonts w:asciiTheme="majorHAnsi" w:hAnsiTheme="majorHAnsi"/>
                <w:bCs/>
                <w:sz w:val="20"/>
                <w:szCs w:val="20"/>
              </w:rPr>
            </w:pPr>
            <w:r>
              <w:rPr>
                <w:rFonts w:asciiTheme="majorHAnsi" w:hAnsiTheme="majorHAnsi"/>
                <w:bCs/>
                <w:sz w:val="20"/>
                <w:szCs w:val="20"/>
              </w:rPr>
              <w:t>Co-Explore Need</w:t>
            </w:r>
          </w:p>
        </w:tc>
        <w:tc>
          <w:tcPr>
            <w:tcW w:w="2055" w:type="dxa"/>
            <w:tcBorders>
              <w:top w:val="single" w:sz="12" w:space="0" w:color="auto"/>
              <w:left w:val="single" w:sz="4" w:space="0" w:color="auto"/>
              <w:bottom w:val="single" w:sz="4" w:space="0" w:color="auto"/>
              <w:right w:val="single" w:sz="4" w:space="0" w:color="auto"/>
            </w:tcBorders>
            <w:hideMark/>
          </w:tcPr>
          <w:p w14:paraId="61A8F63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Participant Observation</w:t>
            </w:r>
          </w:p>
        </w:tc>
        <w:tc>
          <w:tcPr>
            <w:tcW w:w="1370" w:type="dxa"/>
            <w:tcBorders>
              <w:top w:val="single" w:sz="12" w:space="0" w:color="auto"/>
              <w:left w:val="single" w:sz="4" w:space="0" w:color="auto"/>
              <w:bottom w:val="single" w:sz="4" w:space="0" w:color="auto"/>
              <w:right w:val="single" w:sz="4" w:space="0" w:color="auto"/>
            </w:tcBorders>
            <w:hideMark/>
          </w:tcPr>
          <w:p w14:paraId="29F9A27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272" w:type="dxa"/>
            <w:tcBorders>
              <w:top w:val="single" w:sz="12" w:space="0" w:color="auto"/>
              <w:left w:val="single" w:sz="4" w:space="0" w:color="auto"/>
              <w:bottom w:val="single" w:sz="4" w:space="0" w:color="auto"/>
              <w:right w:val="single" w:sz="4" w:space="0" w:color="auto"/>
            </w:tcBorders>
            <w:hideMark/>
          </w:tcPr>
          <w:p w14:paraId="68D9D7C9"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An observational study where researchers study stakeholder and user activities or interactions with the product</w:t>
            </w:r>
            <w:r>
              <w:rPr>
                <w:rFonts w:asciiTheme="majorHAnsi" w:hAnsiTheme="majorHAnsi"/>
                <w:color w:val="0432FF"/>
                <w:sz w:val="20"/>
                <w:szCs w:val="20"/>
                <w:vertAlign w:val="superscript"/>
              </w:rPr>
              <w:t>83</w:t>
            </w:r>
          </w:p>
        </w:tc>
      </w:tr>
      <w:tr w:rsidR="004A32A2" w14:paraId="59AAD135"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043CCB2"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4" w:space="0" w:color="auto"/>
              <w:right w:val="single" w:sz="4" w:space="0" w:color="auto"/>
            </w:tcBorders>
            <w:hideMark/>
          </w:tcPr>
          <w:p w14:paraId="7410B93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Mental Map</w:t>
            </w:r>
          </w:p>
        </w:tc>
        <w:tc>
          <w:tcPr>
            <w:tcW w:w="1370" w:type="dxa"/>
            <w:tcBorders>
              <w:top w:val="single" w:sz="4" w:space="0" w:color="auto"/>
              <w:left w:val="single" w:sz="4" w:space="0" w:color="auto"/>
              <w:bottom w:val="single" w:sz="4" w:space="0" w:color="auto"/>
              <w:right w:val="single" w:sz="4" w:space="0" w:color="auto"/>
            </w:tcBorders>
            <w:hideMark/>
          </w:tcPr>
          <w:p w14:paraId="409DF98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272" w:type="dxa"/>
            <w:tcBorders>
              <w:top w:val="single" w:sz="4" w:space="0" w:color="auto"/>
              <w:left w:val="single" w:sz="4" w:space="0" w:color="auto"/>
              <w:bottom w:val="single" w:sz="4" w:space="0" w:color="auto"/>
              <w:right w:val="single" w:sz="4" w:space="0" w:color="auto"/>
            </w:tcBorders>
            <w:hideMark/>
          </w:tcPr>
          <w:p w14:paraId="077975DA"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qualitative model that collects descriptive observational data, orders the data, and helps visualize relationships between the data</w:t>
            </w:r>
            <w:r>
              <w:rPr>
                <w:rFonts w:asciiTheme="majorHAnsi" w:hAnsiTheme="majorHAnsi"/>
                <w:color w:val="0432FF"/>
                <w:sz w:val="20"/>
                <w:szCs w:val="20"/>
                <w:vertAlign w:val="superscript"/>
              </w:rPr>
              <w:t>11</w:t>
            </w:r>
          </w:p>
        </w:tc>
      </w:tr>
      <w:tr w:rsidR="004A32A2" w14:paraId="7AA1C62A"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928D41F"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12" w:space="0" w:color="auto"/>
              <w:right w:val="single" w:sz="4" w:space="0" w:color="auto"/>
            </w:tcBorders>
            <w:hideMark/>
          </w:tcPr>
          <w:p w14:paraId="7E5E520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Newsletter (or Digest)</w:t>
            </w:r>
          </w:p>
        </w:tc>
        <w:tc>
          <w:tcPr>
            <w:tcW w:w="1370" w:type="dxa"/>
            <w:tcBorders>
              <w:top w:val="single" w:sz="4" w:space="0" w:color="auto"/>
              <w:left w:val="single" w:sz="4" w:space="0" w:color="auto"/>
              <w:bottom w:val="single" w:sz="12" w:space="0" w:color="auto"/>
              <w:right w:val="single" w:sz="4" w:space="0" w:color="auto"/>
            </w:tcBorders>
            <w:hideMark/>
          </w:tcPr>
          <w:p w14:paraId="037D82D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272" w:type="dxa"/>
            <w:tcBorders>
              <w:top w:val="single" w:sz="4" w:space="0" w:color="auto"/>
              <w:left w:val="single" w:sz="4" w:space="0" w:color="auto"/>
              <w:bottom w:val="single" w:sz="12" w:space="0" w:color="auto"/>
              <w:right w:val="single" w:sz="4" w:space="0" w:color="auto"/>
            </w:tcBorders>
            <w:hideMark/>
          </w:tcPr>
          <w:p w14:paraId="0110BFF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written communication sent out in consistent intervals (for example, quarterly) that informs developers and users of the current product status</w:t>
            </w:r>
            <w:r>
              <w:rPr>
                <w:rFonts w:asciiTheme="majorHAnsi" w:hAnsiTheme="majorHAnsi"/>
                <w:color w:val="0432FF"/>
                <w:sz w:val="20"/>
                <w:szCs w:val="20"/>
                <w:vertAlign w:val="superscript"/>
              </w:rPr>
              <w:t>59</w:t>
            </w:r>
          </w:p>
        </w:tc>
      </w:tr>
      <w:tr w:rsidR="004A32A2" w14:paraId="04BC81C9" w14:textId="77777777">
        <w:tc>
          <w:tcPr>
            <w:tcW w:w="1319" w:type="dxa"/>
            <w:vMerge w:val="restart"/>
            <w:tcBorders>
              <w:top w:val="single" w:sz="12" w:space="0" w:color="auto"/>
              <w:left w:val="single" w:sz="4" w:space="0" w:color="auto"/>
              <w:bottom w:val="single" w:sz="12" w:space="0" w:color="auto"/>
              <w:right w:val="single" w:sz="4" w:space="0" w:color="auto"/>
            </w:tcBorders>
            <w:hideMark/>
          </w:tcPr>
          <w:p w14:paraId="2B3C2C20" w14:textId="77777777" w:rsidR="004A32A2" w:rsidRDefault="004A32A2">
            <w:pPr>
              <w:spacing w:after="0" w:line="276" w:lineRule="auto"/>
              <w:ind w:firstLine="0"/>
              <w:rPr>
                <w:rFonts w:asciiTheme="majorHAnsi" w:hAnsiTheme="majorHAnsi"/>
                <w:bCs/>
                <w:sz w:val="20"/>
                <w:szCs w:val="20"/>
              </w:rPr>
            </w:pPr>
            <w:r>
              <w:rPr>
                <w:rFonts w:asciiTheme="majorHAnsi" w:hAnsiTheme="majorHAnsi"/>
                <w:bCs/>
                <w:sz w:val="20"/>
                <w:szCs w:val="20"/>
              </w:rPr>
              <w:t>Co-Develop Solution</w:t>
            </w:r>
          </w:p>
        </w:tc>
        <w:tc>
          <w:tcPr>
            <w:tcW w:w="2055" w:type="dxa"/>
            <w:tcBorders>
              <w:top w:val="single" w:sz="12" w:space="0" w:color="auto"/>
              <w:left w:val="single" w:sz="4" w:space="0" w:color="auto"/>
              <w:bottom w:val="single" w:sz="4" w:space="0" w:color="auto"/>
              <w:right w:val="single" w:sz="4" w:space="0" w:color="auto"/>
            </w:tcBorders>
            <w:hideMark/>
          </w:tcPr>
          <w:p w14:paraId="3E75982C"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Specifications Document</w:t>
            </w:r>
          </w:p>
        </w:tc>
        <w:tc>
          <w:tcPr>
            <w:tcW w:w="1370" w:type="dxa"/>
            <w:tcBorders>
              <w:top w:val="single" w:sz="12" w:space="0" w:color="auto"/>
              <w:left w:val="single" w:sz="4" w:space="0" w:color="auto"/>
              <w:bottom w:val="single" w:sz="4" w:space="0" w:color="auto"/>
              <w:right w:val="single" w:sz="4" w:space="0" w:color="auto"/>
            </w:tcBorders>
            <w:hideMark/>
          </w:tcPr>
          <w:p w14:paraId="405BB3F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272" w:type="dxa"/>
            <w:tcBorders>
              <w:top w:val="single" w:sz="12" w:space="0" w:color="auto"/>
              <w:left w:val="single" w:sz="4" w:space="0" w:color="auto"/>
              <w:bottom w:val="single" w:sz="4" w:space="0" w:color="auto"/>
              <w:right w:val="single" w:sz="4" w:space="0" w:color="auto"/>
            </w:tcBorders>
            <w:hideMark/>
          </w:tcPr>
          <w:p w14:paraId="1912E3DE"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central document that outlines and describes the functional specifications of the product being developed</w:t>
            </w:r>
            <w:r>
              <w:rPr>
                <w:rFonts w:asciiTheme="majorHAnsi" w:hAnsiTheme="majorHAnsi"/>
                <w:color w:val="0432FF"/>
                <w:sz w:val="20"/>
                <w:szCs w:val="20"/>
                <w:vertAlign w:val="superscript"/>
              </w:rPr>
              <w:t>16</w:t>
            </w:r>
          </w:p>
        </w:tc>
      </w:tr>
      <w:tr w:rsidR="004A32A2" w14:paraId="34A44948"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4ECBB018"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4" w:space="0" w:color="auto"/>
              <w:right w:val="single" w:sz="4" w:space="0" w:color="auto"/>
            </w:tcBorders>
            <w:hideMark/>
          </w:tcPr>
          <w:p w14:paraId="772F6BC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Sprint</w:t>
            </w:r>
          </w:p>
        </w:tc>
        <w:tc>
          <w:tcPr>
            <w:tcW w:w="1370" w:type="dxa"/>
            <w:tcBorders>
              <w:top w:val="single" w:sz="4" w:space="0" w:color="auto"/>
              <w:left w:val="single" w:sz="4" w:space="0" w:color="auto"/>
              <w:bottom w:val="single" w:sz="4" w:space="0" w:color="auto"/>
              <w:right w:val="single" w:sz="4" w:space="0" w:color="auto"/>
            </w:tcBorders>
            <w:hideMark/>
          </w:tcPr>
          <w:p w14:paraId="714669B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272" w:type="dxa"/>
            <w:tcBorders>
              <w:top w:val="single" w:sz="4" w:space="0" w:color="auto"/>
              <w:left w:val="single" w:sz="4" w:space="0" w:color="auto"/>
              <w:bottom w:val="single" w:sz="4" w:space="0" w:color="auto"/>
              <w:right w:val="single" w:sz="4" w:space="0" w:color="auto"/>
            </w:tcBorders>
            <w:hideMark/>
          </w:tcPr>
          <w:p w14:paraId="355262C7"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 xml:space="preserve">A focused </w:t>
            </w:r>
            <w:proofErr w:type="gramStart"/>
            <w:r>
              <w:rPr>
                <w:rFonts w:asciiTheme="majorHAnsi" w:hAnsiTheme="majorHAnsi"/>
                <w:sz w:val="20"/>
                <w:szCs w:val="20"/>
              </w:rPr>
              <w:t>period of time</w:t>
            </w:r>
            <w:proofErr w:type="gramEnd"/>
            <w:r>
              <w:rPr>
                <w:rFonts w:asciiTheme="majorHAnsi" w:hAnsiTheme="majorHAnsi"/>
                <w:sz w:val="20"/>
                <w:szCs w:val="20"/>
              </w:rPr>
              <w:t xml:space="preserve"> where developers, researchers, and other experts are brought together to achieve certain time-bounded goals related to product development</w:t>
            </w:r>
            <w:r>
              <w:rPr>
                <w:rFonts w:asciiTheme="majorHAnsi" w:hAnsiTheme="majorHAnsi"/>
                <w:color w:val="0432FF"/>
                <w:sz w:val="20"/>
                <w:szCs w:val="20"/>
                <w:vertAlign w:val="superscript"/>
              </w:rPr>
              <w:t>16</w:t>
            </w:r>
          </w:p>
        </w:tc>
      </w:tr>
      <w:tr w:rsidR="004A32A2" w14:paraId="6AD4D48D"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1D9C1298"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4" w:space="0" w:color="auto"/>
              <w:right w:val="single" w:sz="4" w:space="0" w:color="auto"/>
            </w:tcBorders>
            <w:hideMark/>
          </w:tcPr>
          <w:p w14:paraId="078216FB"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Feedback Voting</w:t>
            </w:r>
          </w:p>
        </w:tc>
        <w:tc>
          <w:tcPr>
            <w:tcW w:w="1370" w:type="dxa"/>
            <w:tcBorders>
              <w:top w:val="single" w:sz="4" w:space="0" w:color="auto"/>
              <w:left w:val="single" w:sz="4" w:space="0" w:color="auto"/>
              <w:bottom w:val="single" w:sz="4" w:space="0" w:color="auto"/>
              <w:right w:val="single" w:sz="4" w:space="0" w:color="auto"/>
            </w:tcBorders>
            <w:hideMark/>
          </w:tcPr>
          <w:p w14:paraId="24B852C8"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272" w:type="dxa"/>
            <w:tcBorders>
              <w:top w:val="single" w:sz="4" w:space="0" w:color="auto"/>
              <w:left w:val="single" w:sz="4" w:space="0" w:color="auto"/>
              <w:bottom w:val="single" w:sz="4" w:space="0" w:color="auto"/>
              <w:right w:val="single" w:sz="4" w:space="0" w:color="auto"/>
            </w:tcBorders>
            <w:hideMark/>
          </w:tcPr>
          <w:p w14:paraId="4E4C93F4"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survey that gathers votes along with feedback from stakeholders and users regarding the product and its current form, function, and features</w:t>
            </w:r>
            <w:r>
              <w:rPr>
                <w:rFonts w:asciiTheme="majorHAnsi" w:hAnsiTheme="majorHAnsi"/>
                <w:color w:val="0432FF"/>
                <w:sz w:val="20"/>
                <w:szCs w:val="20"/>
                <w:vertAlign w:val="superscript"/>
              </w:rPr>
              <w:t>7</w:t>
            </w:r>
          </w:p>
        </w:tc>
      </w:tr>
      <w:tr w:rsidR="004A32A2" w14:paraId="49F1B78A"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1EB080F"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12" w:space="0" w:color="auto"/>
              <w:right w:val="single" w:sz="4" w:space="0" w:color="auto"/>
            </w:tcBorders>
            <w:hideMark/>
          </w:tcPr>
          <w:p w14:paraId="30A0CB0B"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Prototype</w:t>
            </w:r>
          </w:p>
        </w:tc>
        <w:tc>
          <w:tcPr>
            <w:tcW w:w="1370" w:type="dxa"/>
            <w:tcBorders>
              <w:top w:val="single" w:sz="4" w:space="0" w:color="auto"/>
              <w:left w:val="single" w:sz="4" w:space="0" w:color="auto"/>
              <w:bottom w:val="single" w:sz="12" w:space="0" w:color="auto"/>
              <w:right w:val="single" w:sz="4" w:space="0" w:color="auto"/>
            </w:tcBorders>
            <w:hideMark/>
          </w:tcPr>
          <w:p w14:paraId="239A233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272" w:type="dxa"/>
            <w:tcBorders>
              <w:top w:val="single" w:sz="4" w:space="0" w:color="auto"/>
              <w:left w:val="single" w:sz="4" w:space="0" w:color="auto"/>
              <w:bottom w:val="single" w:sz="12" w:space="0" w:color="auto"/>
              <w:right w:val="single" w:sz="4" w:space="0" w:color="auto"/>
            </w:tcBorders>
            <w:hideMark/>
          </w:tcPr>
          <w:p w14:paraId="6B44D023"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An unfinished and testable version of the product which can be used to gather feedback and undergo trials with stakeholders and users</w:t>
            </w:r>
            <w:r>
              <w:rPr>
                <w:rFonts w:asciiTheme="majorHAnsi" w:hAnsiTheme="majorHAnsi"/>
                <w:color w:val="0432FF"/>
                <w:sz w:val="20"/>
                <w:szCs w:val="20"/>
                <w:vertAlign w:val="superscript"/>
              </w:rPr>
              <w:t>3, 42</w:t>
            </w:r>
          </w:p>
        </w:tc>
      </w:tr>
      <w:tr w:rsidR="004A32A2" w14:paraId="7EE944FD" w14:textId="77777777">
        <w:tc>
          <w:tcPr>
            <w:tcW w:w="1319" w:type="dxa"/>
            <w:vMerge w:val="restart"/>
            <w:tcBorders>
              <w:top w:val="single" w:sz="12" w:space="0" w:color="auto"/>
              <w:left w:val="single" w:sz="4" w:space="0" w:color="auto"/>
              <w:bottom w:val="single" w:sz="12" w:space="0" w:color="auto"/>
              <w:right w:val="single" w:sz="4" w:space="0" w:color="auto"/>
            </w:tcBorders>
            <w:hideMark/>
          </w:tcPr>
          <w:p w14:paraId="591B0777" w14:textId="77777777" w:rsidR="004A32A2" w:rsidRDefault="004A32A2">
            <w:pPr>
              <w:spacing w:after="0" w:line="276" w:lineRule="auto"/>
              <w:ind w:firstLine="0"/>
              <w:rPr>
                <w:rFonts w:asciiTheme="majorHAnsi" w:hAnsiTheme="majorHAnsi"/>
                <w:bCs/>
                <w:sz w:val="20"/>
                <w:szCs w:val="20"/>
              </w:rPr>
            </w:pPr>
            <w:r>
              <w:rPr>
                <w:rFonts w:asciiTheme="majorHAnsi" w:hAnsiTheme="majorHAnsi"/>
                <w:bCs/>
                <w:sz w:val="20"/>
                <w:szCs w:val="20"/>
              </w:rPr>
              <w:t>Co-Deliver Solution</w:t>
            </w:r>
          </w:p>
        </w:tc>
        <w:tc>
          <w:tcPr>
            <w:tcW w:w="2055" w:type="dxa"/>
            <w:tcBorders>
              <w:top w:val="single" w:sz="12" w:space="0" w:color="auto"/>
              <w:left w:val="single" w:sz="4" w:space="0" w:color="auto"/>
              <w:bottom w:val="single" w:sz="4" w:space="0" w:color="auto"/>
              <w:right w:val="single" w:sz="4" w:space="0" w:color="auto"/>
            </w:tcBorders>
            <w:hideMark/>
          </w:tcPr>
          <w:p w14:paraId="7CFA545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Training Session</w:t>
            </w:r>
          </w:p>
        </w:tc>
        <w:tc>
          <w:tcPr>
            <w:tcW w:w="1370" w:type="dxa"/>
            <w:tcBorders>
              <w:top w:val="single" w:sz="12" w:space="0" w:color="auto"/>
              <w:left w:val="single" w:sz="4" w:space="0" w:color="auto"/>
              <w:bottom w:val="single" w:sz="4" w:space="0" w:color="auto"/>
              <w:right w:val="single" w:sz="4" w:space="0" w:color="auto"/>
            </w:tcBorders>
            <w:hideMark/>
          </w:tcPr>
          <w:p w14:paraId="2A8388D2"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272" w:type="dxa"/>
            <w:tcBorders>
              <w:top w:val="single" w:sz="12" w:space="0" w:color="auto"/>
              <w:left w:val="single" w:sz="4" w:space="0" w:color="auto"/>
              <w:bottom w:val="single" w:sz="4" w:space="0" w:color="auto"/>
              <w:right w:val="single" w:sz="4" w:space="0" w:color="auto"/>
            </w:tcBorders>
            <w:hideMark/>
          </w:tcPr>
          <w:p w14:paraId="13249EB5"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set of demonstrations, workshops, or trainings on the product, how to use it, and how it works</w:t>
            </w:r>
            <w:r>
              <w:rPr>
                <w:rFonts w:asciiTheme="majorHAnsi" w:hAnsiTheme="majorHAnsi"/>
                <w:color w:val="0432FF"/>
                <w:sz w:val="20"/>
                <w:szCs w:val="20"/>
                <w:vertAlign w:val="superscript"/>
              </w:rPr>
              <w:t>64, 86</w:t>
            </w:r>
          </w:p>
        </w:tc>
      </w:tr>
      <w:tr w:rsidR="004A32A2" w14:paraId="6C6A9D36"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608A9CD"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4" w:space="0" w:color="auto"/>
              <w:right w:val="single" w:sz="4" w:space="0" w:color="auto"/>
            </w:tcBorders>
            <w:hideMark/>
          </w:tcPr>
          <w:p w14:paraId="2566FC1C"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User Guide</w:t>
            </w:r>
          </w:p>
        </w:tc>
        <w:tc>
          <w:tcPr>
            <w:tcW w:w="1370" w:type="dxa"/>
            <w:tcBorders>
              <w:top w:val="single" w:sz="4" w:space="0" w:color="auto"/>
              <w:left w:val="single" w:sz="4" w:space="0" w:color="auto"/>
              <w:bottom w:val="single" w:sz="4" w:space="0" w:color="auto"/>
              <w:right w:val="single" w:sz="4" w:space="0" w:color="auto"/>
            </w:tcBorders>
            <w:hideMark/>
          </w:tcPr>
          <w:p w14:paraId="7AE2817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272" w:type="dxa"/>
            <w:tcBorders>
              <w:top w:val="single" w:sz="4" w:space="0" w:color="auto"/>
              <w:left w:val="single" w:sz="4" w:space="0" w:color="auto"/>
              <w:bottom w:val="single" w:sz="4" w:space="0" w:color="auto"/>
              <w:right w:val="single" w:sz="4" w:space="0" w:color="auto"/>
            </w:tcBorders>
            <w:hideMark/>
          </w:tcPr>
          <w:p w14:paraId="5E8D43B0"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document that outlines functionalities and features of the product along with instructions on how to operate it</w:t>
            </w:r>
            <w:r>
              <w:rPr>
                <w:rFonts w:asciiTheme="majorHAnsi" w:hAnsiTheme="majorHAnsi"/>
                <w:color w:val="0432FF"/>
                <w:sz w:val="20"/>
                <w:szCs w:val="20"/>
                <w:vertAlign w:val="superscript"/>
              </w:rPr>
              <w:t>61</w:t>
            </w:r>
          </w:p>
        </w:tc>
      </w:tr>
      <w:tr w:rsidR="004A32A2" w14:paraId="5EE783B4"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11E1E7F"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12" w:space="0" w:color="auto"/>
              <w:right w:val="single" w:sz="4" w:space="0" w:color="auto"/>
            </w:tcBorders>
            <w:hideMark/>
          </w:tcPr>
          <w:p w14:paraId="0B84CDF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Glossary of Terms</w:t>
            </w:r>
          </w:p>
        </w:tc>
        <w:tc>
          <w:tcPr>
            <w:tcW w:w="1370" w:type="dxa"/>
            <w:tcBorders>
              <w:top w:val="single" w:sz="4" w:space="0" w:color="auto"/>
              <w:left w:val="single" w:sz="4" w:space="0" w:color="auto"/>
              <w:bottom w:val="single" w:sz="12" w:space="0" w:color="auto"/>
              <w:right w:val="single" w:sz="4" w:space="0" w:color="auto"/>
            </w:tcBorders>
            <w:hideMark/>
          </w:tcPr>
          <w:p w14:paraId="00DE892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272" w:type="dxa"/>
            <w:tcBorders>
              <w:top w:val="single" w:sz="4" w:space="0" w:color="auto"/>
              <w:left w:val="single" w:sz="4" w:space="0" w:color="auto"/>
              <w:bottom w:val="single" w:sz="12" w:space="0" w:color="auto"/>
              <w:right w:val="single" w:sz="4" w:space="0" w:color="auto"/>
            </w:tcBorders>
            <w:hideMark/>
          </w:tcPr>
          <w:p w14:paraId="7440396A"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set of terms used in the product and what they mean in plain, understandable language</w:t>
            </w:r>
            <w:r>
              <w:rPr>
                <w:rFonts w:asciiTheme="majorHAnsi" w:hAnsiTheme="majorHAnsi"/>
                <w:color w:val="0432FF"/>
                <w:sz w:val="20"/>
                <w:szCs w:val="20"/>
                <w:vertAlign w:val="superscript"/>
              </w:rPr>
              <w:t>16</w:t>
            </w:r>
          </w:p>
        </w:tc>
      </w:tr>
      <w:tr w:rsidR="004A32A2" w14:paraId="1AFAD74E" w14:textId="77777777">
        <w:tc>
          <w:tcPr>
            <w:tcW w:w="1319" w:type="dxa"/>
            <w:vMerge w:val="restart"/>
            <w:tcBorders>
              <w:top w:val="single" w:sz="12" w:space="0" w:color="auto"/>
              <w:left w:val="single" w:sz="4" w:space="0" w:color="auto"/>
              <w:bottom w:val="single" w:sz="4" w:space="0" w:color="auto"/>
              <w:right w:val="single" w:sz="4" w:space="0" w:color="auto"/>
            </w:tcBorders>
            <w:hideMark/>
          </w:tcPr>
          <w:p w14:paraId="72B480DB" w14:textId="77777777" w:rsidR="004A32A2" w:rsidRDefault="004A32A2">
            <w:pPr>
              <w:spacing w:after="0" w:line="276" w:lineRule="auto"/>
              <w:ind w:firstLine="0"/>
              <w:rPr>
                <w:rFonts w:asciiTheme="majorHAnsi" w:hAnsiTheme="majorHAnsi"/>
                <w:bCs/>
                <w:sz w:val="20"/>
                <w:szCs w:val="20"/>
              </w:rPr>
            </w:pPr>
            <w:r>
              <w:rPr>
                <w:rFonts w:asciiTheme="majorHAnsi" w:hAnsiTheme="majorHAnsi"/>
                <w:bCs/>
                <w:sz w:val="20"/>
                <w:szCs w:val="20"/>
              </w:rPr>
              <w:t>Evaluate</w:t>
            </w:r>
          </w:p>
        </w:tc>
        <w:tc>
          <w:tcPr>
            <w:tcW w:w="2055" w:type="dxa"/>
            <w:tcBorders>
              <w:top w:val="single" w:sz="12" w:space="0" w:color="auto"/>
              <w:left w:val="single" w:sz="4" w:space="0" w:color="auto"/>
              <w:bottom w:val="single" w:sz="4" w:space="0" w:color="auto"/>
              <w:right w:val="single" w:sz="4" w:space="0" w:color="auto"/>
            </w:tcBorders>
            <w:hideMark/>
          </w:tcPr>
          <w:p w14:paraId="11C0440D"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Use Case Study</w:t>
            </w:r>
          </w:p>
        </w:tc>
        <w:tc>
          <w:tcPr>
            <w:tcW w:w="1370" w:type="dxa"/>
            <w:tcBorders>
              <w:top w:val="single" w:sz="12" w:space="0" w:color="auto"/>
              <w:left w:val="single" w:sz="4" w:space="0" w:color="auto"/>
              <w:bottom w:val="single" w:sz="4" w:space="0" w:color="auto"/>
              <w:right w:val="single" w:sz="4" w:space="0" w:color="auto"/>
            </w:tcBorders>
            <w:hideMark/>
          </w:tcPr>
          <w:p w14:paraId="17FF6F2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272" w:type="dxa"/>
            <w:tcBorders>
              <w:top w:val="single" w:sz="12" w:space="0" w:color="auto"/>
              <w:left w:val="single" w:sz="4" w:space="0" w:color="auto"/>
              <w:bottom w:val="single" w:sz="4" w:space="0" w:color="auto"/>
              <w:right w:val="single" w:sz="4" w:space="0" w:color="auto"/>
            </w:tcBorders>
            <w:hideMark/>
          </w:tcPr>
          <w:p w14:paraId="3D5903FD"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real-world application of the product that allows users to test the tools and provide further feedback to the final product</w:t>
            </w:r>
            <w:r>
              <w:rPr>
                <w:rFonts w:asciiTheme="majorHAnsi" w:hAnsiTheme="majorHAnsi"/>
                <w:color w:val="0432FF"/>
                <w:sz w:val="20"/>
                <w:szCs w:val="20"/>
                <w:vertAlign w:val="superscript"/>
              </w:rPr>
              <w:t>7</w:t>
            </w:r>
          </w:p>
        </w:tc>
      </w:tr>
      <w:tr w:rsidR="004A32A2" w14:paraId="7C5D730E"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24228F5F"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4" w:space="0" w:color="auto"/>
              <w:right w:val="single" w:sz="4" w:space="0" w:color="auto"/>
            </w:tcBorders>
            <w:hideMark/>
          </w:tcPr>
          <w:p w14:paraId="5CE306A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Performance Metrics</w:t>
            </w:r>
          </w:p>
        </w:tc>
        <w:tc>
          <w:tcPr>
            <w:tcW w:w="1370" w:type="dxa"/>
            <w:tcBorders>
              <w:top w:val="single" w:sz="4" w:space="0" w:color="auto"/>
              <w:left w:val="single" w:sz="4" w:space="0" w:color="auto"/>
              <w:bottom w:val="single" w:sz="4" w:space="0" w:color="auto"/>
              <w:right w:val="single" w:sz="4" w:space="0" w:color="auto"/>
            </w:tcBorders>
            <w:hideMark/>
          </w:tcPr>
          <w:p w14:paraId="0C83180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272" w:type="dxa"/>
            <w:tcBorders>
              <w:top w:val="single" w:sz="4" w:space="0" w:color="auto"/>
              <w:left w:val="single" w:sz="4" w:space="0" w:color="auto"/>
              <w:bottom w:val="single" w:sz="4" w:space="0" w:color="auto"/>
              <w:right w:val="single" w:sz="4" w:space="0" w:color="auto"/>
            </w:tcBorders>
            <w:hideMark/>
          </w:tcPr>
          <w:p w14:paraId="1C3D727A"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set of indicators that track product performance and impact</w:t>
            </w:r>
            <w:r>
              <w:rPr>
                <w:rFonts w:asciiTheme="majorHAnsi" w:hAnsiTheme="majorHAnsi"/>
                <w:color w:val="0432FF"/>
                <w:sz w:val="20"/>
                <w:szCs w:val="20"/>
                <w:vertAlign w:val="superscript"/>
              </w:rPr>
              <w:t>9</w:t>
            </w:r>
          </w:p>
        </w:tc>
      </w:tr>
      <w:tr w:rsidR="004A32A2" w14:paraId="253D9595"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2813DDE4" w14:textId="77777777" w:rsidR="004A32A2" w:rsidRDefault="004A32A2">
            <w:pPr>
              <w:spacing w:after="0" w:line="240" w:lineRule="auto"/>
              <w:rPr>
                <w:rFonts w:asciiTheme="majorHAnsi" w:hAnsiTheme="majorHAnsi"/>
                <w:bCs/>
                <w:sz w:val="20"/>
                <w:szCs w:val="20"/>
              </w:rPr>
            </w:pPr>
          </w:p>
        </w:tc>
        <w:tc>
          <w:tcPr>
            <w:tcW w:w="2055" w:type="dxa"/>
            <w:tcBorders>
              <w:top w:val="single" w:sz="4" w:space="0" w:color="auto"/>
              <w:left w:val="single" w:sz="4" w:space="0" w:color="auto"/>
              <w:bottom w:val="single" w:sz="4" w:space="0" w:color="auto"/>
              <w:right w:val="single" w:sz="4" w:space="0" w:color="auto"/>
            </w:tcBorders>
            <w:hideMark/>
          </w:tcPr>
          <w:p w14:paraId="1D344CC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Frequently Asked Questions (FAQ) Section</w:t>
            </w:r>
          </w:p>
        </w:tc>
        <w:tc>
          <w:tcPr>
            <w:tcW w:w="1370" w:type="dxa"/>
            <w:tcBorders>
              <w:top w:val="single" w:sz="4" w:space="0" w:color="auto"/>
              <w:left w:val="single" w:sz="4" w:space="0" w:color="auto"/>
              <w:bottom w:val="single" w:sz="4" w:space="0" w:color="auto"/>
              <w:right w:val="single" w:sz="4" w:space="0" w:color="auto"/>
            </w:tcBorders>
            <w:hideMark/>
          </w:tcPr>
          <w:p w14:paraId="7A71EC5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272" w:type="dxa"/>
            <w:tcBorders>
              <w:top w:val="single" w:sz="4" w:space="0" w:color="auto"/>
              <w:left w:val="single" w:sz="4" w:space="0" w:color="auto"/>
              <w:bottom w:val="single" w:sz="4" w:space="0" w:color="auto"/>
              <w:right w:val="single" w:sz="4" w:space="0" w:color="auto"/>
            </w:tcBorders>
            <w:hideMark/>
          </w:tcPr>
          <w:p w14:paraId="7F84D07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set of common questions asked by users about the final product and their corresponding solutions</w:t>
            </w:r>
            <w:r>
              <w:rPr>
                <w:rFonts w:asciiTheme="majorHAnsi" w:hAnsiTheme="majorHAnsi"/>
                <w:color w:val="0432FF"/>
                <w:sz w:val="20"/>
                <w:szCs w:val="20"/>
                <w:vertAlign w:val="superscript"/>
              </w:rPr>
              <w:t>87</w:t>
            </w:r>
          </w:p>
        </w:tc>
      </w:tr>
    </w:tbl>
    <w:p w14:paraId="46A04BD2" w14:textId="77777777" w:rsidR="004A32A2" w:rsidRDefault="004A32A2" w:rsidP="004A32A2">
      <w:pPr>
        <w:spacing w:after="0" w:line="276" w:lineRule="auto"/>
        <w:ind w:firstLine="0"/>
        <w:rPr>
          <w:rFonts w:asciiTheme="majorHAnsi" w:hAnsiTheme="majorHAnsi"/>
        </w:rPr>
      </w:pPr>
      <w:r>
        <w:rPr>
          <w:rFonts w:asciiTheme="majorHAnsi" w:hAnsiTheme="majorHAnsi"/>
          <w:i/>
          <w:iCs/>
        </w:rPr>
        <w:t>Notes:</w:t>
      </w:r>
      <w:r>
        <w:rPr>
          <w:rFonts w:asciiTheme="majorHAnsi" w:hAnsiTheme="majorHAnsi"/>
        </w:rPr>
        <w:t xml:space="preserve"> Mechanisms were extracted from the final set of co-production literature and mapped to the co-production stages used in this study (for further details, see Methods). “Type of Mechanism” was coded as activity, artifact or actor using the definitions listed in the Methods. “Across Stages” indicates mechanisms described as stage-agnostic or spanning multiple stages.</w:t>
      </w:r>
    </w:p>
    <w:p w14:paraId="0E899733" w14:textId="77777777" w:rsidR="004A32A2" w:rsidRDefault="004A32A2" w:rsidP="004A32A2">
      <w:pPr>
        <w:spacing w:after="0" w:line="276" w:lineRule="auto"/>
        <w:ind w:firstLine="0"/>
        <w:rPr>
          <w:rFonts w:asciiTheme="majorHAnsi" w:hAnsiTheme="majorHAnsi"/>
        </w:rPr>
      </w:pPr>
    </w:p>
    <w:p w14:paraId="4F7A462F" w14:textId="77777777" w:rsidR="004A32A2" w:rsidRDefault="004A32A2" w:rsidP="004A32A2">
      <w:pPr>
        <w:spacing w:after="0" w:line="276" w:lineRule="auto"/>
        <w:ind w:firstLine="0"/>
        <w:rPr>
          <w:rFonts w:asciiTheme="majorHAnsi" w:hAnsiTheme="majorHAnsi"/>
          <w:b/>
          <w:bCs/>
          <w:lang w:val="en-US"/>
        </w:rPr>
      </w:pPr>
      <w:r>
        <w:rPr>
          <w:rFonts w:asciiTheme="majorHAnsi" w:hAnsiTheme="majorHAnsi"/>
          <w:b/>
          <w:bCs/>
          <w:lang w:val="en-US"/>
        </w:rPr>
        <w:t>Extended Data Table 2 | Co-production best practices for product development</w:t>
      </w:r>
    </w:p>
    <w:tbl>
      <w:tblPr>
        <w:tblStyle w:val="TableGrid"/>
        <w:tblW w:w="0" w:type="auto"/>
        <w:tblInd w:w="0" w:type="dxa"/>
        <w:tblLook w:val="04A0" w:firstRow="1" w:lastRow="0" w:firstColumn="1" w:lastColumn="0" w:noHBand="0" w:noVBand="1"/>
      </w:tblPr>
      <w:tblGrid>
        <w:gridCol w:w="1319"/>
        <w:gridCol w:w="2546"/>
        <w:gridCol w:w="5130"/>
      </w:tblGrid>
      <w:tr w:rsidR="004A32A2" w14:paraId="4714B7FA" w14:textId="77777777">
        <w:tc>
          <w:tcPr>
            <w:tcW w:w="1319" w:type="dxa"/>
            <w:tcBorders>
              <w:top w:val="single" w:sz="4" w:space="0" w:color="auto"/>
              <w:left w:val="single" w:sz="4" w:space="0" w:color="auto"/>
              <w:bottom w:val="single" w:sz="18" w:space="0" w:color="auto"/>
              <w:right w:val="single" w:sz="4" w:space="0" w:color="auto"/>
            </w:tcBorders>
            <w:hideMark/>
          </w:tcPr>
          <w:p w14:paraId="20E35DEE"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Stage</w:t>
            </w:r>
          </w:p>
        </w:tc>
        <w:tc>
          <w:tcPr>
            <w:tcW w:w="2546" w:type="dxa"/>
            <w:tcBorders>
              <w:top w:val="single" w:sz="4" w:space="0" w:color="auto"/>
              <w:left w:val="single" w:sz="4" w:space="0" w:color="auto"/>
              <w:bottom w:val="single" w:sz="18" w:space="0" w:color="auto"/>
              <w:right w:val="single" w:sz="4" w:space="0" w:color="auto"/>
            </w:tcBorders>
            <w:hideMark/>
          </w:tcPr>
          <w:p w14:paraId="4D9739AB"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Best Practice</w:t>
            </w:r>
          </w:p>
        </w:tc>
        <w:tc>
          <w:tcPr>
            <w:tcW w:w="5130" w:type="dxa"/>
            <w:tcBorders>
              <w:top w:val="single" w:sz="4" w:space="0" w:color="auto"/>
              <w:left w:val="single" w:sz="4" w:space="0" w:color="auto"/>
              <w:bottom w:val="single" w:sz="18" w:space="0" w:color="auto"/>
              <w:right w:val="single" w:sz="4" w:space="0" w:color="auto"/>
            </w:tcBorders>
            <w:hideMark/>
          </w:tcPr>
          <w:p w14:paraId="3D8C3687"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Description</w:t>
            </w:r>
          </w:p>
        </w:tc>
      </w:tr>
      <w:tr w:rsidR="004A32A2" w14:paraId="3C2C87CD" w14:textId="77777777">
        <w:tc>
          <w:tcPr>
            <w:tcW w:w="1319" w:type="dxa"/>
            <w:vMerge w:val="restart"/>
            <w:tcBorders>
              <w:top w:val="single" w:sz="18" w:space="0" w:color="auto"/>
              <w:left w:val="single" w:sz="4" w:space="0" w:color="auto"/>
              <w:bottom w:val="single" w:sz="12" w:space="0" w:color="auto"/>
              <w:right w:val="single" w:sz="4" w:space="0" w:color="auto"/>
            </w:tcBorders>
            <w:hideMark/>
          </w:tcPr>
          <w:p w14:paraId="00E2D0FC" w14:textId="77777777" w:rsidR="004A32A2" w:rsidRDefault="004A32A2">
            <w:pPr>
              <w:spacing w:after="0" w:line="276" w:lineRule="auto"/>
              <w:ind w:firstLine="0"/>
              <w:rPr>
                <w:rFonts w:asciiTheme="majorHAnsi" w:hAnsiTheme="majorHAnsi"/>
                <w:bCs/>
                <w:sz w:val="20"/>
                <w:szCs w:val="20"/>
              </w:rPr>
            </w:pPr>
            <w:r>
              <w:rPr>
                <w:rFonts w:asciiTheme="majorHAnsi" w:hAnsiTheme="majorHAnsi"/>
                <w:bCs/>
                <w:sz w:val="20"/>
                <w:szCs w:val="20"/>
              </w:rPr>
              <w:t>Identify Actors &amp; Build Partnerships</w:t>
            </w:r>
          </w:p>
        </w:tc>
        <w:tc>
          <w:tcPr>
            <w:tcW w:w="2546" w:type="dxa"/>
            <w:tcBorders>
              <w:top w:val="single" w:sz="18" w:space="0" w:color="auto"/>
              <w:left w:val="single" w:sz="4" w:space="0" w:color="auto"/>
              <w:bottom w:val="single" w:sz="4" w:space="0" w:color="auto"/>
              <w:right w:val="single" w:sz="4" w:space="0" w:color="auto"/>
            </w:tcBorders>
            <w:hideMark/>
          </w:tcPr>
          <w:p w14:paraId="1877FAE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Define processes</w:t>
            </w:r>
          </w:p>
        </w:tc>
        <w:tc>
          <w:tcPr>
            <w:tcW w:w="5130" w:type="dxa"/>
            <w:tcBorders>
              <w:top w:val="single" w:sz="18" w:space="0" w:color="auto"/>
              <w:left w:val="single" w:sz="4" w:space="0" w:color="auto"/>
              <w:bottom w:val="single" w:sz="4" w:space="0" w:color="auto"/>
              <w:right w:val="single" w:sz="4" w:space="0" w:color="auto"/>
            </w:tcBorders>
            <w:hideMark/>
          </w:tcPr>
          <w:p w14:paraId="4DE097CE"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Define the co-production process of working with stakeholders, collaborators, and users from the start of the project</w:t>
            </w:r>
            <w:r>
              <w:rPr>
                <w:rFonts w:asciiTheme="majorHAnsi" w:hAnsiTheme="majorHAnsi"/>
                <w:color w:val="0432FF"/>
                <w:sz w:val="20"/>
                <w:szCs w:val="20"/>
                <w:vertAlign w:val="superscript"/>
              </w:rPr>
              <w:t>6, 57</w:t>
            </w:r>
          </w:p>
        </w:tc>
      </w:tr>
      <w:tr w:rsidR="004A32A2" w14:paraId="5B544A0D"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13628A0F"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465718F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Define roles</w:t>
            </w:r>
          </w:p>
        </w:tc>
        <w:tc>
          <w:tcPr>
            <w:tcW w:w="5130" w:type="dxa"/>
            <w:tcBorders>
              <w:top w:val="single" w:sz="4" w:space="0" w:color="auto"/>
              <w:left w:val="single" w:sz="4" w:space="0" w:color="auto"/>
              <w:bottom w:val="single" w:sz="4" w:space="0" w:color="auto"/>
              <w:right w:val="single" w:sz="4" w:space="0" w:color="auto"/>
            </w:tcBorders>
            <w:hideMark/>
          </w:tcPr>
          <w:p w14:paraId="1665D2CA"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Define the roles of developers, non-academic stakeholders, and users</w:t>
            </w:r>
            <w:r>
              <w:rPr>
                <w:rFonts w:asciiTheme="majorHAnsi" w:hAnsiTheme="majorHAnsi"/>
                <w:color w:val="0432FF"/>
                <w:sz w:val="20"/>
                <w:szCs w:val="20"/>
                <w:vertAlign w:val="superscript"/>
              </w:rPr>
              <w:t>16</w:t>
            </w:r>
          </w:p>
        </w:tc>
      </w:tr>
      <w:tr w:rsidR="004A32A2" w14:paraId="7CD62BBA"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4BA9B72E"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48E52D1D"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Identify stakeholders</w:t>
            </w:r>
          </w:p>
        </w:tc>
        <w:tc>
          <w:tcPr>
            <w:tcW w:w="5130" w:type="dxa"/>
            <w:tcBorders>
              <w:top w:val="single" w:sz="4" w:space="0" w:color="auto"/>
              <w:left w:val="single" w:sz="4" w:space="0" w:color="auto"/>
              <w:bottom w:val="single" w:sz="4" w:space="0" w:color="auto"/>
              <w:right w:val="single" w:sz="4" w:space="0" w:color="auto"/>
            </w:tcBorders>
            <w:hideMark/>
          </w:tcPr>
          <w:p w14:paraId="1B007D5D"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Identify and initiate contact with any stakeholders who are relevant to product</w:t>
            </w:r>
            <w:r>
              <w:rPr>
                <w:rFonts w:asciiTheme="majorHAnsi" w:hAnsiTheme="majorHAnsi"/>
                <w:color w:val="0432FF"/>
                <w:sz w:val="20"/>
                <w:szCs w:val="20"/>
                <w:vertAlign w:val="superscript"/>
              </w:rPr>
              <w:t>21, 87, 88</w:t>
            </w:r>
          </w:p>
        </w:tc>
      </w:tr>
      <w:tr w:rsidR="004A32A2" w14:paraId="58517128"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3F5881B2"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41745EB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Identify users</w:t>
            </w:r>
          </w:p>
        </w:tc>
        <w:tc>
          <w:tcPr>
            <w:tcW w:w="5130" w:type="dxa"/>
            <w:tcBorders>
              <w:top w:val="single" w:sz="4" w:space="0" w:color="auto"/>
              <w:left w:val="single" w:sz="4" w:space="0" w:color="auto"/>
              <w:bottom w:val="single" w:sz="4" w:space="0" w:color="auto"/>
              <w:right w:val="single" w:sz="4" w:space="0" w:color="auto"/>
            </w:tcBorders>
            <w:hideMark/>
          </w:tcPr>
          <w:p w14:paraId="286225D0"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Identify users who will be using product</w:t>
            </w:r>
            <w:r>
              <w:rPr>
                <w:rFonts w:asciiTheme="majorHAnsi" w:hAnsiTheme="majorHAnsi"/>
                <w:color w:val="0432FF"/>
                <w:sz w:val="20"/>
                <w:szCs w:val="20"/>
                <w:vertAlign w:val="superscript"/>
              </w:rPr>
              <w:t>87</w:t>
            </w:r>
          </w:p>
        </w:tc>
      </w:tr>
      <w:tr w:rsidR="004A32A2" w14:paraId="59DE85F5"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476EE824"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04CC9A6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Engage diverse stakeholders and users</w:t>
            </w:r>
          </w:p>
        </w:tc>
        <w:tc>
          <w:tcPr>
            <w:tcW w:w="5130" w:type="dxa"/>
            <w:tcBorders>
              <w:top w:val="single" w:sz="4" w:space="0" w:color="auto"/>
              <w:left w:val="single" w:sz="4" w:space="0" w:color="auto"/>
              <w:bottom w:val="single" w:sz="4" w:space="0" w:color="auto"/>
              <w:right w:val="single" w:sz="4" w:space="0" w:color="auto"/>
            </w:tcBorders>
            <w:hideMark/>
          </w:tcPr>
          <w:p w14:paraId="384C156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Engage a diverse set of stakeholders and users from different sectors, local and regional levels, and specialties to ensure thorough product development and testing</w:t>
            </w:r>
            <w:r>
              <w:rPr>
                <w:rFonts w:asciiTheme="majorHAnsi" w:hAnsiTheme="majorHAnsi"/>
                <w:color w:val="0432FF"/>
                <w:sz w:val="20"/>
                <w:szCs w:val="20"/>
                <w:vertAlign w:val="superscript"/>
              </w:rPr>
              <w:t>5, 42, 87</w:t>
            </w:r>
          </w:p>
        </w:tc>
      </w:tr>
      <w:tr w:rsidR="004A32A2" w14:paraId="2E954D81"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48C5EAE9"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6BD1BD7D"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Articulate value proposition</w:t>
            </w:r>
          </w:p>
        </w:tc>
        <w:tc>
          <w:tcPr>
            <w:tcW w:w="5130" w:type="dxa"/>
            <w:tcBorders>
              <w:top w:val="single" w:sz="4" w:space="0" w:color="auto"/>
              <w:left w:val="single" w:sz="4" w:space="0" w:color="auto"/>
              <w:bottom w:val="single" w:sz="4" w:space="0" w:color="auto"/>
              <w:right w:val="single" w:sz="4" w:space="0" w:color="auto"/>
            </w:tcBorders>
            <w:hideMark/>
          </w:tcPr>
          <w:p w14:paraId="685F643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Articulate value proposition and impact of product to stakeholders, users, and developers</w:t>
            </w:r>
            <w:r>
              <w:rPr>
                <w:rFonts w:asciiTheme="majorHAnsi" w:hAnsiTheme="majorHAnsi"/>
                <w:color w:val="0432FF"/>
                <w:sz w:val="20"/>
                <w:szCs w:val="20"/>
                <w:vertAlign w:val="superscript"/>
              </w:rPr>
              <w:t>11</w:t>
            </w:r>
          </w:p>
        </w:tc>
      </w:tr>
      <w:tr w:rsidR="004A32A2" w14:paraId="6E87C68E"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30CB236F"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12" w:space="0" w:color="auto"/>
              <w:right w:val="single" w:sz="4" w:space="0" w:color="auto"/>
            </w:tcBorders>
            <w:hideMark/>
          </w:tcPr>
          <w:p w14:paraId="7C1B1D6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Establish interdisciplinary teams</w:t>
            </w:r>
          </w:p>
        </w:tc>
        <w:tc>
          <w:tcPr>
            <w:tcW w:w="5130" w:type="dxa"/>
            <w:tcBorders>
              <w:top w:val="single" w:sz="4" w:space="0" w:color="auto"/>
              <w:left w:val="single" w:sz="4" w:space="0" w:color="auto"/>
              <w:bottom w:val="single" w:sz="12" w:space="0" w:color="auto"/>
              <w:right w:val="single" w:sz="4" w:space="0" w:color="auto"/>
            </w:tcBorders>
            <w:hideMark/>
          </w:tcPr>
          <w:p w14:paraId="3745096F"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Establish a core development team from different backgrounds and specialties that can ensure the product is as intuitive as possible</w:t>
            </w:r>
            <w:r>
              <w:rPr>
                <w:rFonts w:asciiTheme="majorHAnsi" w:hAnsiTheme="majorHAnsi"/>
                <w:color w:val="0432FF"/>
                <w:sz w:val="20"/>
                <w:szCs w:val="20"/>
                <w:vertAlign w:val="superscript"/>
              </w:rPr>
              <w:t>7, 87</w:t>
            </w:r>
          </w:p>
        </w:tc>
      </w:tr>
      <w:tr w:rsidR="004A32A2" w14:paraId="5FEA4E56" w14:textId="77777777">
        <w:tc>
          <w:tcPr>
            <w:tcW w:w="1319" w:type="dxa"/>
            <w:vMerge w:val="restart"/>
            <w:tcBorders>
              <w:top w:val="single" w:sz="12" w:space="0" w:color="auto"/>
              <w:left w:val="single" w:sz="4" w:space="0" w:color="auto"/>
              <w:bottom w:val="single" w:sz="12" w:space="0" w:color="auto"/>
              <w:right w:val="single" w:sz="4" w:space="0" w:color="auto"/>
            </w:tcBorders>
            <w:hideMark/>
          </w:tcPr>
          <w:p w14:paraId="69D9309E" w14:textId="77777777" w:rsidR="004A32A2" w:rsidRDefault="004A32A2">
            <w:pPr>
              <w:spacing w:after="0" w:line="276" w:lineRule="auto"/>
              <w:ind w:firstLine="0"/>
              <w:rPr>
                <w:rFonts w:asciiTheme="majorHAnsi" w:hAnsiTheme="majorHAnsi"/>
                <w:bCs/>
                <w:sz w:val="20"/>
                <w:szCs w:val="20"/>
              </w:rPr>
            </w:pPr>
            <w:r>
              <w:rPr>
                <w:rFonts w:asciiTheme="majorHAnsi" w:hAnsiTheme="majorHAnsi"/>
                <w:bCs/>
                <w:sz w:val="20"/>
                <w:szCs w:val="20"/>
              </w:rPr>
              <w:t>Co-Explore Need</w:t>
            </w:r>
          </w:p>
        </w:tc>
        <w:tc>
          <w:tcPr>
            <w:tcW w:w="2546" w:type="dxa"/>
            <w:tcBorders>
              <w:top w:val="single" w:sz="12" w:space="0" w:color="auto"/>
              <w:left w:val="single" w:sz="4" w:space="0" w:color="auto"/>
              <w:bottom w:val="single" w:sz="4" w:space="0" w:color="auto"/>
              <w:right w:val="single" w:sz="4" w:space="0" w:color="auto"/>
            </w:tcBorders>
            <w:hideMark/>
          </w:tcPr>
          <w:p w14:paraId="4C2B012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Understand priorities</w:t>
            </w:r>
          </w:p>
        </w:tc>
        <w:tc>
          <w:tcPr>
            <w:tcW w:w="5130" w:type="dxa"/>
            <w:tcBorders>
              <w:top w:val="single" w:sz="12" w:space="0" w:color="auto"/>
              <w:left w:val="single" w:sz="4" w:space="0" w:color="auto"/>
              <w:bottom w:val="single" w:sz="4" w:space="0" w:color="auto"/>
              <w:right w:val="single" w:sz="4" w:space="0" w:color="auto"/>
            </w:tcBorders>
            <w:hideMark/>
          </w:tcPr>
          <w:p w14:paraId="28D71FC3"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Understand stakeholder and user priorities, expectations, and indicators of interest to better comprehend what objectives can be met by the product</w:t>
            </w:r>
            <w:r>
              <w:rPr>
                <w:rFonts w:asciiTheme="majorHAnsi" w:hAnsiTheme="majorHAnsi"/>
                <w:color w:val="0432FF"/>
                <w:sz w:val="20"/>
                <w:szCs w:val="20"/>
                <w:vertAlign w:val="superscript"/>
              </w:rPr>
              <w:t>7, 88, 89</w:t>
            </w:r>
          </w:p>
        </w:tc>
      </w:tr>
      <w:tr w:rsidR="004A32A2" w14:paraId="0A4AD198"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3ACC128F"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41F0BF3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Use local languages</w:t>
            </w:r>
          </w:p>
        </w:tc>
        <w:tc>
          <w:tcPr>
            <w:tcW w:w="5130" w:type="dxa"/>
            <w:tcBorders>
              <w:top w:val="single" w:sz="4" w:space="0" w:color="auto"/>
              <w:left w:val="single" w:sz="4" w:space="0" w:color="auto"/>
              <w:bottom w:val="single" w:sz="4" w:space="0" w:color="auto"/>
              <w:right w:val="single" w:sz="4" w:space="0" w:color="auto"/>
            </w:tcBorders>
            <w:hideMark/>
          </w:tcPr>
          <w:p w14:paraId="4BE4242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Use relevant local languages when gathering insights on needs from stakeholders and users</w:t>
            </w:r>
            <w:r>
              <w:rPr>
                <w:rFonts w:asciiTheme="majorHAnsi" w:hAnsiTheme="majorHAnsi"/>
                <w:color w:val="0432FF"/>
                <w:sz w:val="20"/>
                <w:szCs w:val="20"/>
                <w:vertAlign w:val="superscript"/>
              </w:rPr>
              <w:t>21</w:t>
            </w:r>
          </w:p>
        </w:tc>
      </w:tr>
      <w:tr w:rsidR="004A32A2" w14:paraId="00A65E9E"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3577242"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7CC7371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Understand detail required</w:t>
            </w:r>
          </w:p>
        </w:tc>
        <w:tc>
          <w:tcPr>
            <w:tcW w:w="5130" w:type="dxa"/>
            <w:tcBorders>
              <w:top w:val="single" w:sz="4" w:space="0" w:color="auto"/>
              <w:left w:val="single" w:sz="4" w:space="0" w:color="auto"/>
              <w:bottom w:val="single" w:sz="4" w:space="0" w:color="auto"/>
              <w:right w:val="single" w:sz="4" w:space="0" w:color="auto"/>
            </w:tcBorders>
            <w:hideMark/>
          </w:tcPr>
          <w:p w14:paraId="0199B44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Understand the level of detail required from stakeholders and users for the product to provide actionable insights and decision-making support</w:t>
            </w:r>
            <w:r>
              <w:rPr>
                <w:rFonts w:asciiTheme="majorHAnsi" w:hAnsiTheme="majorHAnsi"/>
                <w:color w:val="0432FF"/>
                <w:sz w:val="20"/>
                <w:szCs w:val="20"/>
                <w:vertAlign w:val="superscript"/>
              </w:rPr>
              <w:t>90</w:t>
            </w:r>
          </w:p>
        </w:tc>
      </w:tr>
      <w:tr w:rsidR="004A32A2" w14:paraId="668B5755"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9887DD0"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544F4C32"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Understand limitations</w:t>
            </w:r>
          </w:p>
        </w:tc>
        <w:tc>
          <w:tcPr>
            <w:tcW w:w="5130" w:type="dxa"/>
            <w:tcBorders>
              <w:top w:val="single" w:sz="4" w:space="0" w:color="auto"/>
              <w:left w:val="single" w:sz="4" w:space="0" w:color="auto"/>
              <w:bottom w:val="single" w:sz="4" w:space="0" w:color="auto"/>
              <w:right w:val="single" w:sz="4" w:space="0" w:color="auto"/>
            </w:tcBorders>
            <w:hideMark/>
          </w:tcPr>
          <w:p w14:paraId="012AEB23"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Understand limitations in meeting or solving user needs</w:t>
            </w:r>
            <w:r>
              <w:rPr>
                <w:rFonts w:asciiTheme="majorHAnsi" w:hAnsiTheme="majorHAnsi"/>
                <w:color w:val="0432FF"/>
                <w:sz w:val="20"/>
                <w:szCs w:val="20"/>
                <w:vertAlign w:val="superscript"/>
              </w:rPr>
              <w:t>61</w:t>
            </w:r>
          </w:p>
        </w:tc>
      </w:tr>
      <w:tr w:rsidR="004A32A2" w14:paraId="43F6943B"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AA24BDF"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0F456FD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Provide space for questions</w:t>
            </w:r>
          </w:p>
        </w:tc>
        <w:tc>
          <w:tcPr>
            <w:tcW w:w="5130" w:type="dxa"/>
            <w:tcBorders>
              <w:top w:val="single" w:sz="4" w:space="0" w:color="auto"/>
              <w:left w:val="single" w:sz="4" w:space="0" w:color="auto"/>
              <w:bottom w:val="single" w:sz="4" w:space="0" w:color="auto"/>
              <w:right w:val="single" w:sz="4" w:space="0" w:color="auto"/>
            </w:tcBorders>
            <w:hideMark/>
          </w:tcPr>
          <w:p w14:paraId="75E09665"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Provide space and opportunity for stakeholders and users to ask questions and gain comprehension</w:t>
            </w:r>
            <w:r>
              <w:rPr>
                <w:rFonts w:asciiTheme="majorHAnsi" w:hAnsiTheme="majorHAnsi"/>
                <w:color w:val="0432FF"/>
                <w:sz w:val="20"/>
                <w:szCs w:val="20"/>
                <w:vertAlign w:val="superscript"/>
              </w:rPr>
              <w:t>21</w:t>
            </w:r>
          </w:p>
        </w:tc>
      </w:tr>
      <w:tr w:rsidR="004A32A2" w14:paraId="04F43FC7"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65A178DE"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7EA6C9E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Organize periodic gatherings</w:t>
            </w:r>
          </w:p>
        </w:tc>
        <w:tc>
          <w:tcPr>
            <w:tcW w:w="5130" w:type="dxa"/>
            <w:tcBorders>
              <w:top w:val="single" w:sz="4" w:space="0" w:color="auto"/>
              <w:left w:val="single" w:sz="4" w:space="0" w:color="auto"/>
              <w:bottom w:val="single" w:sz="4" w:space="0" w:color="auto"/>
              <w:right w:val="single" w:sz="4" w:space="0" w:color="auto"/>
            </w:tcBorders>
            <w:hideMark/>
          </w:tcPr>
          <w:p w14:paraId="5F9C2996"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Organize periodic gatherings between developers, stakeholders, and users to facilitate the information and knowledge exchange</w:t>
            </w:r>
            <w:r>
              <w:rPr>
                <w:rFonts w:asciiTheme="majorHAnsi" w:hAnsiTheme="majorHAnsi"/>
                <w:color w:val="0432FF"/>
                <w:sz w:val="20"/>
                <w:szCs w:val="20"/>
                <w:vertAlign w:val="superscript"/>
              </w:rPr>
              <w:t>85</w:t>
            </w:r>
          </w:p>
        </w:tc>
      </w:tr>
      <w:tr w:rsidR="004A32A2" w14:paraId="75F0A9D3"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293F786E"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02FBE43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Organize feedback</w:t>
            </w:r>
          </w:p>
        </w:tc>
        <w:tc>
          <w:tcPr>
            <w:tcW w:w="5130" w:type="dxa"/>
            <w:tcBorders>
              <w:top w:val="single" w:sz="4" w:space="0" w:color="auto"/>
              <w:left w:val="single" w:sz="4" w:space="0" w:color="auto"/>
              <w:bottom w:val="single" w:sz="4" w:space="0" w:color="auto"/>
              <w:right w:val="single" w:sz="4" w:space="0" w:color="auto"/>
            </w:tcBorders>
            <w:hideMark/>
          </w:tcPr>
          <w:p w14:paraId="146EB3B4"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Organize feedback and insights collected from stakeholders and users during surveys, interviews, workshops, and more</w:t>
            </w:r>
            <w:r>
              <w:rPr>
                <w:rFonts w:asciiTheme="majorHAnsi" w:hAnsiTheme="majorHAnsi"/>
                <w:color w:val="0432FF"/>
                <w:sz w:val="20"/>
                <w:szCs w:val="20"/>
                <w:vertAlign w:val="superscript"/>
              </w:rPr>
              <w:t>85</w:t>
            </w:r>
          </w:p>
        </w:tc>
      </w:tr>
      <w:tr w:rsidR="004A32A2" w14:paraId="678F55C8"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2CB005A8"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77D5B73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Seek different insights</w:t>
            </w:r>
          </w:p>
        </w:tc>
        <w:tc>
          <w:tcPr>
            <w:tcW w:w="5130" w:type="dxa"/>
            <w:tcBorders>
              <w:top w:val="single" w:sz="4" w:space="0" w:color="auto"/>
              <w:left w:val="single" w:sz="4" w:space="0" w:color="auto"/>
              <w:bottom w:val="single" w:sz="4" w:space="0" w:color="auto"/>
              <w:right w:val="single" w:sz="4" w:space="0" w:color="auto"/>
            </w:tcBorders>
            <w:hideMark/>
          </w:tcPr>
          <w:p w14:paraId="5CE2101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Seek different stakeholders and users throughout the product development process to gather new and diverse insights</w:t>
            </w:r>
            <w:r>
              <w:rPr>
                <w:rFonts w:asciiTheme="majorHAnsi" w:hAnsiTheme="majorHAnsi"/>
                <w:color w:val="0432FF"/>
                <w:sz w:val="20"/>
                <w:szCs w:val="20"/>
                <w:vertAlign w:val="superscript"/>
              </w:rPr>
              <w:t>36</w:t>
            </w:r>
          </w:p>
        </w:tc>
      </w:tr>
      <w:tr w:rsidR="004A32A2" w14:paraId="67DFC3E1"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0DAD24C"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65C24BA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Share insights</w:t>
            </w:r>
          </w:p>
        </w:tc>
        <w:tc>
          <w:tcPr>
            <w:tcW w:w="5130" w:type="dxa"/>
            <w:tcBorders>
              <w:top w:val="single" w:sz="4" w:space="0" w:color="auto"/>
              <w:left w:val="single" w:sz="4" w:space="0" w:color="auto"/>
              <w:bottom w:val="single" w:sz="4" w:space="0" w:color="auto"/>
              <w:right w:val="single" w:sz="4" w:space="0" w:color="auto"/>
            </w:tcBorders>
            <w:hideMark/>
          </w:tcPr>
          <w:p w14:paraId="69DD3FA6"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Share insights among developers through meetings</w:t>
            </w:r>
            <w:r>
              <w:rPr>
                <w:rFonts w:asciiTheme="majorHAnsi" w:hAnsiTheme="majorHAnsi"/>
                <w:color w:val="0432FF"/>
                <w:sz w:val="20"/>
                <w:szCs w:val="20"/>
                <w:vertAlign w:val="superscript"/>
              </w:rPr>
              <w:t>68</w:t>
            </w:r>
          </w:p>
        </w:tc>
      </w:tr>
      <w:tr w:rsidR="004A32A2" w14:paraId="78106EAC"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E6A8341"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273A196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Gather qualitative and quantitative data</w:t>
            </w:r>
          </w:p>
        </w:tc>
        <w:tc>
          <w:tcPr>
            <w:tcW w:w="5130" w:type="dxa"/>
            <w:tcBorders>
              <w:top w:val="single" w:sz="4" w:space="0" w:color="auto"/>
              <w:left w:val="single" w:sz="4" w:space="0" w:color="auto"/>
              <w:bottom w:val="single" w:sz="4" w:space="0" w:color="auto"/>
              <w:right w:val="single" w:sz="4" w:space="0" w:color="auto"/>
            </w:tcBorders>
            <w:hideMark/>
          </w:tcPr>
          <w:p w14:paraId="7AED2E26"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Gather qualitative and quantitative data through a mixed methods approach for a greater breadth of insights on user needs</w:t>
            </w:r>
            <w:r>
              <w:rPr>
                <w:rFonts w:asciiTheme="majorHAnsi" w:hAnsiTheme="majorHAnsi"/>
                <w:color w:val="0432FF"/>
                <w:sz w:val="20"/>
                <w:szCs w:val="20"/>
                <w:vertAlign w:val="superscript"/>
              </w:rPr>
              <w:t>42, 68</w:t>
            </w:r>
          </w:p>
        </w:tc>
      </w:tr>
      <w:tr w:rsidR="004A32A2" w14:paraId="2D035010"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2972BAE4"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317880CA"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Organize meetings in relevant locations</w:t>
            </w:r>
          </w:p>
        </w:tc>
        <w:tc>
          <w:tcPr>
            <w:tcW w:w="5130" w:type="dxa"/>
            <w:tcBorders>
              <w:top w:val="single" w:sz="4" w:space="0" w:color="auto"/>
              <w:left w:val="single" w:sz="4" w:space="0" w:color="auto"/>
              <w:bottom w:val="single" w:sz="4" w:space="0" w:color="auto"/>
              <w:right w:val="single" w:sz="4" w:space="0" w:color="auto"/>
            </w:tcBorders>
            <w:hideMark/>
          </w:tcPr>
          <w:p w14:paraId="76F1958E"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 xml:space="preserve">Organize meetings in locations that are relevant to developers </w:t>
            </w:r>
            <w:proofErr w:type="gramStart"/>
            <w:r>
              <w:rPr>
                <w:rFonts w:asciiTheme="majorHAnsi" w:hAnsiTheme="majorHAnsi"/>
                <w:sz w:val="20"/>
                <w:szCs w:val="20"/>
              </w:rPr>
              <w:t>and also</w:t>
            </w:r>
            <w:proofErr w:type="gramEnd"/>
            <w:r>
              <w:rPr>
                <w:rFonts w:asciiTheme="majorHAnsi" w:hAnsiTheme="majorHAnsi"/>
                <w:sz w:val="20"/>
                <w:szCs w:val="20"/>
              </w:rPr>
              <w:t xml:space="preserve"> stakeholders and users</w:t>
            </w:r>
            <w:r>
              <w:rPr>
                <w:rFonts w:asciiTheme="majorHAnsi" w:hAnsiTheme="majorHAnsi"/>
                <w:color w:val="0432FF"/>
                <w:sz w:val="20"/>
                <w:szCs w:val="20"/>
                <w:vertAlign w:val="superscript"/>
              </w:rPr>
              <w:t>91</w:t>
            </w:r>
          </w:p>
        </w:tc>
      </w:tr>
      <w:tr w:rsidR="004A32A2" w14:paraId="257CD20C"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32349CE"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12" w:space="0" w:color="auto"/>
              <w:right w:val="single" w:sz="4" w:space="0" w:color="auto"/>
            </w:tcBorders>
            <w:hideMark/>
          </w:tcPr>
          <w:p w14:paraId="2BD3556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Understand thresholds for trust</w:t>
            </w:r>
          </w:p>
        </w:tc>
        <w:tc>
          <w:tcPr>
            <w:tcW w:w="5130" w:type="dxa"/>
            <w:tcBorders>
              <w:top w:val="single" w:sz="4" w:space="0" w:color="auto"/>
              <w:left w:val="single" w:sz="4" w:space="0" w:color="auto"/>
              <w:bottom w:val="single" w:sz="12" w:space="0" w:color="auto"/>
              <w:right w:val="single" w:sz="4" w:space="0" w:color="auto"/>
            </w:tcBorders>
            <w:hideMark/>
          </w:tcPr>
          <w:p w14:paraId="65811E85"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Understand requirements that would ensure stakeholders and users can trust product</w:t>
            </w:r>
            <w:r>
              <w:rPr>
                <w:rFonts w:asciiTheme="majorHAnsi" w:hAnsiTheme="majorHAnsi"/>
                <w:color w:val="0432FF"/>
                <w:sz w:val="20"/>
                <w:szCs w:val="20"/>
                <w:vertAlign w:val="superscript"/>
              </w:rPr>
              <w:t>88</w:t>
            </w:r>
          </w:p>
        </w:tc>
      </w:tr>
      <w:tr w:rsidR="004A32A2" w14:paraId="65238F1A" w14:textId="77777777">
        <w:tc>
          <w:tcPr>
            <w:tcW w:w="1319" w:type="dxa"/>
            <w:vMerge w:val="restart"/>
            <w:tcBorders>
              <w:top w:val="single" w:sz="12" w:space="0" w:color="auto"/>
              <w:left w:val="single" w:sz="4" w:space="0" w:color="auto"/>
              <w:bottom w:val="single" w:sz="12" w:space="0" w:color="auto"/>
              <w:right w:val="single" w:sz="4" w:space="0" w:color="auto"/>
            </w:tcBorders>
            <w:hideMark/>
          </w:tcPr>
          <w:p w14:paraId="4092E842" w14:textId="77777777" w:rsidR="004A32A2" w:rsidRDefault="004A32A2">
            <w:pPr>
              <w:spacing w:after="0" w:line="276" w:lineRule="auto"/>
              <w:ind w:firstLine="0"/>
              <w:rPr>
                <w:rFonts w:asciiTheme="majorHAnsi" w:hAnsiTheme="majorHAnsi"/>
                <w:bCs/>
                <w:sz w:val="20"/>
                <w:szCs w:val="20"/>
              </w:rPr>
            </w:pPr>
            <w:r>
              <w:rPr>
                <w:rFonts w:asciiTheme="majorHAnsi" w:hAnsiTheme="majorHAnsi"/>
                <w:bCs/>
                <w:sz w:val="20"/>
                <w:szCs w:val="20"/>
              </w:rPr>
              <w:t>Co-Develop Solution</w:t>
            </w:r>
          </w:p>
        </w:tc>
        <w:tc>
          <w:tcPr>
            <w:tcW w:w="2546" w:type="dxa"/>
            <w:tcBorders>
              <w:top w:val="single" w:sz="12" w:space="0" w:color="auto"/>
              <w:left w:val="single" w:sz="4" w:space="0" w:color="auto"/>
              <w:bottom w:val="single" w:sz="4" w:space="0" w:color="auto"/>
              <w:right w:val="single" w:sz="4" w:space="0" w:color="auto"/>
            </w:tcBorders>
            <w:hideMark/>
          </w:tcPr>
          <w:p w14:paraId="5EE4F3E8"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Identify linkages</w:t>
            </w:r>
          </w:p>
        </w:tc>
        <w:tc>
          <w:tcPr>
            <w:tcW w:w="5130" w:type="dxa"/>
            <w:tcBorders>
              <w:top w:val="single" w:sz="12" w:space="0" w:color="auto"/>
              <w:left w:val="single" w:sz="4" w:space="0" w:color="auto"/>
              <w:bottom w:val="single" w:sz="4" w:space="0" w:color="auto"/>
              <w:right w:val="single" w:sz="4" w:space="0" w:color="auto"/>
            </w:tcBorders>
            <w:hideMark/>
          </w:tcPr>
          <w:p w14:paraId="106DF38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Identify how the product being developed could link with other groups, plans, or products in the space</w:t>
            </w:r>
            <w:r>
              <w:rPr>
                <w:rFonts w:asciiTheme="majorHAnsi" w:hAnsiTheme="majorHAnsi"/>
                <w:color w:val="0432FF"/>
                <w:sz w:val="20"/>
                <w:szCs w:val="20"/>
                <w:vertAlign w:val="superscript"/>
              </w:rPr>
              <w:t>59</w:t>
            </w:r>
          </w:p>
        </w:tc>
      </w:tr>
      <w:tr w:rsidR="004A32A2" w14:paraId="2E2004BE"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2035C039"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491C142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Combine demonstration with evaluation</w:t>
            </w:r>
          </w:p>
        </w:tc>
        <w:tc>
          <w:tcPr>
            <w:tcW w:w="5130" w:type="dxa"/>
            <w:tcBorders>
              <w:top w:val="single" w:sz="4" w:space="0" w:color="auto"/>
              <w:left w:val="single" w:sz="4" w:space="0" w:color="auto"/>
              <w:bottom w:val="single" w:sz="4" w:space="0" w:color="auto"/>
              <w:right w:val="single" w:sz="4" w:space="0" w:color="auto"/>
            </w:tcBorders>
            <w:hideMark/>
          </w:tcPr>
          <w:p w14:paraId="553D5CDA"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Combine product demonstrations with user testing to gather additional feedback</w:t>
            </w:r>
            <w:r>
              <w:rPr>
                <w:rFonts w:asciiTheme="majorHAnsi" w:hAnsiTheme="majorHAnsi"/>
                <w:color w:val="0432FF"/>
                <w:sz w:val="20"/>
                <w:szCs w:val="20"/>
                <w:vertAlign w:val="superscript"/>
              </w:rPr>
              <w:t>87</w:t>
            </w:r>
          </w:p>
        </w:tc>
      </w:tr>
      <w:tr w:rsidR="004A32A2" w14:paraId="6F3FF82A"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1D62B5EE"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6EEA3B2F"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Consider effectiveness of data visualization</w:t>
            </w:r>
          </w:p>
        </w:tc>
        <w:tc>
          <w:tcPr>
            <w:tcW w:w="5130" w:type="dxa"/>
            <w:tcBorders>
              <w:top w:val="single" w:sz="4" w:space="0" w:color="auto"/>
              <w:left w:val="single" w:sz="4" w:space="0" w:color="auto"/>
              <w:bottom w:val="single" w:sz="4" w:space="0" w:color="auto"/>
              <w:right w:val="single" w:sz="4" w:space="0" w:color="auto"/>
            </w:tcBorders>
            <w:hideMark/>
          </w:tcPr>
          <w:p w14:paraId="2AED5E1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Consider the utility, soundness, attractiveness, legibility, and user cognition when developing data visualizations</w:t>
            </w:r>
            <w:r>
              <w:rPr>
                <w:rFonts w:asciiTheme="majorHAnsi" w:hAnsiTheme="majorHAnsi"/>
                <w:color w:val="0432FF"/>
                <w:sz w:val="20"/>
                <w:szCs w:val="20"/>
                <w:vertAlign w:val="superscript"/>
              </w:rPr>
              <w:t>21, 61, 68</w:t>
            </w:r>
          </w:p>
        </w:tc>
      </w:tr>
      <w:tr w:rsidR="004A32A2" w14:paraId="313FB311"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420529B"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670DB4C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Ensure open deliberations</w:t>
            </w:r>
          </w:p>
        </w:tc>
        <w:tc>
          <w:tcPr>
            <w:tcW w:w="5130" w:type="dxa"/>
            <w:tcBorders>
              <w:top w:val="single" w:sz="4" w:space="0" w:color="auto"/>
              <w:left w:val="single" w:sz="4" w:space="0" w:color="auto"/>
              <w:bottom w:val="single" w:sz="4" w:space="0" w:color="auto"/>
              <w:right w:val="single" w:sz="4" w:space="0" w:color="auto"/>
            </w:tcBorders>
            <w:hideMark/>
          </w:tcPr>
          <w:p w14:paraId="13DD70DE"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Ensure that deliberations on the product and its development are open and able to be contributed to by every developer, stakeholder, and user</w:t>
            </w:r>
            <w:r>
              <w:rPr>
                <w:rFonts w:asciiTheme="majorHAnsi" w:hAnsiTheme="majorHAnsi"/>
                <w:color w:val="0432FF"/>
                <w:sz w:val="20"/>
                <w:szCs w:val="20"/>
                <w:vertAlign w:val="superscript"/>
              </w:rPr>
              <w:t>21</w:t>
            </w:r>
          </w:p>
        </w:tc>
      </w:tr>
      <w:tr w:rsidR="004A32A2" w14:paraId="4DAF24A4"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3C5526A"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73F79208"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Consider certainty and relevance in results</w:t>
            </w:r>
          </w:p>
        </w:tc>
        <w:tc>
          <w:tcPr>
            <w:tcW w:w="5130" w:type="dxa"/>
            <w:tcBorders>
              <w:top w:val="single" w:sz="4" w:space="0" w:color="auto"/>
              <w:left w:val="single" w:sz="4" w:space="0" w:color="auto"/>
              <w:bottom w:val="single" w:sz="4" w:space="0" w:color="auto"/>
              <w:right w:val="single" w:sz="4" w:space="0" w:color="auto"/>
            </w:tcBorders>
            <w:hideMark/>
          </w:tcPr>
          <w:p w14:paraId="7BAA41E7"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Consider the level of certainty (how well it is supported) and relevance when deciding what climate change information to display to stakeholders and users</w:t>
            </w:r>
            <w:r>
              <w:rPr>
                <w:rFonts w:asciiTheme="majorHAnsi" w:hAnsiTheme="majorHAnsi"/>
                <w:color w:val="0432FF"/>
                <w:sz w:val="20"/>
                <w:szCs w:val="20"/>
                <w:vertAlign w:val="superscript"/>
              </w:rPr>
              <w:t>90</w:t>
            </w:r>
          </w:p>
        </w:tc>
      </w:tr>
      <w:tr w:rsidR="004A32A2" w14:paraId="275CF983"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31D8CCE"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2FAFA3E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Display confidence in results</w:t>
            </w:r>
          </w:p>
        </w:tc>
        <w:tc>
          <w:tcPr>
            <w:tcW w:w="5130" w:type="dxa"/>
            <w:tcBorders>
              <w:top w:val="single" w:sz="4" w:space="0" w:color="auto"/>
              <w:left w:val="single" w:sz="4" w:space="0" w:color="auto"/>
              <w:bottom w:val="single" w:sz="4" w:space="0" w:color="auto"/>
              <w:right w:val="single" w:sz="4" w:space="0" w:color="auto"/>
            </w:tcBorders>
            <w:hideMark/>
          </w:tcPr>
          <w:p w14:paraId="002F0845"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Display an assessment of confidence in the results shown to users</w:t>
            </w:r>
            <w:r>
              <w:rPr>
                <w:rFonts w:asciiTheme="majorHAnsi" w:hAnsiTheme="majorHAnsi"/>
                <w:color w:val="0432FF"/>
                <w:sz w:val="20"/>
                <w:szCs w:val="20"/>
                <w:vertAlign w:val="superscript"/>
              </w:rPr>
              <w:t>55</w:t>
            </w:r>
          </w:p>
        </w:tc>
      </w:tr>
      <w:tr w:rsidR="004A32A2" w14:paraId="64E9E780"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34DCE425"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1929213B"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Place uncertainties in context</w:t>
            </w:r>
          </w:p>
        </w:tc>
        <w:tc>
          <w:tcPr>
            <w:tcW w:w="5130" w:type="dxa"/>
            <w:tcBorders>
              <w:top w:val="single" w:sz="4" w:space="0" w:color="auto"/>
              <w:left w:val="single" w:sz="4" w:space="0" w:color="auto"/>
              <w:bottom w:val="single" w:sz="4" w:space="0" w:color="auto"/>
              <w:right w:val="single" w:sz="4" w:space="0" w:color="auto"/>
            </w:tcBorders>
            <w:hideMark/>
          </w:tcPr>
          <w:p w14:paraId="59EC9A57"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Place climate change uncertainties in the context of how they are simulated and how well they are known</w:t>
            </w:r>
            <w:r>
              <w:rPr>
                <w:rFonts w:asciiTheme="majorHAnsi" w:hAnsiTheme="majorHAnsi"/>
                <w:color w:val="0432FF"/>
                <w:sz w:val="20"/>
                <w:szCs w:val="20"/>
                <w:vertAlign w:val="superscript"/>
              </w:rPr>
              <w:t>90</w:t>
            </w:r>
          </w:p>
        </w:tc>
      </w:tr>
      <w:tr w:rsidR="004A32A2" w14:paraId="6CCCEE83"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C6308EA"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7E59FD0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Identify scenario and projection limits</w:t>
            </w:r>
          </w:p>
        </w:tc>
        <w:tc>
          <w:tcPr>
            <w:tcW w:w="5130" w:type="dxa"/>
            <w:tcBorders>
              <w:top w:val="single" w:sz="4" w:space="0" w:color="auto"/>
              <w:left w:val="single" w:sz="4" w:space="0" w:color="auto"/>
              <w:bottom w:val="single" w:sz="4" w:space="0" w:color="auto"/>
              <w:right w:val="single" w:sz="4" w:space="0" w:color="auto"/>
            </w:tcBorders>
            <w:hideMark/>
          </w:tcPr>
          <w:p w14:paraId="5D4CF7D8"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Identify scientific and technical limitations regarding use of climate change scenarios, projections, and information in the product</w:t>
            </w:r>
            <w:r>
              <w:rPr>
                <w:rFonts w:asciiTheme="majorHAnsi" w:hAnsiTheme="majorHAnsi"/>
                <w:color w:val="0432FF"/>
                <w:sz w:val="20"/>
                <w:szCs w:val="20"/>
                <w:vertAlign w:val="superscript"/>
              </w:rPr>
              <w:t>90</w:t>
            </w:r>
          </w:p>
        </w:tc>
      </w:tr>
      <w:tr w:rsidR="004A32A2" w14:paraId="1742B75D"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CE6F7A7"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13B7700D"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Highlight realm of possibility</w:t>
            </w:r>
          </w:p>
        </w:tc>
        <w:tc>
          <w:tcPr>
            <w:tcW w:w="5130" w:type="dxa"/>
            <w:tcBorders>
              <w:top w:val="single" w:sz="4" w:space="0" w:color="auto"/>
              <w:left w:val="single" w:sz="4" w:space="0" w:color="auto"/>
              <w:bottom w:val="single" w:sz="4" w:space="0" w:color="auto"/>
              <w:right w:val="single" w:sz="4" w:space="0" w:color="auto"/>
            </w:tcBorders>
            <w:hideMark/>
          </w:tcPr>
          <w:p w14:paraId="7F5266E7"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 xml:space="preserve">Highlight to stakeholders and users what is possible and what is not according </w:t>
            </w:r>
            <w:proofErr w:type="gramStart"/>
            <w:r>
              <w:rPr>
                <w:rFonts w:asciiTheme="majorHAnsi" w:hAnsiTheme="majorHAnsi"/>
                <w:sz w:val="20"/>
                <w:szCs w:val="20"/>
              </w:rPr>
              <w:t>to</w:t>
            </w:r>
            <w:proofErr w:type="gramEnd"/>
            <w:r>
              <w:rPr>
                <w:rFonts w:asciiTheme="majorHAnsi" w:hAnsiTheme="majorHAnsi"/>
                <w:sz w:val="20"/>
                <w:szCs w:val="20"/>
              </w:rPr>
              <w:t xml:space="preserve"> scientific feasibility</w:t>
            </w:r>
            <w:r>
              <w:rPr>
                <w:rFonts w:asciiTheme="majorHAnsi" w:hAnsiTheme="majorHAnsi"/>
                <w:color w:val="0432FF"/>
                <w:sz w:val="20"/>
                <w:szCs w:val="20"/>
                <w:vertAlign w:val="superscript"/>
              </w:rPr>
              <w:t>90</w:t>
            </w:r>
          </w:p>
        </w:tc>
      </w:tr>
      <w:tr w:rsidR="004A32A2" w14:paraId="51EDCEA2"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5811F9B"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75A67FA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Implement internal issue reporting system</w:t>
            </w:r>
          </w:p>
        </w:tc>
        <w:tc>
          <w:tcPr>
            <w:tcW w:w="5130" w:type="dxa"/>
            <w:tcBorders>
              <w:top w:val="single" w:sz="4" w:space="0" w:color="auto"/>
              <w:left w:val="single" w:sz="4" w:space="0" w:color="auto"/>
              <w:bottom w:val="single" w:sz="4" w:space="0" w:color="auto"/>
              <w:right w:val="single" w:sz="4" w:space="0" w:color="auto"/>
            </w:tcBorders>
            <w:hideMark/>
          </w:tcPr>
          <w:p w14:paraId="0F7D3884"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Implement a system to track issues and bugs as the product is being developed</w:t>
            </w:r>
            <w:r>
              <w:rPr>
                <w:rFonts w:asciiTheme="majorHAnsi" w:hAnsiTheme="majorHAnsi"/>
                <w:color w:val="0432FF"/>
                <w:sz w:val="20"/>
                <w:szCs w:val="20"/>
                <w:vertAlign w:val="superscript"/>
              </w:rPr>
              <w:t>16</w:t>
            </w:r>
          </w:p>
        </w:tc>
      </w:tr>
      <w:tr w:rsidR="004A32A2" w14:paraId="001955E4"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2B1CFCE9"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121F4B3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Designate process leader</w:t>
            </w:r>
          </w:p>
        </w:tc>
        <w:tc>
          <w:tcPr>
            <w:tcW w:w="5130" w:type="dxa"/>
            <w:tcBorders>
              <w:top w:val="single" w:sz="4" w:space="0" w:color="auto"/>
              <w:left w:val="single" w:sz="4" w:space="0" w:color="auto"/>
              <w:bottom w:val="single" w:sz="4" w:space="0" w:color="auto"/>
              <w:right w:val="single" w:sz="4" w:space="0" w:color="auto"/>
            </w:tcBorders>
            <w:hideMark/>
          </w:tcPr>
          <w:p w14:paraId="55963FC5"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Designate an individual who will facilitate overall product development processes and ensure goals and priorities are understood across developers</w:t>
            </w:r>
            <w:r>
              <w:rPr>
                <w:rFonts w:asciiTheme="majorHAnsi" w:hAnsiTheme="majorHAnsi"/>
                <w:color w:val="0432FF"/>
                <w:sz w:val="20"/>
                <w:szCs w:val="20"/>
                <w:vertAlign w:val="superscript"/>
              </w:rPr>
              <w:t>16</w:t>
            </w:r>
          </w:p>
        </w:tc>
      </w:tr>
      <w:tr w:rsidR="004A32A2" w14:paraId="5D114201"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6700BFD4"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22CC041B"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Implement flexible process</w:t>
            </w:r>
          </w:p>
        </w:tc>
        <w:tc>
          <w:tcPr>
            <w:tcW w:w="5130" w:type="dxa"/>
            <w:tcBorders>
              <w:top w:val="single" w:sz="4" w:space="0" w:color="auto"/>
              <w:left w:val="single" w:sz="4" w:space="0" w:color="auto"/>
              <w:bottom w:val="single" w:sz="4" w:space="0" w:color="auto"/>
              <w:right w:val="single" w:sz="4" w:space="0" w:color="auto"/>
            </w:tcBorders>
            <w:hideMark/>
          </w:tcPr>
          <w:p w14:paraId="07C649FE"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Implement a process (for example, agile methodology) that allows for flexibility and adjustments to product developments as feedback is gathered and user needs are refined</w:t>
            </w:r>
            <w:r>
              <w:rPr>
                <w:rFonts w:asciiTheme="majorHAnsi" w:hAnsiTheme="majorHAnsi"/>
                <w:color w:val="0432FF"/>
                <w:sz w:val="20"/>
                <w:szCs w:val="20"/>
                <w:vertAlign w:val="superscript"/>
              </w:rPr>
              <w:t>16, 36</w:t>
            </w:r>
          </w:p>
        </w:tc>
      </w:tr>
      <w:tr w:rsidR="004A32A2" w14:paraId="332D1C2F"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A1E0B0F"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6D9B317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Designate priority users</w:t>
            </w:r>
          </w:p>
        </w:tc>
        <w:tc>
          <w:tcPr>
            <w:tcW w:w="5130" w:type="dxa"/>
            <w:tcBorders>
              <w:top w:val="single" w:sz="4" w:space="0" w:color="auto"/>
              <w:left w:val="single" w:sz="4" w:space="0" w:color="auto"/>
              <w:bottom w:val="single" w:sz="4" w:space="0" w:color="auto"/>
              <w:right w:val="single" w:sz="4" w:space="0" w:color="auto"/>
            </w:tcBorders>
            <w:hideMark/>
          </w:tcPr>
          <w:p w14:paraId="75C5752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Designate priority users who are invested and can provide regular feedback, participate in co-developing the product, ensure it supports decision-making, and champion its release</w:t>
            </w:r>
            <w:r>
              <w:rPr>
                <w:rFonts w:asciiTheme="majorHAnsi" w:hAnsiTheme="majorHAnsi"/>
                <w:color w:val="0432FF"/>
                <w:sz w:val="20"/>
                <w:szCs w:val="20"/>
                <w:vertAlign w:val="superscript"/>
              </w:rPr>
              <w:t>16</w:t>
            </w:r>
          </w:p>
        </w:tc>
      </w:tr>
      <w:tr w:rsidR="004A32A2" w14:paraId="57B625D9"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649F1302"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45A92F0F"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Ensure continuous user involvement</w:t>
            </w:r>
          </w:p>
        </w:tc>
        <w:tc>
          <w:tcPr>
            <w:tcW w:w="5130" w:type="dxa"/>
            <w:tcBorders>
              <w:top w:val="single" w:sz="4" w:space="0" w:color="auto"/>
              <w:left w:val="single" w:sz="4" w:space="0" w:color="auto"/>
              <w:bottom w:val="single" w:sz="4" w:space="0" w:color="auto"/>
              <w:right w:val="single" w:sz="4" w:space="0" w:color="auto"/>
            </w:tcBorders>
            <w:hideMark/>
          </w:tcPr>
          <w:p w14:paraId="067F2B8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Ensure users are included throughout the development of the product</w:t>
            </w:r>
            <w:r>
              <w:rPr>
                <w:rFonts w:asciiTheme="majorHAnsi" w:hAnsiTheme="majorHAnsi"/>
                <w:color w:val="0432FF"/>
                <w:sz w:val="20"/>
                <w:szCs w:val="20"/>
                <w:vertAlign w:val="superscript"/>
              </w:rPr>
              <w:t>7</w:t>
            </w:r>
          </w:p>
        </w:tc>
      </w:tr>
      <w:tr w:rsidR="004A32A2" w14:paraId="55EBC773"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1D6D213"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2945C70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Develop multiple prototypes</w:t>
            </w:r>
          </w:p>
        </w:tc>
        <w:tc>
          <w:tcPr>
            <w:tcW w:w="5130" w:type="dxa"/>
            <w:tcBorders>
              <w:top w:val="single" w:sz="4" w:space="0" w:color="auto"/>
              <w:left w:val="single" w:sz="4" w:space="0" w:color="auto"/>
              <w:bottom w:val="single" w:sz="4" w:space="0" w:color="auto"/>
              <w:right w:val="single" w:sz="4" w:space="0" w:color="auto"/>
            </w:tcBorders>
            <w:hideMark/>
          </w:tcPr>
          <w:p w14:paraId="74F0D36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Develop and test more than one prototype to allow for further feedback, development, and tailoring to user needs</w:t>
            </w:r>
            <w:r>
              <w:rPr>
                <w:rFonts w:asciiTheme="majorHAnsi" w:hAnsiTheme="majorHAnsi"/>
                <w:color w:val="0432FF"/>
                <w:sz w:val="20"/>
                <w:szCs w:val="20"/>
                <w:vertAlign w:val="superscript"/>
              </w:rPr>
              <w:t>44, 85</w:t>
            </w:r>
          </w:p>
        </w:tc>
      </w:tr>
      <w:tr w:rsidR="004A32A2" w14:paraId="04C97E9E"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14F724C"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6FE0C08C"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Frame climate information</w:t>
            </w:r>
          </w:p>
        </w:tc>
        <w:tc>
          <w:tcPr>
            <w:tcW w:w="5130" w:type="dxa"/>
            <w:tcBorders>
              <w:top w:val="single" w:sz="4" w:space="0" w:color="auto"/>
              <w:left w:val="single" w:sz="4" w:space="0" w:color="auto"/>
              <w:bottom w:val="single" w:sz="4" w:space="0" w:color="auto"/>
              <w:right w:val="single" w:sz="4" w:space="0" w:color="auto"/>
            </w:tcBorders>
            <w:hideMark/>
          </w:tcPr>
          <w:p w14:paraId="1C47AD2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Frame climate information, language, and terminology according to user realities and expertise</w:t>
            </w:r>
            <w:r>
              <w:rPr>
                <w:rFonts w:asciiTheme="majorHAnsi" w:hAnsiTheme="majorHAnsi"/>
                <w:color w:val="0432FF"/>
                <w:sz w:val="20"/>
                <w:szCs w:val="20"/>
                <w:vertAlign w:val="superscript"/>
              </w:rPr>
              <w:t>40</w:t>
            </w:r>
          </w:p>
        </w:tc>
      </w:tr>
      <w:tr w:rsidR="004A32A2" w14:paraId="5A581D96"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410B2CA5"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64BC871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Build good working relationships</w:t>
            </w:r>
          </w:p>
        </w:tc>
        <w:tc>
          <w:tcPr>
            <w:tcW w:w="5130" w:type="dxa"/>
            <w:tcBorders>
              <w:top w:val="single" w:sz="4" w:space="0" w:color="auto"/>
              <w:left w:val="single" w:sz="4" w:space="0" w:color="auto"/>
              <w:bottom w:val="single" w:sz="4" w:space="0" w:color="auto"/>
              <w:right w:val="single" w:sz="4" w:space="0" w:color="auto"/>
            </w:tcBorders>
            <w:hideMark/>
          </w:tcPr>
          <w:p w14:paraId="2F974C55"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Build good working relationships with stakeholders and users through dedicated collaborations, incorporation of feedback, and frequent interaction</w:t>
            </w:r>
            <w:r>
              <w:rPr>
                <w:rFonts w:asciiTheme="majorHAnsi" w:hAnsiTheme="majorHAnsi"/>
                <w:color w:val="0432FF"/>
                <w:sz w:val="20"/>
                <w:szCs w:val="20"/>
                <w:vertAlign w:val="superscript"/>
              </w:rPr>
              <w:t>91</w:t>
            </w:r>
          </w:p>
        </w:tc>
      </w:tr>
      <w:tr w:rsidR="004A32A2" w14:paraId="04908C54"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173F2FD"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583D922D"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Develop user capacity</w:t>
            </w:r>
          </w:p>
        </w:tc>
        <w:tc>
          <w:tcPr>
            <w:tcW w:w="5130" w:type="dxa"/>
            <w:tcBorders>
              <w:top w:val="single" w:sz="4" w:space="0" w:color="auto"/>
              <w:left w:val="single" w:sz="4" w:space="0" w:color="auto"/>
              <w:bottom w:val="single" w:sz="4" w:space="0" w:color="auto"/>
              <w:right w:val="single" w:sz="4" w:space="0" w:color="auto"/>
            </w:tcBorders>
            <w:hideMark/>
          </w:tcPr>
          <w:p w14:paraId="4D1DA004"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Develop user expertise on any confusion or knowledge gaps in product function or results</w:t>
            </w:r>
            <w:r>
              <w:rPr>
                <w:rFonts w:asciiTheme="majorHAnsi" w:hAnsiTheme="majorHAnsi"/>
                <w:color w:val="0432FF"/>
                <w:sz w:val="20"/>
                <w:szCs w:val="20"/>
                <w:vertAlign w:val="superscript"/>
              </w:rPr>
              <w:t>61, 84</w:t>
            </w:r>
          </w:p>
        </w:tc>
      </w:tr>
      <w:tr w:rsidR="004A32A2" w14:paraId="34117EB0"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386421F2"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747719ED"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Ensure technical accessibility</w:t>
            </w:r>
          </w:p>
        </w:tc>
        <w:tc>
          <w:tcPr>
            <w:tcW w:w="5130" w:type="dxa"/>
            <w:tcBorders>
              <w:top w:val="single" w:sz="4" w:space="0" w:color="auto"/>
              <w:left w:val="single" w:sz="4" w:space="0" w:color="auto"/>
              <w:bottom w:val="single" w:sz="4" w:space="0" w:color="auto"/>
              <w:right w:val="single" w:sz="4" w:space="0" w:color="auto"/>
            </w:tcBorders>
            <w:hideMark/>
          </w:tcPr>
          <w:p w14:paraId="182A9136"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Ensure technical accessibility by following accessibility standards that allow everyone to effectively and easily use the product</w:t>
            </w:r>
            <w:r>
              <w:rPr>
                <w:rFonts w:asciiTheme="majorHAnsi" w:hAnsiTheme="majorHAnsi"/>
                <w:color w:val="0432FF"/>
                <w:sz w:val="20"/>
                <w:szCs w:val="20"/>
                <w:vertAlign w:val="superscript"/>
              </w:rPr>
              <w:t>61</w:t>
            </w:r>
          </w:p>
        </w:tc>
      </w:tr>
      <w:tr w:rsidR="004A32A2" w14:paraId="40330AC3"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1E35F703"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1751F61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Ensure consistent terminology and visualizations</w:t>
            </w:r>
          </w:p>
        </w:tc>
        <w:tc>
          <w:tcPr>
            <w:tcW w:w="5130" w:type="dxa"/>
            <w:tcBorders>
              <w:top w:val="single" w:sz="4" w:space="0" w:color="auto"/>
              <w:left w:val="single" w:sz="4" w:space="0" w:color="auto"/>
              <w:bottom w:val="single" w:sz="4" w:space="0" w:color="auto"/>
              <w:right w:val="single" w:sz="4" w:space="0" w:color="auto"/>
            </w:tcBorders>
            <w:hideMark/>
          </w:tcPr>
          <w:p w14:paraId="3E5AE5EA"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Ensure that terminology and visualization used throughout product is consistent and standardized</w:t>
            </w:r>
            <w:r>
              <w:rPr>
                <w:rFonts w:asciiTheme="majorHAnsi" w:hAnsiTheme="majorHAnsi"/>
                <w:color w:val="0432FF"/>
                <w:sz w:val="20"/>
                <w:szCs w:val="20"/>
                <w:vertAlign w:val="superscript"/>
              </w:rPr>
              <w:t>26</w:t>
            </w:r>
          </w:p>
        </w:tc>
      </w:tr>
      <w:tr w:rsidR="004A32A2" w14:paraId="72A29530"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130C2FF"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46B5502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Store and document data</w:t>
            </w:r>
          </w:p>
        </w:tc>
        <w:tc>
          <w:tcPr>
            <w:tcW w:w="5130" w:type="dxa"/>
            <w:tcBorders>
              <w:top w:val="single" w:sz="4" w:space="0" w:color="auto"/>
              <w:left w:val="single" w:sz="4" w:space="0" w:color="auto"/>
              <w:bottom w:val="single" w:sz="4" w:space="0" w:color="auto"/>
              <w:right w:val="single" w:sz="4" w:space="0" w:color="auto"/>
            </w:tcBorders>
            <w:hideMark/>
          </w:tcPr>
          <w:p w14:paraId="34D1E09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Store data to prevent data loss and document data with metadata using international standards to ensure proper interpretation of values</w:t>
            </w:r>
            <w:r>
              <w:rPr>
                <w:rFonts w:asciiTheme="majorHAnsi" w:hAnsiTheme="majorHAnsi"/>
                <w:color w:val="0432FF"/>
                <w:sz w:val="20"/>
                <w:szCs w:val="20"/>
                <w:vertAlign w:val="superscript"/>
              </w:rPr>
              <w:t>55</w:t>
            </w:r>
          </w:p>
        </w:tc>
      </w:tr>
      <w:tr w:rsidR="004A32A2" w14:paraId="14C9D758"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62424E71"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12" w:space="0" w:color="auto"/>
              <w:right w:val="single" w:sz="4" w:space="0" w:color="auto"/>
            </w:tcBorders>
            <w:hideMark/>
          </w:tcPr>
          <w:p w14:paraId="24C83692"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Ensure connection to action</w:t>
            </w:r>
          </w:p>
        </w:tc>
        <w:tc>
          <w:tcPr>
            <w:tcW w:w="5130" w:type="dxa"/>
            <w:tcBorders>
              <w:top w:val="single" w:sz="4" w:space="0" w:color="auto"/>
              <w:left w:val="single" w:sz="4" w:space="0" w:color="auto"/>
              <w:bottom w:val="single" w:sz="12" w:space="0" w:color="auto"/>
              <w:right w:val="single" w:sz="4" w:space="0" w:color="auto"/>
            </w:tcBorders>
            <w:hideMark/>
          </w:tcPr>
          <w:p w14:paraId="2FE239A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Ensure that information and results from product connect to adaptation priorities, decision-making, and actions</w:t>
            </w:r>
            <w:r>
              <w:rPr>
                <w:rFonts w:asciiTheme="majorHAnsi" w:hAnsiTheme="majorHAnsi"/>
                <w:color w:val="0432FF"/>
                <w:sz w:val="20"/>
                <w:szCs w:val="20"/>
                <w:vertAlign w:val="superscript"/>
              </w:rPr>
              <w:t>55</w:t>
            </w:r>
          </w:p>
        </w:tc>
      </w:tr>
      <w:tr w:rsidR="004A32A2" w14:paraId="06887D53" w14:textId="77777777">
        <w:tc>
          <w:tcPr>
            <w:tcW w:w="1319" w:type="dxa"/>
            <w:vMerge w:val="restart"/>
            <w:tcBorders>
              <w:top w:val="single" w:sz="12" w:space="0" w:color="auto"/>
              <w:left w:val="single" w:sz="4" w:space="0" w:color="auto"/>
              <w:bottom w:val="single" w:sz="12" w:space="0" w:color="auto"/>
              <w:right w:val="single" w:sz="4" w:space="0" w:color="auto"/>
            </w:tcBorders>
            <w:hideMark/>
          </w:tcPr>
          <w:p w14:paraId="1E56F621" w14:textId="77777777" w:rsidR="004A32A2" w:rsidRDefault="004A32A2">
            <w:pPr>
              <w:spacing w:after="0" w:line="276" w:lineRule="auto"/>
              <w:ind w:firstLine="0"/>
              <w:rPr>
                <w:rFonts w:asciiTheme="majorHAnsi" w:hAnsiTheme="majorHAnsi"/>
                <w:bCs/>
                <w:sz w:val="20"/>
                <w:szCs w:val="20"/>
              </w:rPr>
            </w:pPr>
            <w:r>
              <w:rPr>
                <w:rFonts w:asciiTheme="majorHAnsi" w:hAnsiTheme="majorHAnsi"/>
                <w:bCs/>
                <w:sz w:val="20"/>
                <w:szCs w:val="20"/>
              </w:rPr>
              <w:t>Co-Deliver Solution</w:t>
            </w:r>
          </w:p>
        </w:tc>
        <w:tc>
          <w:tcPr>
            <w:tcW w:w="2546" w:type="dxa"/>
            <w:tcBorders>
              <w:top w:val="single" w:sz="12" w:space="0" w:color="auto"/>
              <w:left w:val="single" w:sz="4" w:space="0" w:color="auto"/>
              <w:bottom w:val="single" w:sz="4" w:space="0" w:color="auto"/>
              <w:right w:val="single" w:sz="4" w:space="0" w:color="auto"/>
            </w:tcBorders>
            <w:hideMark/>
          </w:tcPr>
          <w:p w14:paraId="092D1B72"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Establish communication strategy</w:t>
            </w:r>
          </w:p>
        </w:tc>
        <w:tc>
          <w:tcPr>
            <w:tcW w:w="5130" w:type="dxa"/>
            <w:tcBorders>
              <w:top w:val="single" w:sz="12" w:space="0" w:color="auto"/>
              <w:left w:val="single" w:sz="4" w:space="0" w:color="auto"/>
              <w:bottom w:val="single" w:sz="4" w:space="0" w:color="auto"/>
              <w:right w:val="single" w:sz="4" w:space="0" w:color="auto"/>
            </w:tcBorders>
            <w:hideMark/>
          </w:tcPr>
          <w:p w14:paraId="22829485"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Establish a communication strategy that addresses how the information provided by the product is credible, legitimate, and salient</w:t>
            </w:r>
            <w:r>
              <w:rPr>
                <w:rFonts w:asciiTheme="majorHAnsi" w:hAnsiTheme="majorHAnsi"/>
                <w:color w:val="0432FF"/>
                <w:sz w:val="20"/>
                <w:szCs w:val="20"/>
                <w:vertAlign w:val="superscript"/>
              </w:rPr>
              <w:t>19</w:t>
            </w:r>
          </w:p>
        </w:tc>
      </w:tr>
      <w:tr w:rsidR="004A32A2" w14:paraId="1ECC404C"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3D3C85CF"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55E639E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Provide in-product guidance</w:t>
            </w:r>
          </w:p>
        </w:tc>
        <w:tc>
          <w:tcPr>
            <w:tcW w:w="5130" w:type="dxa"/>
            <w:tcBorders>
              <w:top w:val="single" w:sz="4" w:space="0" w:color="auto"/>
              <w:left w:val="single" w:sz="4" w:space="0" w:color="auto"/>
              <w:bottom w:val="single" w:sz="4" w:space="0" w:color="auto"/>
              <w:right w:val="single" w:sz="4" w:space="0" w:color="auto"/>
            </w:tcBorders>
            <w:hideMark/>
          </w:tcPr>
          <w:p w14:paraId="7C49303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Provide guidance and tutorials that “pop-up” on screen or are accessible to users as they operate the product</w:t>
            </w:r>
            <w:r>
              <w:rPr>
                <w:rFonts w:asciiTheme="majorHAnsi" w:hAnsiTheme="majorHAnsi"/>
                <w:color w:val="0432FF"/>
                <w:sz w:val="20"/>
                <w:szCs w:val="20"/>
                <w:vertAlign w:val="superscript"/>
              </w:rPr>
              <w:t>16, 20</w:t>
            </w:r>
          </w:p>
        </w:tc>
      </w:tr>
      <w:tr w:rsidR="004A32A2" w14:paraId="7D873DCF"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1CCB56A3"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3FC7797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Provide tailored materials</w:t>
            </w:r>
          </w:p>
        </w:tc>
        <w:tc>
          <w:tcPr>
            <w:tcW w:w="5130" w:type="dxa"/>
            <w:tcBorders>
              <w:top w:val="single" w:sz="4" w:space="0" w:color="auto"/>
              <w:left w:val="single" w:sz="4" w:space="0" w:color="auto"/>
              <w:bottom w:val="single" w:sz="4" w:space="0" w:color="auto"/>
              <w:right w:val="single" w:sz="4" w:space="0" w:color="auto"/>
            </w:tcBorders>
            <w:hideMark/>
          </w:tcPr>
          <w:p w14:paraId="628AAFCD"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Provide tailored product materials according to local language and context</w:t>
            </w:r>
            <w:r>
              <w:rPr>
                <w:rFonts w:asciiTheme="majorHAnsi" w:hAnsiTheme="majorHAnsi"/>
                <w:color w:val="0432FF"/>
                <w:sz w:val="20"/>
                <w:szCs w:val="20"/>
                <w:vertAlign w:val="superscript"/>
              </w:rPr>
              <w:t>21</w:t>
            </w:r>
          </w:p>
        </w:tc>
      </w:tr>
      <w:tr w:rsidR="004A32A2" w14:paraId="33667890"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485B3572"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6E1E2B0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Communicate and disseminate product</w:t>
            </w:r>
          </w:p>
        </w:tc>
        <w:tc>
          <w:tcPr>
            <w:tcW w:w="5130" w:type="dxa"/>
            <w:tcBorders>
              <w:top w:val="single" w:sz="4" w:space="0" w:color="auto"/>
              <w:left w:val="single" w:sz="4" w:space="0" w:color="auto"/>
              <w:bottom w:val="single" w:sz="4" w:space="0" w:color="auto"/>
              <w:right w:val="single" w:sz="4" w:space="0" w:color="auto"/>
            </w:tcBorders>
            <w:hideMark/>
          </w:tcPr>
          <w:p w14:paraId="1664C857"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Communicate and disseminate the product through technologies such as social media or partnerships with relevant organizations</w:t>
            </w:r>
            <w:r>
              <w:rPr>
                <w:rFonts w:asciiTheme="majorHAnsi" w:hAnsiTheme="majorHAnsi"/>
                <w:color w:val="0432FF"/>
                <w:sz w:val="20"/>
                <w:szCs w:val="20"/>
                <w:vertAlign w:val="superscript"/>
              </w:rPr>
              <w:t>21</w:t>
            </w:r>
          </w:p>
        </w:tc>
      </w:tr>
      <w:tr w:rsidR="004A32A2" w14:paraId="2A15E3A7"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D2C06AC"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1D08F6F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Ensure staffing post-launch</w:t>
            </w:r>
          </w:p>
        </w:tc>
        <w:tc>
          <w:tcPr>
            <w:tcW w:w="5130" w:type="dxa"/>
            <w:tcBorders>
              <w:top w:val="single" w:sz="4" w:space="0" w:color="auto"/>
              <w:left w:val="single" w:sz="4" w:space="0" w:color="auto"/>
              <w:bottom w:val="single" w:sz="4" w:space="0" w:color="auto"/>
              <w:right w:val="single" w:sz="4" w:space="0" w:color="auto"/>
            </w:tcBorders>
            <w:hideMark/>
          </w:tcPr>
          <w:p w14:paraId="7BF611CD"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Ensure adequate staffing and additional resources to support the product after it’s launched</w:t>
            </w:r>
            <w:r>
              <w:rPr>
                <w:rFonts w:asciiTheme="majorHAnsi" w:hAnsiTheme="majorHAnsi"/>
                <w:color w:val="0432FF"/>
                <w:sz w:val="20"/>
                <w:szCs w:val="20"/>
                <w:vertAlign w:val="superscript"/>
              </w:rPr>
              <w:t>84</w:t>
            </w:r>
          </w:p>
        </w:tc>
      </w:tr>
      <w:tr w:rsidR="004A32A2" w14:paraId="5CC6B4F9"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24CB5303"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273C6FA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Consider different dissemination channels</w:t>
            </w:r>
          </w:p>
        </w:tc>
        <w:tc>
          <w:tcPr>
            <w:tcW w:w="5130" w:type="dxa"/>
            <w:tcBorders>
              <w:top w:val="single" w:sz="4" w:space="0" w:color="auto"/>
              <w:left w:val="single" w:sz="4" w:space="0" w:color="auto"/>
              <w:bottom w:val="single" w:sz="4" w:space="0" w:color="auto"/>
              <w:right w:val="single" w:sz="4" w:space="0" w:color="auto"/>
            </w:tcBorders>
            <w:hideMark/>
          </w:tcPr>
          <w:p w14:paraId="54946A8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Consider sharing information and results across different channels such as local radio stations or text messaging</w:t>
            </w:r>
            <w:r>
              <w:rPr>
                <w:rFonts w:asciiTheme="majorHAnsi" w:hAnsiTheme="majorHAnsi"/>
                <w:color w:val="0432FF"/>
                <w:sz w:val="20"/>
                <w:szCs w:val="20"/>
                <w:vertAlign w:val="superscript"/>
              </w:rPr>
              <w:t>84</w:t>
            </w:r>
          </w:p>
        </w:tc>
      </w:tr>
      <w:tr w:rsidR="004A32A2" w14:paraId="19F2F1B0"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4E1993B1"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4643C1F8"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Provide online learning resources</w:t>
            </w:r>
          </w:p>
        </w:tc>
        <w:tc>
          <w:tcPr>
            <w:tcW w:w="5130" w:type="dxa"/>
            <w:tcBorders>
              <w:top w:val="single" w:sz="4" w:space="0" w:color="auto"/>
              <w:left w:val="single" w:sz="4" w:space="0" w:color="auto"/>
              <w:bottom w:val="single" w:sz="4" w:space="0" w:color="auto"/>
              <w:right w:val="single" w:sz="4" w:space="0" w:color="auto"/>
            </w:tcBorders>
            <w:hideMark/>
          </w:tcPr>
          <w:p w14:paraId="30752AAD"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Provide online learning resources for those unable to attend an in-person training or capacity-building session</w:t>
            </w:r>
            <w:r>
              <w:rPr>
                <w:rFonts w:asciiTheme="majorHAnsi" w:hAnsiTheme="majorHAnsi"/>
                <w:color w:val="0432FF"/>
                <w:sz w:val="20"/>
                <w:szCs w:val="20"/>
                <w:vertAlign w:val="superscript"/>
              </w:rPr>
              <w:t>84</w:t>
            </w:r>
          </w:p>
        </w:tc>
      </w:tr>
      <w:tr w:rsidR="004A32A2" w14:paraId="135AF01B"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182EA151"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12" w:space="0" w:color="auto"/>
              <w:right w:val="single" w:sz="4" w:space="0" w:color="auto"/>
            </w:tcBorders>
            <w:hideMark/>
          </w:tcPr>
          <w:p w14:paraId="4FEF52A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Review final product</w:t>
            </w:r>
          </w:p>
        </w:tc>
        <w:tc>
          <w:tcPr>
            <w:tcW w:w="5130" w:type="dxa"/>
            <w:tcBorders>
              <w:top w:val="single" w:sz="4" w:space="0" w:color="auto"/>
              <w:left w:val="single" w:sz="4" w:space="0" w:color="auto"/>
              <w:bottom w:val="single" w:sz="12" w:space="0" w:color="auto"/>
              <w:right w:val="single" w:sz="4" w:space="0" w:color="auto"/>
            </w:tcBorders>
            <w:hideMark/>
          </w:tcPr>
          <w:p w14:paraId="2B41B8CA"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Review final product and ensure it meets outlined needs and requirements</w:t>
            </w:r>
            <w:r>
              <w:rPr>
                <w:rFonts w:asciiTheme="majorHAnsi" w:hAnsiTheme="majorHAnsi"/>
                <w:color w:val="0432FF"/>
                <w:sz w:val="20"/>
                <w:szCs w:val="20"/>
                <w:vertAlign w:val="superscript"/>
              </w:rPr>
              <w:t>61</w:t>
            </w:r>
          </w:p>
        </w:tc>
      </w:tr>
      <w:tr w:rsidR="004A32A2" w14:paraId="6D00272D" w14:textId="77777777">
        <w:tc>
          <w:tcPr>
            <w:tcW w:w="1319" w:type="dxa"/>
            <w:vMerge w:val="restart"/>
            <w:tcBorders>
              <w:top w:val="single" w:sz="12" w:space="0" w:color="auto"/>
              <w:left w:val="single" w:sz="4" w:space="0" w:color="auto"/>
              <w:bottom w:val="single" w:sz="4" w:space="0" w:color="auto"/>
              <w:right w:val="single" w:sz="4" w:space="0" w:color="auto"/>
            </w:tcBorders>
            <w:hideMark/>
          </w:tcPr>
          <w:p w14:paraId="22BA03AB" w14:textId="77777777" w:rsidR="004A32A2" w:rsidRDefault="004A32A2">
            <w:pPr>
              <w:spacing w:after="0" w:line="276" w:lineRule="auto"/>
              <w:ind w:firstLine="0"/>
              <w:rPr>
                <w:rFonts w:asciiTheme="majorHAnsi" w:hAnsiTheme="majorHAnsi"/>
                <w:bCs/>
                <w:sz w:val="20"/>
                <w:szCs w:val="20"/>
              </w:rPr>
            </w:pPr>
            <w:r>
              <w:rPr>
                <w:rFonts w:asciiTheme="majorHAnsi" w:hAnsiTheme="majorHAnsi"/>
                <w:bCs/>
                <w:sz w:val="20"/>
                <w:szCs w:val="20"/>
              </w:rPr>
              <w:t>Evaluate</w:t>
            </w:r>
          </w:p>
        </w:tc>
        <w:tc>
          <w:tcPr>
            <w:tcW w:w="2546" w:type="dxa"/>
            <w:tcBorders>
              <w:top w:val="single" w:sz="12" w:space="0" w:color="auto"/>
              <w:left w:val="single" w:sz="4" w:space="0" w:color="auto"/>
              <w:bottom w:val="single" w:sz="4" w:space="0" w:color="auto"/>
              <w:right w:val="single" w:sz="4" w:space="0" w:color="auto"/>
            </w:tcBorders>
            <w:hideMark/>
          </w:tcPr>
          <w:p w14:paraId="552B720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Establish evaluation framework</w:t>
            </w:r>
          </w:p>
        </w:tc>
        <w:tc>
          <w:tcPr>
            <w:tcW w:w="5130" w:type="dxa"/>
            <w:tcBorders>
              <w:top w:val="single" w:sz="12" w:space="0" w:color="auto"/>
              <w:left w:val="single" w:sz="4" w:space="0" w:color="auto"/>
              <w:bottom w:val="single" w:sz="4" w:space="0" w:color="auto"/>
              <w:right w:val="single" w:sz="4" w:space="0" w:color="auto"/>
            </w:tcBorders>
            <w:hideMark/>
          </w:tcPr>
          <w:p w14:paraId="7EC1D47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Establish a systematic</w:t>
            </w:r>
            <w:r>
              <w:rPr>
                <w:rFonts w:asciiTheme="majorHAnsi" w:hAnsiTheme="majorHAnsi"/>
                <w:b/>
                <w:bCs/>
                <w:sz w:val="20"/>
                <w:szCs w:val="20"/>
              </w:rPr>
              <w:t xml:space="preserve"> </w:t>
            </w:r>
            <w:r>
              <w:rPr>
                <w:rFonts w:asciiTheme="majorHAnsi" w:hAnsiTheme="majorHAnsi"/>
                <w:sz w:val="20"/>
                <w:szCs w:val="20"/>
              </w:rPr>
              <w:t>and standard framework for product evaluation</w:t>
            </w:r>
            <w:r>
              <w:rPr>
                <w:rFonts w:asciiTheme="majorHAnsi" w:hAnsiTheme="majorHAnsi"/>
                <w:color w:val="0432FF"/>
                <w:sz w:val="20"/>
                <w:szCs w:val="20"/>
                <w:vertAlign w:val="superscript"/>
              </w:rPr>
              <w:t>21, 29, 92</w:t>
            </w:r>
          </w:p>
        </w:tc>
      </w:tr>
      <w:tr w:rsidR="004A32A2" w14:paraId="18767A5F"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39EBDCAA"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287D2E3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Test final product</w:t>
            </w:r>
          </w:p>
        </w:tc>
        <w:tc>
          <w:tcPr>
            <w:tcW w:w="5130" w:type="dxa"/>
            <w:tcBorders>
              <w:top w:val="single" w:sz="4" w:space="0" w:color="auto"/>
              <w:left w:val="single" w:sz="4" w:space="0" w:color="auto"/>
              <w:bottom w:val="single" w:sz="4" w:space="0" w:color="auto"/>
              <w:right w:val="single" w:sz="4" w:space="0" w:color="auto"/>
            </w:tcBorders>
            <w:hideMark/>
          </w:tcPr>
          <w:p w14:paraId="6562C04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Test the final product with stakeholders and users and collect further feedback to ensure it meets their needs and decision-making requirements</w:t>
            </w:r>
            <w:r>
              <w:rPr>
                <w:rFonts w:asciiTheme="majorHAnsi" w:hAnsiTheme="majorHAnsi"/>
                <w:color w:val="0432FF"/>
                <w:sz w:val="20"/>
                <w:szCs w:val="20"/>
                <w:vertAlign w:val="superscript"/>
              </w:rPr>
              <w:t>7</w:t>
            </w:r>
          </w:p>
        </w:tc>
      </w:tr>
      <w:tr w:rsidR="004A32A2" w14:paraId="4F696A5A"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1441528D"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29089C0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Assess knowledge exchange</w:t>
            </w:r>
          </w:p>
        </w:tc>
        <w:tc>
          <w:tcPr>
            <w:tcW w:w="5130" w:type="dxa"/>
            <w:tcBorders>
              <w:top w:val="single" w:sz="4" w:space="0" w:color="auto"/>
              <w:left w:val="single" w:sz="4" w:space="0" w:color="auto"/>
              <w:bottom w:val="single" w:sz="4" w:space="0" w:color="auto"/>
              <w:right w:val="single" w:sz="4" w:space="0" w:color="auto"/>
            </w:tcBorders>
            <w:hideMark/>
          </w:tcPr>
          <w:p w14:paraId="4A558F5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Assess how effective knowledge exchange was by reviewing process, outcomes achieved, and documentation gathered during user interactions, interviews, surveys, and more</w:t>
            </w:r>
            <w:r>
              <w:rPr>
                <w:rFonts w:asciiTheme="majorHAnsi" w:hAnsiTheme="majorHAnsi"/>
                <w:color w:val="0432FF"/>
                <w:sz w:val="20"/>
                <w:szCs w:val="20"/>
                <w:vertAlign w:val="superscript"/>
              </w:rPr>
              <w:t>36, 67</w:t>
            </w:r>
          </w:p>
        </w:tc>
      </w:tr>
      <w:tr w:rsidR="004A32A2" w14:paraId="76AFF22A"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1A21E5CD"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21799A8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Evaluate implementation and trainings</w:t>
            </w:r>
          </w:p>
        </w:tc>
        <w:tc>
          <w:tcPr>
            <w:tcW w:w="5130" w:type="dxa"/>
            <w:tcBorders>
              <w:top w:val="single" w:sz="4" w:space="0" w:color="auto"/>
              <w:left w:val="single" w:sz="4" w:space="0" w:color="auto"/>
              <w:bottom w:val="single" w:sz="4" w:space="0" w:color="auto"/>
              <w:right w:val="single" w:sz="4" w:space="0" w:color="auto"/>
            </w:tcBorders>
            <w:hideMark/>
          </w:tcPr>
          <w:p w14:paraId="512AEC16"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Evaluate implementation of product and associated training sessions to inform effectiveness of process</w:t>
            </w:r>
            <w:r>
              <w:rPr>
                <w:rFonts w:asciiTheme="majorHAnsi" w:hAnsiTheme="majorHAnsi"/>
                <w:color w:val="0432FF"/>
                <w:sz w:val="20"/>
                <w:szCs w:val="20"/>
                <w:vertAlign w:val="superscript"/>
              </w:rPr>
              <w:t>64</w:t>
            </w:r>
          </w:p>
        </w:tc>
      </w:tr>
      <w:tr w:rsidR="004A32A2" w14:paraId="0BDFC730"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56EA1DDB"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6E884A4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Test case studies</w:t>
            </w:r>
          </w:p>
        </w:tc>
        <w:tc>
          <w:tcPr>
            <w:tcW w:w="5130" w:type="dxa"/>
            <w:tcBorders>
              <w:top w:val="single" w:sz="4" w:space="0" w:color="auto"/>
              <w:left w:val="single" w:sz="4" w:space="0" w:color="auto"/>
              <w:bottom w:val="single" w:sz="4" w:space="0" w:color="auto"/>
              <w:right w:val="single" w:sz="4" w:space="0" w:color="auto"/>
            </w:tcBorders>
            <w:hideMark/>
          </w:tcPr>
          <w:p w14:paraId="7D9658F6"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Test case study or application examples of the final product with users</w:t>
            </w:r>
            <w:r>
              <w:rPr>
                <w:rFonts w:asciiTheme="majorHAnsi" w:hAnsiTheme="majorHAnsi"/>
                <w:color w:val="0432FF"/>
                <w:sz w:val="20"/>
                <w:szCs w:val="20"/>
                <w:vertAlign w:val="superscript"/>
              </w:rPr>
              <w:t>20</w:t>
            </w:r>
          </w:p>
        </w:tc>
      </w:tr>
      <w:tr w:rsidR="004A32A2" w14:paraId="16EA3240"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22E92C9E"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66617B5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Gather feedback on final product</w:t>
            </w:r>
          </w:p>
        </w:tc>
        <w:tc>
          <w:tcPr>
            <w:tcW w:w="5130" w:type="dxa"/>
            <w:tcBorders>
              <w:top w:val="single" w:sz="4" w:space="0" w:color="auto"/>
              <w:left w:val="single" w:sz="4" w:space="0" w:color="auto"/>
              <w:bottom w:val="single" w:sz="4" w:space="0" w:color="auto"/>
              <w:right w:val="single" w:sz="4" w:space="0" w:color="auto"/>
            </w:tcBorders>
            <w:hideMark/>
          </w:tcPr>
          <w:p w14:paraId="44C6BA69"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Gather user feedback and insights through surveys or workshops on the final product and how it supports decision-making</w:t>
            </w:r>
            <w:r>
              <w:rPr>
                <w:rFonts w:asciiTheme="majorHAnsi" w:hAnsiTheme="majorHAnsi"/>
                <w:color w:val="0432FF"/>
                <w:sz w:val="20"/>
                <w:szCs w:val="20"/>
                <w:vertAlign w:val="superscript"/>
              </w:rPr>
              <w:t>11, 61, 68</w:t>
            </w:r>
          </w:p>
        </w:tc>
      </w:tr>
      <w:tr w:rsidR="004A32A2" w14:paraId="3528990F"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31968E81"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77E5A8C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Run data quality checks</w:t>
            </w:r>
          </w:p>
        </w:tc>
        <w:tc>
          <w:tcPr>
            <w:tcW w:w="5130" w:type="dxa"/>
            <w:tcBorders>
              <w:top w:val="single" w:sz="4" w:space="0" w:color="auto"/>
              <w:left w:val="single" w:sz="4" w:space="0" w:color="auto"/>
              <w:bottom w:val="single" w:sz="4" w:space="0" w:color="auto"/>
              <w:right w:val="single" w:sz="4" w:space="0" w:color="auto"/>
            </w:tcBorders>
            <w:hideMark/>
          </w:tcPr>
          <w:p w14:paraId="4087CF4D"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Run checks on data quality and results being presented by final product</w:t>
            </w:r>
            <w:r>
              <w:rPr>
                <w:rFonts w:asciiTheme="majorHAnsi" w:hAnsiTheme="majorHAnsi"/>
                <w:color w:val="0432FF"/>
                <w:sz w:val="20"/>
                <w:szCs w:val="20"/>
                <w:vertAlign w:val="superscript"/>
              </w:rPr>
              <w:t>55</w:t>
            </w:r>
          </w:p>
        </w:tc>
      </w:tr>
      <w:tr w:rsidR="004A32A2" w14:paraId="64013B73"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7184B75A"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0B7AEEE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Implement lifecycle approach</w:t>
            </w:r>
          </w:p>
        </w:tc>
        <w:tc>
          <w:tcPr>
            <w:tcW w:w="5130" w:type="dxa"/>
            <w:tcBorders>
              <w:top w:val="single" w:sz="4" w:space="0" w:color="auto"/>
              <w:left w:val="single" w:sz="4" w:space="0" w:color="auto"/>
              <w:bottom w:val="single" w:sz="4" w:space="0" w:color="auto"/>
              <w:right w:val="single" w:sz="4" w:space="0" w:color="auto"/>
            </w:tcBorders>
            <w:hideMark/>
          </w:tcPr>
          <w:p w14:paraId="062C13D3"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Implement a lifecycle approach to product evaluation by assessing the entire value chain including but not limited to the quality, distribution, and uptake of information provided</w:t>
            </w:r>
            <w:r>
              <w:rPr>
                <w:rFonts w:asciiTheme="majorHAnsi" w:hAnsiTheme="majorHAnsi"/>
                <w:color w:val="0432FF"/>
                <w:sz w:val="20"/>
                <w:szCs w:val="20"/>
                <w:vertAlign w:val="superscript"/>
              </w:rPr>
              <w:t>24, 92</w:t>
            </w:r>
          </w:p>
        </w:tc>
      </w:tr>
      <w:tr w:rsidR="004A32A2" w14:paraId="5D6A4E14"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1E5294A7"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611D976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Develop success metrics</w:t>
            </w:r>
          </w:p>
        </w:tc>
        <w:tc>
          <w:tcPr>
            <w:tcW w:w="5130" w:type="dxa"/>
            <w:tcBorders>
              <w:top w:val="single" w:sz="4" w:space="0" w:color="auto"/>
              <w:left w:val="single" w:sz="4" w:space="0" w:color="auto"/>
              <w:bottom w:val="single" w:sz="4" w:space="0" w:color="auto"/>
              <w:right w:val="single" w:sz="4" w:space="0" w:color="auto"/>
            </w:tcBorders>
            <w:hideMark/>
          </w:tcPr>
          <w:p w14:paraId="4745D788"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Develop and use metrics in the evaluation that track performance and success</w:t>
            </w:r>
            <w:r>
              <w:rPr>
                <w:rFonts w:asciiTheme="majorHAnsi" w:hAnsiTheme="majorHAnsi"/>
                <w:color w:val="0432FF"/>
                <w:sz w:val="20"/>
                <w:szCs w:val="20"/>
                <w:vertAlign w:val="superscript"/>
              </w:rPr>
              <w:t>61, 92</w:t>
            </w:r>
          </w:p>
        </w:tc>
      </w:tr>
      <w:tr w:rsidR="004A32A2" w14:paraId="29BC5DEA"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52422EA7"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5004B14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Track information distribution</w:t>
            </w:r>
          </w:p>
        </w:tc>
        <w:tc>
          <w:tcPr>
            <w:tcW w:w="5130" w:type="dxa"/>
            <w:tcBorders>
              <w:top w:val="single" w:sz="4" w:space="0" w:color="auto"/>
              <w:left w:val="single" w:sz="4" w:space="0" w:color="auto"/>
              <w:bottom w:val="single" w:sz="4" w:space="0" w:color="auto"/>
              <w:right w:val="single" w:sz="4" w:space="0" w:color="auto"/>
            </w:tcBorders>
            <w:hideMark/>
          </w:tcPr>
          <w:p w14:paraId="5F10FCBA"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Track outreach and information distribution regarding the product to understand product reach</w:t>
            </w:r>
            <w:r>
              <w:rPr>
                <w:rFonts w:asciiTheme="majorHAnsi" w:hAnsiTheme="majorHAnsi"/>
                <w:color w:val="0432FF"/>
                <w:sz w:val="20"/>
                <w:szCs w:val="20"/>
                <w:vertAlign w:val="superscript"/>
              </w:rPr>
              <w:t>92</w:t>
            </w:r>
          </w:p>
        </w:tc>
      </w:tr>
      <w:tr w:rsidR="004A32A2" w14:paraId="24095216"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3A6B9487"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4C2DD39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Articulate what success looks like</w:t>
            </w:r>
          </w:p>
        </w:tc>
        <w:tc>
          <w:tcPr>
            <w:tcW w:w="5130" w:type="dxa"/>
            <w:tcBorders>
              <w:top w:val="single" w:sz="4" w:space="0" w:color="auto"/>
              <w:left w:val="single" w:sz="4" w:space="0" w:color="auto"/>
              <w:bottom w:val="single" w:sz="4" w:space="0" w:color="auto"/>
              <w:right w:val="single" w:sz="4" w:space="0" w:color="auto"/>
            </w:tcBorders>
            <w:hideMark/>
          </w:tcPr>
          <w:p w14:paraId="151A10F5"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Articulate how climate-related decisions using the product will be evaluated, what criteria they will be evaluated against, and what success looks like</w:t>
            </w:r>
            <w:r>
              <w:rPr>
                <w:rFonts w:asciiTheme="majorHAnsi" w:hAnsiTheme="majorHAnsi"/>
                <w:color w:val="0432FF"/>
                <w:sz w:val="20"/>
                <w:szCs w:val="20"/>
                <w:vertAlign w:val="superscript"/>
              </w:rPr>
              <w:t>23, 90</w:t>
            </w:r>
          </w:p>
        </w:tc>
      </w:tr>
      <w:tr w:rsidR="004A32A2" w14:paraId="7F2D8B59"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149EC99F"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2AA99202"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Update data</w:t>
            </w:r>
          </w:p>
        </w:tc>
        <w:tc>
          <w:tcPr>
            <w:tcW w:w="5130" w:type="dxa"/>
            <w:tcBorders>
              <w:top w:val="single" w:sz="4" w:space="0" w:color="auto"/>
              <w:left w:val="single" w:sz="4" w:space="0" w:color="auto"/>
              <w:bottom w:val="single" w:sz="4" w:space="0" w:color="auto"/>
              <w:right w:val="single" w:sz="4" w:space="0" w:color="auto"/>
            </w:tcBorders>
            <w:hideMark/>
          </w:tcPr>
          <w:p w14:paraId="465327E0"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Update underlying data used in product as better or higher quality data becomes available</w:t>
            </w:r>
            <w:r>
              <w:rPr>
                <w:rFonts w:asciiTheme="majorHAnsi" w:hAnsiTheme="majorHAnsi"/>
                <w:color w:val="0432FF"/>
                <w:sz w:val="20"/>
                <w:szCs w:val="20"/>
                <w:vertAlign w:val="superscript"/>
              </w:rPr>
              <w:t>90</w:t>
            </w:r>
          </w:p>
        </w:tc>
      </w:tr>
      <w:tr w:rsidR="004A32A2" w14:paraId="03887FFE"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1147C068"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08AD1EFD"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Assess usability and acceptance</w:t>
            </w:r>
          </w:p>
        </w:tc>
        <w:tc>
          <w:tcPr>
            <w:tcW w:w="5130" w:type="dxa"/>
            <w:tcBorders>
              <w:top w:val="single" w:sz="4" w:space="0" w:color="auto"/>
              <w:left w:val="single" w:sz="4" w:space="0" w:color="auto"/>
              <w:bottom w:val="single" w:sz="4" w:space="0" w:color="auto"/>
              <w:right w:val="single" w:sz="4" w:space="0" w:color="auto"/>
            </w:tcBorders>
            <w:hideMark/>
          </w:tcPr>
          <w:p w14:paraId="748A9524"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Assess the usability and acceptance of the product by stakeholders and users</w:t>
            </w:r>
            <w:r>
              <w:rPr>
                <w:rFonts w:asciiTheme="majorHAnsi" w:hAnsiTheme="majorHAnsi"/>
                <w:color w:val="0432FF"/>
                <w:sz w:val="20"/>
                <w:szCs w:val="20"/>
                <w:vertAlign w:val="superscript"/>
              </w:rPr>
              <w:t>16, 23</w:t>
            </w:r>
          </w:p>
        </w:tc>
      </w:tr>
      <w:tr w:rsidR="004A32A2" w14:paraId="74568CAF"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26A2D4C5"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4FC9447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Use standard scales for feedback</w:t>
            </w:r>
          </w:p>
        </w:tc>
        <w:tc>
          <w:tcPr>
            <w:tcW w:w="5130" w:type="dxa"/>
            <w:tcBorders>
              <w:top w:val="single" w:sz="4" w:space="0" w:color="auto"/>
              <w:left w:val="single" w:sz="4" w:space="0" w:color="auto"/>
              <w:bottom w:val="single" w:sz="4" w:space="0" w:color="auto"/>
              <w:right w:val="single" w:sz="4" w:space="0" w:color="auto"/>
            </w:tcBorders>
            <w:hideMark/>
          </w:tcPr>
          <w:p w14:paraId="775433DD"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Use standard scales such as the Likert scale to collect feedback</w:t>
            </w:r>
            <w:r>
              <w:rPr>
                <w:rFonts w:asciiTheme="majorHAnsi" w:hAnsiTheme="majorHAnsi"/>
                <w:color w:val="0432FF"/>
                <w:sz w:val="20"/>
                <w:szCs w:val="20"/>
                <w:vertAlign w:val="superscript"/>
              </w:rPr>
              <w:t>64</w:t>
            </w:r>
          </w:p>
        </w:tc>
      </w:tr>
      <w:tr w:rsidR="004A32A2" w14:paraId="7A16A7A6"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376008E4" w14:textId="77777777" w:rsidR="004A32A2" w:rsidRDefault="004A32A2">
            <w:pPr>
              <w:spacing w:after="0" w:line="240" w:lineRule="auto"/>
              <w:rPr>
                <w:rFonts w:asciiTheme="majorHAnsi" w:hAnsiTheme="majorHAnsi"/>
                <w:bCs/>
                <w:sz w:val="20"/>
                <w:szCs w:val="20"/>
              </w:rPr>
            </w:pPr>
          </w:p>
        </w:tc>
        <w:tc>
          <w:tcPr>
            <w:tcW w:w="2546" w:type="dxa"/>
            <w:tcBorders>
              <w:top w:val="single" w:sz="4" w:space="0" w:color="auto"/>
              <w:left w:val="single" w:sz="4" w:space="0" w:color="auto"/>
              <w:bottom w:val="single" w:sz="4" w:space="0" w:color="auto"/>
              <w:right w:val="single" w:sz="4" w:space="0" w:color="auto"/>
            </w:tcBorders>
            <w:hideMark/>
          </w:tcPr>
          <w:p w14:paraId="7A41DB48"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Establish continuous dialogue</w:t>
            </w:r>
          </w:p>
        </w:tc>
        <w:tc>
          <w:tcPr>
            <w:tcW w:w="5130" w:type="dxa"/>
            <w:tcBorders>
              <w:top w:val="single" w:sz="4" w:space="0" w:color="auto"/>
              <w:left w:val="single" w:sz="4" w:space="0" w:color="auto"/>
              <w:bottom w:val="single" w:sz="4" w:space="0" w:color="auto"/>
              <w:right w:val="single" w:sz="4" w:space="0" w:color="auto"/>
            </w:tcBorders>
            <w:hideMark/>
          </w:tcPr>
          <w:p w14:paraId="4B864BC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Establish means for continuous dialogue and feedback even after product is complete and project has ended</w:t>
            </w:r>
            <w:r>
              <w:rPr>
                <w:rFonts w:asciiTheme="majorHAnsi" w:hAnsiTheme="majorHAnsi"/>
                <w:color w:val="0432FF"/>
                <w:sz w:val="20"/>
                <w:szCs w:val="20"/>
                <w:vertAlign w:val="superscript"/>
              </w:rPr>
              <w:t>86</w:t>
            </w:r>
          </w:p>
        </w:tc>
      </w:tr>
    </w:tbl>
    <w:p w14:paraId="522A83A4" w14:textId="77777777" w:rsidR="004A32A2" w:rsidRDefault="004A32A2" w:rsidP="004A32A2">
      <w:pPr>
        <w:spacing w:after="0" w:line="276" w:lineRule="auto"/>
        <w:ind w:firstLine="0"/>
        <w:rPr>
          <w:rFonts w:asciiTheme="majorHAnsi" w:hAnsiTheme="majorHAnsi"/>
        </w:rPr>
      </w:pPr>
      <w:r>
        <w:rPr>
          <w:rFonts w:asciiTheme="majorHAnsi" w:hAnsiTheme="majorHAnsi"/>
          <w:i/>
          <w:iCs/>
        </w:rPr>
        <w:t>Notes:</w:t>
      </w:r>
      <w:r>
        <w:rPr>
          <w:rFonts w:asciiTheme="majorHAnsi" w:hAnsiTheme="majorHAnsi"/>
        </w:rPr>
        <w:t xml:space="preserve"> Best practices were extracted from the final set of co-production literature and mapped to the co-production stages used in this study (for further details, see Methods).</w:t>
      </w:r>
    </w:p>
    <w:p w14:paraId="4408F9A1" w14:textId="77777777" w:rsidR="004A32A2" w:rsidRDefault="004A32A2" w:rsidP="004A32A2">
      <w:pPr>
        <w:spacing w:after="0" w:line="276" w:lineRule="auto"/>
        <w:ind w:firstLine="0"/>
        <w:rPr>
          <w:rFonts w:asciiTheme="majorHAnsi" w:hAnsiTheme="majorHAnsi"/>
          <w:lang w:val="en-US"/>
        </w:rPr>
      </w:pPr>
    </w:p>
    <w:p w14:paraId="275D612B" w14:textId="77777777" w:rsidR="004A32A2" w:rsidRDefault="004A32A2" w:rsidP="004A32A2">
      <w:pPr>
        <w:spacing w:after="0" w:line="276" w:lineRule="auto"/>
        <w:ind w:firstLine="0"/>
        <w:rPr>
          <w:rFonts w:asciiTheme="majorHAnsi" w:hAnsiTheme="majorHAnsi"/>
          <w:b/>
          <w:bCs/>
          <w:lang w:val="en-US"/>
        </w:rPr>
      </w:pPr>
      <w:r>
        <w:rPr>
          <w:rFonts w:asciiTheme="majorHAnsi" w:hAnsiTheme="majorHAnsi"/>
          <w:b/>
          <w:bCs/>
          <w:lang w:val="en-US"/>
        </w:rPr>
        <w:t>Extended Data Table 3 | User-centered design mechanisms</w:t>
      </w:r>
    </w:p>
    <w:tbl>
      <w:tblPr>
        <w:tblStyle w:val="TableGrid"/>
        <w:tblW w:w="0" w:type="auto"/>
        <w:tblInd w:w="0" w:type="dxa"/>
        <w:tblLook w:val="04A0" w:firstRow="1" w:lastRow="0" w:firstColumn="1" w:lastColumn="0" w:noHBand="0" w:noVBand="1"/>
      </w:tblPr>
      <w:tblGrid>
        <w:gridCol w:w="1423"/>
        <w:gridCol w:w="2035"/>
        <w:gridCol w:w="1367"/>
        <w:gridCol w:w="4191"/>
      </w:tblGrid>
      <w:tr w:rsidR="004A32A2" w14:paraId="78366774" w14:textId="77777777">
        <w:tc>
          <w:tcPr>
            <w:tcW w:w="1423" w:type="dxa"/>
            <w:tcBorders>
              <w:top w:val="single" w:sz="4" w:space="0" w:color="auto"/>
              <w:left w:val="single" w:sz="4" w:space="0" w:color="auto"/>
              <w:bottom w:val="single" w:sz="18" w:space="0" w:color="auto"/>
              <w:right w:val="single" w:sz="4" w:space="0" w:color="auto"/>
            </w:tcBorders>
            <w:hideMark/>
          </w:tcPr>
          <w:p w14:paraId="446573A1"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Stage</w:t>
            </w:r>
          </w:p>
        </w:tc>
        <w:tc>
          <w:tcPr>
            <w:tcW w:w="2035" w:type="dxa"/>
            <w:tcBorders>
              <w:top w:val="single" w:sz="4" w:space="0" w:color="auto"/>
              <w:left w:val="single" w:sz="4" w:space="0" w:color="auto"/>
              <w:bottom w:val="single" w:sz="18" w:space="0" w:color="auto"/>
              <w:right w:val="single" w:sz="4" w:space="0" w:color="auto"/>
            </w:tcBorders>
            <w:hideMark/>
          </w:tcPr>
          <w:p w14:paraId="0311CC7F"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Mechanism</w:t>
            </w:r>
          </w:p>
        </w:tc>
        <w:tc>
          <w:tcPr>
            <w:tcW w:w="1367" w:type="dxa"/>
            <w:tcBorders>
              <w:top w:val="single" w:sz="4" w:space="0" w:color="auto"/>
              <w:left w:val="single" w:sz="4" w:space="0" w:color="auto"/>
              <w:bottom w:val="single" w:sz="18" w:space="0" w:color="auto"/>
              <w:right w:val="single" w:sz="4" w:space="0" w:color="auto"/>
            </w:tcBorders>
            <w:hideMark/>
          </w:tcPr>
          <w:p w14:paraId="5CDED1EB"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Type of Mechanism</w:t>
            </w:r>
          </w:p>
        </w:tc>
        <w:tc>
          <w:tcPr>
            <w:tcW w:w="4191" w:type="dxa"/>
            <w:tcBorders>
              <w:top w:val="single" w:sz="4" w:space="0" w:color="auto"/>
              <w:left w:val="single" w:sz="4" w:space="0" w:color="auto"/>
              <w:bottom w:val="single" w:sz="18" w:space="0" w:color="auto"/>
              <w:right w:val="single" w:sz="4" w:space="0" w:color="auto"/>
            </w:tcBorders>
            <w:hideMark/>
          </w:tcPr>
          <w:p w14:paraId="6B27FD89"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Definition</w:t>
            </w:r>
          </w:p>
        </w:tc>
      </w:tr>
      <w:tr w:rsidR="004A32A2" w14:paraId="3D88869C" w14:textId="77777777">
        <w:tc>
          <w:tcPr>
            <w:tcW w:w="1423" w:type="dxa"/>
            <w:vMerge w:val="restart"/>
            <w:tcBorders>
              <w:top w:val="single" w:sz="18" w:space="0" w:color="auto"/>
              <w:left w:val="single" w:sz="4" w:space="0" w:color="auto"/>
              <w:bottom w:val="single" w:sz="12" w:space="0" w:color="auto"/>
              <w:right w:val="single" w:sz="4" w:space="0" w:color="auto"/>
            </w:tcBorders>
            <w:hideMark/>
          </w:tcPr>
          <w:p w14:paraId="5A2BC28D" w14:textId="77777777" w:rsidR="004A32A2" w:rsidRDefault="004A32A2">
            <w:pPr>
              <w:spacing w:after="0" w:line="276" w:lineRule="auto"/>
              <w:ind w:firstLine="0"/>
              <w:rPr>
                <w:rFonts w:asciiTheme="majorHAnsi" w:hAnsiTheme="majorHAnsi"/>
                <w:bCs/>
                <w:sz w:val="20"/>
                <w:szCs w:val="20"/>
              </w:rPr>
            </w:pPr>
            <w:r>
              <w:rPr>
                <w:rFonts w:asciiTheme="majorHAnsi" w:hAnsiTheme="majorHAnsi"/>
                <w:bCs/>
                <w:sz w:val="20"/>
                <w:szCs w:val="20"/>
              </w:rPr>
              <w:t>Across Stages</w:t>
            </w:r>
          </w:p>
        </w:tc>
        <w:tc>
          <w:tcPr>
            <w:tcW w:w="2035" w:type="dxa"/>
            <w:tcBorders>
              <w:top w:val="single" w:sz="18" w:space="0" w:color="auto"/>
              <w:left w:val="single" w:sz="4" w:space="0" w:color="auto"/>
              <w:bottom w:val="single" w:sz="4" w:space="0" w:color="auto"/>
              <w:right w:val="single" w:sz="4" w:space="0" w:color="auto"/>
            </w:tcBorders>
            <w:hideMark/>
          </w:tcPr>
          <w:p w14:paraId="5BD38D5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User Interview</w:t>
            </w:r>
          </w:p>
        </w:tc>
        <w:tc>
          <w:tcPr>
            <w:tcW w:w="1367" w:type="dxa"/>
            <w:tcBorders>
              <w:top w:val="single" w:sz="18" w:space="0" w:color="auto"/>
              <w:left w:val="single" w:sz="4" w:space="0" w:color="auto"/>
              <w:bottom w:val="single" w:sz="4" w:space="0" w:color="auto"/>
              <w:right w:val="single" w:sz="4" w:space="0" w:color="auto"/>
            </w:tcBorders>
            <w:hideMark/>
          </w:tcPr>
          <w:p w14:paraId="5DE20E9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18" w:space="0" w:color="auto"/>
              <w:left w:val="single" w:sz="4" w:space="0" w:color="auto"/>
              <w:bottom w:val="single" w:sz="4" w:space="0" w:color="auto"/>
              <w:right w:val="single" w:sz="4" w:space="0" w:color="auto"/>
            </w:tcBorders>
            <w:hideMark/>
          </w:tcPr>
          <w:p w14:paraId="44564B03"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structured or semi-structured mechanism for speaking to a user either in-person or virtually to gather specific feedback and insights</w:t>
            </w:r>
            <w:r>
              <w:rPr>
                <w:rFonts w:asciiTheme="majorHAnsi" w:hAnsiTheme="majorHAnsi"/>
                <w:color w:val="0432FF"/>
                <w:sz w:val="20"/>
                <w:szCs w:val="20"/>
                <w:vertAlign w:val="superscript"/>
              </w:rPr>
              <w:t>38, 72</w:t>
            </w:r>
          </w:p>
        </w:tc>
      </w:tr>
      <w:tr w:rsidR="004A32A2" w14:paraId="10F299DB"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39A0E451"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6C63C28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User Survey (or Questionnaire)</w:t>
            </w:r>
          </w:p>
        </w:tc>
        <w:tc>
          <w:tcPr>
            <w:tcW w:w="1367" w:type="dxa"/>
            <w:tcBorders>
              <w:top w:val="single" w:sz="4" w:space="0" w:color="auto"/>
              <w:left w:val="single" w:sz="4" w:space="0" w:color="auto"/>
              <w:bottom w:val="single" w:sz="4" w:space="0" w:color="auto"/>
              <w:right w:val="single" w:sz="4" w:space="0" w:color="auto"/>
            </w:tcBorders>
            <w:hideMark/>
          </w:tcPr>
          <w:p w14:paraId="4A29A8DA"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4" w:space="0" w:color="auto"/>
              <w:right w:val="single" w:sz="4" w:space="0" w:color="auto"/>
            </w:tcBorders>
            <w:hideMark/>
          </w:tcPr>
          <w:p w14:paraId="3B3F92E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pre-determined form of questions that captures data without supervision on users’ thoughts, needs, and insights</w:t>
            </w:r>
            <w:r>
              <w:rPr>
                <w:rFonts w:asciiTheme="majorHAnsi" w:hAnsiTheme="majorHAnsi"/>
                <w:color w:val="0432FF"/>
                <w:sz w:val="20"/>
                <w:szCs w:val="20"/>
                <w:vertAlign w:val="superscript"/>
              </w:rPr>
              <w:t>38, 72, 93</w:t>
            </w:r>
          </w:p>
        </w:tc>
      </w:tr>
      <w:tr w:rsidR="004A32A2" w14:paraId="099EAA2D"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46053169"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5045749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Focus Group</w:t>
            </w:r>
          </w:p>
        </w:tc>
        <w:tc>
          <w:tcPr>
            <w:tcW w:w="1367" w:type="dxa"/>
            <w:tcBorders>
              <w:top w:val="single" w:sz="4" w:space="0" w:color="auto"/>
              <w:left w:val="single" w:sz="4" w:space="0" w:color="auto"/>
              <w:bottom w:val="single" w:sz="4" w:space="0" w:color="auto"/>
              <w:right w:val="single" w:sz="4" w:space="0" w:color="auto"/>
            </w:tcBorders>
            <w:hideMark/>
          </w:tcPr>
          <w:p w14:paraId="1396B0D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Actor</w:t>
            </w:r>
          </w:p>
        </w:tc>
        <w:tc>
          <w:tcPr>
            <w:tcW w:w="4191" w:type="dxa"/>
            <w:tcBorders>
              <w:top w:val="single" w:sz="4" w:space="0" w:color="auto"/>
              <w:left w:val="single" w:sz="4" w:space="0" w:color="auto"/>
              <w:bottom w:val="single" w:sz="4" w:space="0" w:color="auto"/>
              <w:right w:val="single" w:sz="4" w:space="0" w:color="auto"/>
            </w:tcBorders>
            <w:hideMark/>
          </w:tcPr>
          <w:p w14:paraId="170A850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group of potential users, usually consisting of 6-10 users and one moderator, that provides an informal qualitative mechanism for gathering insights regarding a certain topic, idea, product, or user need</w:t>
            </w:r>
            <w:r>
              <w:rPr>
                <w:rFonts w:asciiTheme="majorHAnsi" w:hAnsiTheme="majorHAnsi"/>
                <w:color w:val="0432FF"/>
                <w:sz w:val="20"/>
                <w:szCs w:val="20"/>
                <w:vertAlign w:val="superscript"/>
              </w:rPr>
              <w:t>38, 72</w:t>
            </w:r>
          </w:p>
        </w:tc>
      </w:tr>
      <w:tr w:rsidR="004A32A2" w14:paraId="40159766"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26F33626"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5B71135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Brainstorming Session</w:t>
            </w:r>
          </w:p>
        </w:tc>
        <w:tc>
          <w:tcPr>
            <w:tcW w:w="1367" w:type="dxa"/>
            <w:tcBorders>
              <w:top w:val="single" w:sz="4" w:space="0" w:color="auto"/>
              <w:left w:val="single" w:sz="4" w:space="0" w:color="auto"/>
              <w:bottom w:val="single" w:sz="4" w:space="0" w:color="auto"/>
              <w:right w:val="single" w:sz="4" w:space="0" w:color="auto"/>
            </w:tcBorders>
            <w:hideMark/>
          </w:tcPr>
          <w:p w14:paraId="1BFED728"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1A90CD0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session, usually involving a small focus group, dedicated to ideation and planning the product vision</w:t>
            </w:r>
            <w:r>
              <w:rPr>
                <w:rFonts w:asciiTheme="majorHAnsi" w:hAnsiTheme="majorHAnsi"/>
                <w:color w:val="0432FF"/>
                <w:sz w:val="20"/>
                <w:szCs w:val="20"/>
                <w:vertAlign w:val="superscript"/>
              </w:rPr>
              <w:t>93</w:t>
            </w:r>
          </w:p>
        </w:tc>
      </w:tr>
      <w:tr w:rsidR="004A32A2" w14:paraId="0492AD72" w14:textId="77777777">
        <w:tc>
          <w:tcPr>
            <w:tcW w:w="0" w:type="auto"/>
            <w:vMerge/>
            <w:tcBorders>
              <w:top w:val="single" w:sz="18" w:space="0" w:color="auto"/>
              <w:left w:val="single" w:sz="4" w:space="0" w:color="auto"/>
              <w:bottom w:val="single" w:sz="12" w:space="0" w:color="auto"/>
              <w:right w:val="single" w:sz="4" w:space="0" w:color="auto"/>
            </w:tcBorders>
            <w:vAlign w:val="center"/>
            <w:hideMark/>
          </w:tcPr>
          <w:p w14:paraId="175DFD72"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12" w:space="0" w:color="auto"/>
              <w:right w:val="single" w:sz="4" w:space="0" w:color="auto"/>
            </w:tcBorders>
            <w:hideMark/>
          </w:tcPr>
          <w:p w14:paraId="0BD0CCA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Workshop</w:t>
            </w:r>
          </w:p>
        </w:tc>
        <w:tc>
          <w:tcPr>
            <w:tcW w:w="1367" w:type="dxa"/>
            <w:tcBorders>
              <w:top w:val="single" w:sz="4" w:space="0" w:color="auto"/>
              <w:left w:val="single" w:sz="4" w:space="0" w:color="auto"/>
              <w:bottom w:val="single" w:sz="12" w:space="0" w:color="auto"/>
              <w:right w:val="single" w:sz="4" w:space="0" w:color="auto"/>
            </w:tcBorders>
            <w:hideMark/>
          </w:tcPr>
          <w:p w14:paraId="64477B5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12" w:space="0" w:color="auto"/>
              <w:right w:val="single" w:sz="4" w:space="0" w:color="auto"/>
            </w:tcBorders>
            <w:hideMark/>
          </w:tcPr>
          <w:p w14:paraId="255337D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gathering of developers, users, and stakeholders to ideate, identify concerns, gather insights, and deepen understanding regarding the product or user needs</w:t>
            </w:r>
            <w:r>
              <w:rPr>
                <w:rFonts w:asciiTheme="majorHAnsi" w:hAnsiTheme="majorHAnsi"/>
                <w:color w:val="0432FF"/>
                <w:sz w:val="20"/>
                <w:szCs w:val="20"/>
                <w:vertAlign w:val="superscript"/>
              </w:rPr>
              <w:t>52</w:t>
            </w:r>
          </w:p>
        </w:tc>
      </w:tr>
      <w:tr w:rsidR="004A32A2" w14:paraId="60337AA3" w14:textId="77777777">
        <w:tc>
          <w:tcPr>
            <w:tcW w:w="1423" w:type="dxa"/>
            <w:vMerge w:val="restart"/>
            <w:tcBorders>
              <w:top w:val="single" w:sz="12" w:space="0" w:color="auto"/>
              <w:left w:val="single" w:sz="4" w:space="0" w:color="auto"/>
              <w:bottom w:val="single" w:sz="12" w:space="0" w:color="auto"/>
              <w:right w:val="single" w:sz="4" w:space="0" w:color="auto"/>
            </w:tcBorders>
            <w:hideMark/>
          </w:tcPr>
          <w:p w14:paraId="0A149C93" w14:textId="77777777" w:rsidR="004A32A2" w:rsidRDefault="004A32A2">
            <w:pPr>
              <w:spacing w:after="0" w:line="276" w:lineRule="auto"/>
              <w:ind w:firstLine="0"/>
              <w:rPr>
                <w:rFonts w:asciiTheme="majorHAnsi" w:hAnsiTheme="majorHAnsi"/>
                <w:bCs/>
                <w:sz w:val="20"/>
                <w:szCs w:val="20"/>
              </w:rPr>
            </w:pPr>
            <w:r>
              <w:rPr>
                <w:rFonts w:asciiTheme="majorHAnsi" w:hAnsiTheme="majorHAnsi"/>
                <w:sz w:val="20"/>
                <w:szCs w:val="20"/>
              </w:rPr>
              <w:t>Plan Process</w:t>
            </w:r>
          </w:p>
        </w:tc>
        <w:tc>
          <w:tcPr>
            <w:tcW w:w="2035" w:type="dxa"/>
            <w:tcBorders>
              <w:top w:val="single" w:sz="12" w:space="0" w:color="auto"/>
              <w:left w:val="single" w:sz="4" w:space="0" w:color="auto"/>
              <w:bottom w:val="single" w:sz="4" w:space="0" w:color="auto"/>
              <w:right w:val="single" w:sz="4" w:space="0" w:color="auto"/>
            </w:tcBorders>
            <w:hideMark/>
          </w:tcPr>
          <w:p w14:paraId="53C762A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Kick-Off Meeting</w:t>
            </w:r>
          </w:p>
        </w:tc>
        <w:tc>
          <w:tcPr>
            <w:tcW w:w="1367" w:type="dxa"/>
            <w:tcBorders>
              <w:top w:val="single" w:sz="12" w:space="0" w:color="auto"/>
              <w:left w:val="single" w:sz="4" w:space="0" w:color="auto"/>
              <w:bottom w:val="single" w:sz="4" w:space="0" w:color="auto"/>
              <w:right w:val="single" w:sz="4" w:space="0" w:color="auto"/>
            </w:tcBorders>
            <w:hideMark/>
          </w:tcPr>
          <w:p w14:paraId="23219EA8"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12" w:space="0" w:color="auto"/>
              <w:left w:val="single" w:sz="4" w:space="0" w:color="auto"/>
              <w:bottom w:val="single" w:sz="4" w:space="0" w:color="auto"/>
              <w:right w:val="single" w:sz="4" w:space="0" w:color="auto"/>
            </w:tcBorders>
            <w:hideMark/>
          </w:tcPr>
          <w:p w14:paraId="5BD046A8"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meeting of developers and stakeholders where initial goals and vision for the product are formalized</w:t>
            </w:r>
            <w:r>
              <w:rPr>
                <w:rFonts w:asciiTheme="majorHAnsi" w:hAnsiTheme="majorHAnsi"/>
                <w:color w:val="0432FF"/>
                <w:sz w:val="20"/>
                <w:szCs w:val="20"/>
                <w:vertAlign w:val="superscript"/>
              </w:rPr>
              <w:t>38</w:t>
            </w:r>
          </w:p>
        </w:tc>
      </w:tr>
      <w:tr w:rsidR="004A32A2" w14:paraId="0C270B41"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31F4B6BA"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1412CC8C"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Cost-Benefit Analysis</w:t>
            </w:r>
          </w:p>
        </w:tc>
        <w:tc>
          <w:tcPr>
            <w:tcW w:w="1367" w:type="dxa"/>
            <w:tcBorders>
              <w:top w:val="single" w:sz="4" w:space="0" w:color="auto"/>
              <w:left w:val="single" w:sz="4" w:space="0" w:color="auto"/>
              <w:bottom w:val="single" w:sz="4" w:space="0" w:color="auto"/>
              <w:right w:val="single" w:sz="4" w:space="0" w:color="auto"/>
            </w:tcBorders>
            <w:hideMark/>
          </w:tcPr>
          <w:p w14:paraId="303DDB92"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4" w:space="0" w:color="auto"/>
              <w:right w:val="single" w:sz="4" w:space="0" w:color="auto"/>
            </w:tcBorders>
            <w:hideMark/>
          </w:tcPr>
          <w:p w14:paraId="501D392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tool to calculate the costs and time associated with the user-</w:t>
            </w:r>
            <w:proofErr w:type="spellStart"/>
            <w:r>
              <w:rPr>
                <w:rFonts w:asciiTheme="majorHAnsi" w:hAnsiTheme="majorHAnsi"/>
                <w:sz w:val="20"/>
                <w:szCs w:val="20"/>
              </w:rPr>
              <w:t>centered</w:t>
            </w:r>
            <w:proofErr w:type="spellEnd"/>
            <w:r>
              <w:rPr>
                <w:rFonts w:asciiTheme="majorHAnsi" w:hAnsiTheme="majorHAnsi"/>
                <w:sz w:val="20"/>
                <w:szCs w:val="20"/>
              </w:rPr>
              <w:t xml:space="preserve"> design process to plan out all necessary stages and iteration phases</w:t>
            </w:r>
            <w:r>
              <w:rPr>
                <w:rFonts w:asciiTheme="majorHAnsi" w:hAnsiTheme="majorHAnsi"/>
                <w:color w:val="0432FF"/>
                <w:sz w:val="20"/>
                <w:szCs w:val="20"/>
                <w:vertAlign w:val="superscript"/>
              </w:rPr>
              <w:t>38</w:t>
            </w:r>
          </w:p>
        </w:tc>
      </w:tr>
      <w:tr w:rsidR="004A32A2" w14:paraId="4187ACC6"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0E76DEA"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597097C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Stakeholder Analysis</w:t>
            </w:r>
          </w:p>
        </w:tc>
        <w:tc>
          <w:tcPr>
            <w:tcW w:w="1367" w:type="dxa"/>
            <w:tcBorders>
              <w:top w:val="single" w:sz="4" w:space="0" w:color="auto"/>
              <w:left w:val="single" w:sz="4" w:space="0" w:color="auto"/>
              <w:bottom w:val="single" w:sz="4" w:space="0" w:color="auto"/>
              <w:right w:val="single" w:sz="4" w:space="0" w:color="auto"/>
            </w:tcBorders>
            <w:hideMark/>
          </w:tcPr>
          <w:p w14:paraId="4F7B8B1A"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51944E2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mechanism for identifying, describing, and grouping stakeholders according to key characteristics that could impact product development and design</w:t>
            </w:r>
            <w:r>
              <w:rPr>
                <w:rFonts w:asciiTheme="majorHAnsi" w:hAnsiTheme="majorHAnsi"/>
                <w:color w:val="0432FF"/>
                <w:sz w:val="20"/>
                <w:szCs w:val="20"/>
                <w:vertAlign w:val="superscript"/>
              </w:rPr>
              <w:t>72</w:t>
            </w:r>
          </w:p>
        </w:tc>
      </w:tr>
      <w:tr w:rsidR="004A32A2" w14:paraId="0B048E1F"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CFC0A04"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3C18E60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Partnership Agreement</w:t>
            </w:r>
          </w:p>
        </w:tc>
        <w:tc>
          <w:tcPr>
            <w:tcW w:w="1367" w:type="dxa"/>
            <w:tcBorders>
              <w:top w:val="single" w:sz="4" w:space="0" w:color="auto"/>
              <w:left w:val="single" w:sz="4" w:space="0" w:color="auto"/>
              <w:bottom w:val="single" w:sz="4" w:space="0" w:color="auto"/>
              <w:right w:val="single" w:sz="4" w:space="0" w:color="auto"/>
            </w:tcBorders>
            <w:hideMark/>
          </w:tcPr>
          <w:p w14:paraId="223CE18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4" w:space="0" w:color="auto"/>
              <w:right w:val="single" w:sz="4" w:space="0" w:color="auto"/>
            </w:tcBorders>
            <w:hideMark/>
          </w:tcPr>
          <w:p w14:paraId="14A4A2C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formal agreement with stakeholders regarding intentions, collaborations, actions, and responsibilities</w:t>
            </w:r>
            <w:r>
              <w:rPr>
                <w:rFonts w:asciiTheme="majorHAnsi" w:hAnsiTheme="majorHAnsi"/>
                <w:color w:val="0432FF"/>
                <w:sz w:val="20"/>
                <w:szCs w:val="20"/>
                <w:vertAlign w:val="superscript"/>
              </w:rPr>
              <w:t>52</w:t>
            </w:r>
          </w:p>
        </w:tc>
      </w:tr>
      <w:tr w:rsidR="004A32A2" w14:paraId="52E6C5E7"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48CD0418"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12" w:space="0" w:color="auto"/>
              <w:right w:val="single" w:sz="4" w:space="0" w:color="auto"/>
            </w:tcBorders>
            <w:hideMark/>
          </w:tcPr>
          <w:p w14:paraId="7C22D57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Matters Mapping</w:t>
            </w:r>
          </w:p>
        </w:tc>
        <w:tc>
          <w:tcPr>
            <w:tcW w:w="1367" w:type="dxa"/>
            <w:tcBorders>
              <w:top w:val="single" w:sz="4" w:space="0" w:color="auto"/>
              <w:left w:val="single" w:sz="4" w:space="0" w:color="auto"/>
              <w:bottom w:val="single" w:sz="12" w:space="0" w:color="auto"/>
              <w:right w:val="single" w:sz="4" w:space="0" w:color="auto"/>
            </w:tcBorders>
            <w:hideMark/>
          </w:tcPr>
          <w:p w14:paraId="5F646B1B"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12" w:space="0" w:color="auto"/>
              <w:right w:val="single" w:sz="4" w:space="0" w:color="auto"/>
            </w:tcBorders>
            <w:hideMark/>
          </w:tcPr>
          <w:p w14:paraId="2A6DD73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preliminary assessment of in-person or online thoughts (for example, through discussion forums) relevant to topics surrounding the product</w:t>
            </w:r>
            <w:r>
              <w:rPr>
                <w:rFonts w:asciiTheme="majorHAnsi" w:hAnsiTheme="majorHAnsi"/>
                <w:color w:val="0432FF"/>
                <w:sz w:val="20"/>
                <w:szCs w:val="20"/>
                <w:vertAlign w:val="superscript"/>
              </w:rPr>
              <w:t>52</w:t>
            </w:r>
          </w:p>
        </w:tc>
      </w:tr>
      <w:tr w:rsidR="004A32A2" w14:paraId="2EAD22A2" w14:textId="77777777">
        <w:tc>
          <w:tcPr>
            <w:tcW w:w="1423" w:type="dxa"/>
            <w:vMerge w:val="restart"/>
            <w:tcBorders>
              <w:top w:val="single" w:sz="12" w:space="0" w:color="auto"/>
              <w:left w:val="single" w:sz="4" w:space="0" w:color="auto"/>
              <w:bottom w:val="single" w:sz="12" w:space="0" w:color="auto"/>
              <w:right w:val="single" w:sz="4" w:space="0" w:color="auto"/>
            </w:tcBorders>
            <w:hideMark/>
          </w:tcPr>
          <w:p w14:paraId="7A431617" w14:textId="77777777" w:rsidR="004A32A2" w:rsidRDefault="004A32A2">
            <w:pPr>
              <w:spacing w:after="0" w:line="276" w:lineRule="auto"/>
              <w:ind w:firstLine="0"/>
              <w:rPr>
                <w:rFonts w:asciiTheme="majorHAnsi" w:hAnsiTheme="majorHAnsi"/>
                <w:bCs/>
                <w:sz w:val="20"/>
                <w:szCs w:val="20"/>
              </w:rPr>
            </w:pPr>
            <w:r>
              <w:rPr>
                <w:rFonts w:asciiTheme="majorHAnsi" w:hAnsiTheme="majorHAnsi"/>
                <w:sz w:val="20"/>
                <w:szCs w:val="20"/>
              </w:rPr>
              <w:t>Understand Context</w:t>
            </w:r>
          </w:p>
        </w:tc>
        <w:tc>
          <w:tcPr>
            <w:tcW w:w="2035" w:type="dxa"/>
            <w:tcBorders>
              <w:top w:val="single" w:sz="12" w:space="0" w:color="auto"/>
              <w:left w:val="single" w:sz="4" w:space="0" w:color="auto"/>
              <w:bottom w:val="single" w:sz="4" w:space="0" w:color="auto"/>
              <w:right w:val="single" w:sz="4" w:space="0" w:color="auto"/>
            </w:tcBorders>
            <w:hideMark/>
          </w:tcPr>
          <w:p w14:paraId="7AB3752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Context-Of-Use</w:t>
            </w:r>
          </w:p>
        </w:tc>
        <w:tc>
          <w:tcPr>
            <w:tcW w:w="1367" w:type="dxa"/>
            <w:tcBorders>
              <w:top w:val="single" w:sz="12" w:space="0" w:color="auto"/>
              <w:left w:val="single" w:sz="4" w:space="0" w:color="auto"/>
              <w:bottom w:val="single" w:sz="4" w:space="0" w:color="auto"/>
              <w:right w:val="single" w:sz="4" w:space="0" w:color="auto"/>
            </w:tcBorders>
            <w:hideMark/>
          </w:tcPr>
          <w:p w14:paraId="51A147BB"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12" w:space="0" w:color="auto"/>
              <w:left w:val="single" w:sz="4" w:space="0" w:color="auto"/>
              <w:bottom w:val="single" w:sz="4" w:space="0" w:color="auto"/>
              <w:right w:val="single" w:sz="4" w:space="0" w:color="auto"/>
            </w:tcBorders>
            <w:hideMark/>
          </w:tcPr>
          <w:p w14:paraId="3349BB8F"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 xml:space="preserve">A working document that outlines users and stakeholders, their characteristics, activities, </w:t>
            </w:r>
            <w:r>
              <w:rPr>
                <w:rFonts w:asciiTheme="majorHAnsi" w:hAnsiTheme="majorHAnsi"/>
                <w:sz w:val="20"/>
                <w:szCs w:val="20"/>
              </w:rPr>
              <w:lastRenderedPageBreak/>
              <w:t>goals, and the technical, social, and cultural context in which the product will operate</w:t>
            </w:r>
            <w:r>
              <w:rPr>
                <w:rFonts w:asciiTheme="majorHAnsi" w:hAnsiTheme="majorHAnsi"/>
                <w:color w:val="0432FF"/>
                <w:sz w:val="20"/>
                <w:szCs w:val="20"/>
                <w:vertAlign w:val="superscript"/>
              </w:rPr>
              <w:t>39</w:t>
            </w:r>
          </w:p>
        </w:tc>
      </w:tr>
      <w:tr w:rsidR="004A32A2" w14:paraId="3BCBB82E"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431677D8"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50006EE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Observation</w:t>
            </w:r>
          </w:p>
        </w:tc>
        <w:tc>
          <w:tcPr>
            <w:tcW w:w="1367" w:type="dxa"/>
            <w:tcBorders>
              <w:top w:val="single" w:sz="4" w:space="0" w:color="auto"/>
              <w:left w:val="single" w:sz="4" w:space="0" w:color="auto"/>
              <w:bottom w:val="single" w:sz="4" w:space="0" w:color="auto"/>
              <w:right w:val="single" w:sz="4" w:space="0" w:color="auto"/>
            </w:tcBorders>
            <w:hideMark/>
          </w:tcPr>
          <w:p w14:paraId="3BAAD70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2407015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mechanism for shadowing where users and their interactions in an environment or with the product are noted</w:t>
            </w:r>
            <w:r>
              <w:rPr>
                <w:rFonts w:asciiTheme="majorHAnsi" w:hAnsiTheme="majorHAnsi"/>
                <w:color w:val="0432FF"/>
                <w:sz w:val="20"/>
                <w:szCs w:val="20"/>
                <w:vertAlign w:val="superscript"/>
              </w:rPr>
              <w:t>38, 72, 93</w:t>
            </w:r>
          </w:p>
        </w:tc>
      </w:tr>
      <w:tr w:rsidR="004A32A2" w14:paraId="29AC0680"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1165986D"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01954DAA"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Contextual Inquiry</w:t>
            </w:r>
          </w:p>
        </w:tc>
        <w:tc>
          <w:tcPr>
            <w:tcW w:w="1367" w:type="dxa"/>
            <w:tcBorders>
              <w:top w:val="single" w:sz="4" w:space="0" w:color="auto"/>
              <w:left w:val="single" w:sz="4" w:space="0" w:color="auto"/>
              <w:bottom w:val="single" w:sz="4" w:space="0" w:color="auto"/>
              <w:right w:val="single" w:sz="4" w:space="0" w:color="auto"/>
            </w:tcBorders>
            <w:hideMark/>
          </w:tcPr>
          <w:p w14:paraId="57D131D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0F72296D"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An observational mechanism where users are occasionally questioned or interrupted to gain insights on how they operate or interact in an environment</w:t>
            </w:r>
            <w:r>
              <w:rPr>
                <w:rFonts w:asciiTheme="majorHAnsi" w:hAnsiTheme="majorHAnsi"/>
                <w:color w:val="0432FF"/>
                <w:sz w:val="20"/>
                <w:szCs w:val="20"/>
                <w:vertAlign w:val="superscript"/>
              </w:rPr>
              <w:t>8, 94</w:t>
            </w:r>
          </w:p>
        </w:tc>
      </w:tr>
      <w:tr w:rsidR="004A32A2" w14:paraId="0A808419"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4782366A"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696E592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Fly on the Wall Observation</w:t>
            </w:r>
          </w:p>
        </w:tc>
        <w:tc>
          <w:tcPr>
            <w:tcW w:w="1367" w:type="dxa"/>
            <w:tcBorders>
              <w:top w:val="single" w:sz="4" w:space="0" w:color="auto"/>
              <w:left w:val="single" w:sz="4" w:space="0" w:color="auto"/>
              <w:bottom w:val="single" w:sz="4" w:space="0" w:color="auto"/>
              <w:right w:val="single" w:sz="4" w:space="0" w:color="auto"/>
            </w:tcBorders>
            <w:hideMark/>
          </w:tcPr>
          <w:p w14:paraId="495EDC1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572D9380"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An informal observational mechanism where local environments, people, or interactions are studied without their awareness of being observed</w:t>
            </w:r>
            <w:r>
              <w:rPr>
                <w:rFonts w:asciiTheme="majorHAnsi" w:hAnsiTheme="majorHAnsi"/>
                <w:color w:val="0432FF"/>
                <w:sz w:val="20"/>
                <w:szCs w:val="20"/>
                <w:vertAlign w:val="superscript"/>
              </w:rPr>
              <w:t>94</w:t>
            </w:r>
          </w:p>
        </w:tc>
      </w:tr>
      <w:tr w:rsidR="004A32A2" w14:paraId="5F5F0548"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F586A73"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7DF8C6E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Field Research</w:t>
            </w:r>
          </w:p>
        </w:tc>
        <w:tc>
          <w:tcPr>
            <w:tcW w:w="1367" w:type="dxa"/>
            <w:tcBorders>
              <w:top w:val="single" w:sz="4" w:space="0" w:color="auto"/>
              <w:left w:val="single" w:sz="4" w:space="0" w:color="auto"/>
              <w:bottom w:val="single" w:sz="4" w:space="0" w:color="auto"/>
              <w:right w:val="single" w:sz="4" w:space="0" w:color="auto"/>
            </w:tcBorders>
            <w:hideMark/>
          </w:tcPr>
          <w:p w14:paraId="4BF3289D"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4A69FEC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qualitative mechanism for observation and interviews involving researchers being placed in the local environment and gathering insights on the ecosystem of users and stakeholders</w:t>
            </w:r>
            <w:r>
              <w:rPr>
                <w:rFonts w:asciiTheme="majorHAnsi" w:hAnsiTheme="majorHAnsi"/>
                <w:color w:val="0432FF"/>
                <w:sz w:val="20"/>
                <w:szCs w:val="20"/>
                <w:vertAlign w:val="superscript"/>
              </w:rPr>
              <w:t>94</w:t>
            </w:r>
          </w:p>
        </w:tc>
      </w:tr>
      <w:tr w:rsidR="004A32A2" w14:paraId="5D6BF338"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B5A8CD2"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3BD9432F"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Directed Storytelling</w:t>
            </w:r>
          </w:p>
        </w:tc>
        <w:tc>
          <w:tcPr>
            <w:tcW w:w="1367" w:type="dxa"/>
            <w:tcBorders>
              <w:top w:val="single" w:sz="4" w:space="0" w:color="auto"/>
              <w:left w:val="single" w:sz="4" w:space="0" w:color="auto"/>
              <w:bottom w:val="single" w:sz="4" w:space="0" w:color="auto"/>
              <w:right w:val="single" w:sz="4" w:space="0" w:color="auto"/>
            </w:tcBorders>
            <w:hideMark/>
          </w:tcPr>
          <w:p w14:paraId="18F33552"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45515D0F"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 xml:space="preserve">An interview where the user is asked to tell a story on a particular topic to gather information on habits and </w:t>
            </w:r>
            <w:proofErr w:type="spellStart"/>
            <w:r>
              <w:rPr>
                <w:rFonts w:asciiTheme="majorHAnsi" w:hAnsiTheme="majorHAnsi"/>
                <w:sz w:val="20"/>
                <w:szCs w:val="20"/>
              </w:rPr>
              <w:t>behaviors</w:t>
            </w:r>
            <w:proofErr w:type="spellEnd"/>
            <w:r>
              <w:rPr>
                <w:rFonts w:asciiTheme="majorHAnsi" w:hAnsiTheme="majorHAnsi"/>
                <w:sz w:val="20"/>
                <w:szCs w:val="20"/>
              </w:rPr>
              <w:t xml:space="preserve"> pertaining to that topic</w:t>
            </w:r>
            <w:r>
              <w:rPr>
                <w:rFonts w:asciiTheme="majorHAnsi" w:hAnsiTheme="majorHAnsi"/>
                <w:color w:val="0432FF"/>
                <w:sz w:val="20"/>
                <w:szCs w:val="20"/>
                <w:vertAlign w:val="superscript"/>
              </w:rPr>
              <w:t>94</w:t>
            </w:r>
          </w:p>
        </w:tc>
      </w:tr>
      <w:tr w:rsidR="004A32A2" w14:paraId="17039C1D"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115EA555"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76F9564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Speed Dating</w:t>
            </w:r>
          </w:p>
        </w:tc>
        <w:tc>
          <w:tcPr>
            <w:tcW w:w="1367" w:type="dxa"/>
            <w:tcBorders>
              <w:top w:val="single" w:sz="4" w:space="0" w:color="auto"/>
              <w:left w:val="single" w:sz="4" w:space="0" w:color="auto"/>
              <w:bottom w:val="single" w:sz="4" w:space="0" w:color="auto"/>
              <w:right w:val="single" w:sz="4" w:space="0" w:color="auto"/>
            </w:tcBorders>
            <w:hideMark/>
          </w:tcPr>
          <w:p w14:paraId="566F44DF"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05B1F4A9"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An exploratory design mechanism where concrete scenarios are rapidly shown to users to gather their feedback</w:t>
            </w:r>
            <w:r>
              <w:rPr>
                <w:rFonts w:asciiTheme="majorHAnsi" w:hAnsiTheme="majorHAnsi"/>
                <w:color w:val="0432FF"/>
                <w:sz w:val="20"/>
                <w:szCs w:val="20"/>
                <w:vertAlign w:val="superscript"/>
              </w:rPr>
              <w:t>95</w:t>
            </w:r>
          </w:p>
        </w:tc>
      </w:tr>
      <w:tr w:rsidR="004A32A2" w14:paraId="6AD6A8FE"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088B82A"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12" w:space="0" w:color="auto"/>
              <w:right w:val="single" w:sz="4" w:space="0" w:color="auto"/>
            </w:tcBorders>
            <w:hideMark/>
          </w:tcPr>
          <w:p w14:paraId="180DDC8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Needs Cards</w:t>
            </w:r>
          </w:p>
        </w:tc>
        <w:tc>
          <w:tcPr>
            <w:tcW w:w="1367" w:type="dxa"/>
            <w:tcBorders>
              <w:top w:val="single" w:sz="4" w:space="0" w:color="auto"/>
              <w:left w:val="single" w:sz="4" w:space="0" w:color="auto"/>
              <w:bottom w:val="single" w:sz="12" w:space="0" w:color="auto"/>
              <w:right w:val="single" w:sz="4" w:space="0" w:color="auto"/>
            </w:tcBorders>
            <w:hideMark/>
          </w:tcPr>
          <w:p w14:paraId="66D11202"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12" w:space="0" w:color="auto"/>
              <w:right w:val="single" w:sz="4" w:space="0" w:color="auto"/>
            </w:tcBorders>
            <w:hideMark/>
          </w:tcPr>
          <w:p w14:paraId="7DACD790"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set of cards that identify user information and associated challenges and can be used to ideate common use cases</w:t>
            </w:r>
            <w:r>
              <w:rPr>
                <w:rFonts w:asciiTheme="majorHAnsi" w:hAnsiTheme="majorHAnsi"/>
                <w:color w:val="0432FF"/>
                <w:sz w:val="20"/>
                <w:szCs w:val="20"/>
                <w:vertAlign w:val="superscript"/>
              </w:rPr>
              <w:t>96</w:t>
            </w:r>
          </w:p>
        </w:tc>
      </w:tr>
      <w:tr w:rsidR="004A32A2" w14:paraId="2744F58D" w14:textId="77777777">
        <w:tc>
          <w:tcPr>
            <w:tcW w:w="1423" w:type="dxa"/>
            <w:vMerge w:val="restart"/>
            <w:tcBorders>
              <w:top w:val="single" w:sz="12" w:space="0" w:color="auto"/>
              <w:left w:val="single" w:sz="4" w:space="0" w:color="auto"/>
              <w:bottom w:val="single" w:sz="12" w:space="0" w:color="auto"/>
              <w:right w:val="single" w:sz="4" w:space="0" w:color="auto"/>
            </w:tcBorders>
            <w:hideMark/>
          </w:tcPr>
          <w:p w14:paraId="481E17E0" w14:textId="77777777" w:rsidR="004A32A2" w:rsidRDefault="004A32A2">
            <w:pPr>
              <w:spacing w:after="0" w:line="276" w:lineRule="auto"/>
              <w:ind w:firstLine="0"/>
              <w:rPr>
                <w:rFonts w:asciiTheme="majorHAnsi" w:hAnsiTheme="majorHAnsi"/>
                <w:bCs/>
                <w:sz w:val="20"/>
                <w:szCs w:val="20"/>
              </w:rPr>
            </w:pPr>
            <w:r>
              <w:rPr>
                <w:rFonts w:asciiTheme="majorHAnsi" w:hAnsiTheme="majorHAnsi"/>
                <w:sz w:val="20"/>
                <w:szCs w:val="20"/>
              </w:rPr>
              <w:t>Specify User Requirements</w:t>
            </w:r>
          </w:p>
        </w:tc>
        <w:tc>
          <w:tcPr>
            <w:tcW w:w="2035" w:type="dxa"/>
            <w:tcBorders>
              <w:top w:val="single" w:sz="12" w:space="0" w:color="auto"/>
              <w:left w:val="single" w:sz="4" w:space="0" w:color="auto"/>
              <w:bottom w:val="single" w:sz="4" w:space="0" w:color="auto"/>
              <w:right w:val="single" w:sz="4" w:space="0" w:color="auto"/>
            </w:tcBorders>
            <w:hideMark/>
          </w:tcPr>
          <w:p w14:paraId="4586D31A"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User Requirements Specification</w:t>
            </w:r>
          </w:p>
        </w:tc>
        <w:tc>
          <w:tcPr>
            <w:tcW w:w="1367" w:type="dxa"/>
            <w:tcBorders>
              <w:top w:val="single" w:sz="12" w:space="0" w:color="auto"/>
              <w:left w:val="single" w:sz="4" w:space="0" w:color="auto"/>
              <w:bottom w:val="single" w:sz="4" w:space="0" w:color="auto"/>
              <w:right w:val="single" w:sz="4" w:space="0" w:color="auto"/>
            </w:tcBorders>
            <w:hideMark/>
          </w:tcPr>
          <w:p w14:paraId="605D6768"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12" w:space="0" w:color="auto"/>
              <w:left w:val="single" w:sz="4" w:space="0" w:color="auto"/>
              <w:bottom w:val="single" w:sz="4" w:space="0" w:color="auto"/>
              <w:right w:val="single" w:sz="4" w:space="0" w:color="auto"/>
            </w:tcBorders>
            <w:hideMark/>
          </w:tcPr>
          <w:p w14:paraId="7A54EE40"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working document that captures the context-of-use, usability requirements, and product requirements based on user needs, product interface, and developer goals</w:t>
            </w:r>
            <w:r>
              <w:rPr>
                <w:rFonts w:asciiTheme="majorHAnsi" w:hAnsiTheme="majorHAnsi"/>
                <w:color w:val="0432FF"/>
                <w:sz w:val="20"/>
                <w:szCs w:val="20"/>
                <w:vertAlign w:val="superscript"/>
              </w:rPr>
              <w:t>39</w:t>
            </w:r>
          </w:p>
        </w:tc>
      </w:tr>
      <w:tr w:rsidR="004A32A2" w14:paraId="4F953A3D"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1B8CF612"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09C8CDD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Affinity Diagram</w:t>
            </w:r>
          </w:p>
        </w:tc>
        <w:tc>
          <w:tcPr>
            <w:tcW w:w="1367" w:type="dxa"/>
            <w:tcBorders>
              <w:top w:val="single" w:sz="4" w:space="0" w:color="auto"/>
              <w:left w:val="single" w:sz="4" w:space="0" w:color="auto"/>
              <w:bottom w:val="single" w:sz="4" w:space="0" w:color="auto"/>
              <w:right w:val="single" w:sz="4" w:space="0" w:color="auto"/>
            </w:tcBorders>
            <w:hideMark/>
          </w:tcPr>
          <w:p w14:paraId="778D2E2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4" w:space="0" w:color="auto"/>
              <w:right w:val="single" w:sz="4" w:space="0" w:color="auto"/>
            </w:tcBorders>
            <w:hideMark/>
          </w:tcPr>
          <w:p w14:paraId="7E3197B0"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diagram tool that organizes ideas and topics into relationships and informs other mechanisms such as personas and user scenarios</w:t>
            </w:r>
            <w:r>
              <w:rPr>
                <w:rFonts w:asciiTheme="majorHAnsi" w:hAnsiTheme="majorHAnsi"/>
                <w:color w:val="0432FF"/>
                <w:sz w:val="20"/>
                <w:szCs w:val="20"/>
                <w:vertAlign w:val="superscript"/>
              </w:rPr>
              <w:t>96</w:t>
            </w:r>
          </w:p>
        </w:tc>
      </w:tr>
      <w:tr w:rsidR="004A32A2" w14:paraId="1A3FD9D4"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2AE82761"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273B795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Maps (or Cognitive Mapping)</w:t>
            </w:r>
          </w:p>
        </w:tc>
        <w:tc>
          <w:tcPr>
            <w:tcW w:w="1367" w:type="dxa"/>
            <w:tcBorders>
              <w:top w:val="single" w:sz="4" w:space="0" w:color="auto"/>
              <w:left w:val="single" w:sz="4" w:space="0" w:color="auto"/>
              <w:bottom w:val="single" w:sz="4" w:space="0" w:color="auto"/>
              <w:right w:val="single" w:sz="4" w:space="0" w:color="auto"/>
            </w:tcBorders>
            <w:hideMark/>
          </w:tcPr>
          <w:p w14:paraId="2FAA2AC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4" w:space="0" w:color="auto"/>
              <w:right w:val="single" w:sz="4" w:space="0" w:color="auto"/>
            </w:tcBorders>
            <w:hideMark/>
          </w:tcPr>
          <w:p w14:paraId="2E374ADD"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visual diagram tool where a user’s decision-making process is outlined with central ideas placed in middle and connected ideas extending from the center</w:t>
            </w:r>
            <w:r>
              <w:rPr>
                <w:rFonts w:asciiTheme="majorHAnsi" w:hAnsiTheme="majorHAnsi"/>
                <w:color w:val="0432FF"/>
                <w:sz w:val="20"/>
                <w:szCs w:val="20"/>
                <w:vertAlign w:val="superscript"/>
              </w:rPr>
              <w:t>50, 96</w:t>
            </w:r>
          </w:p>
        </w:tc>
      </w:tr>
      <w:tr w:rsidR="004A32A2" w14:paraId="4ECF5914"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1E944FD1"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3AC6C87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Personas</w:t>
            </w:r>
          </w:p>
        </w:tc>
        <w:tc>
          <w:tcPr>
            <w:tcW w:w="1367" w:type="dxa"/>
            <w:tcBorders>
              <w:top w:val="single" w:sz="4" w:space="0" w:color="auto"/>
              <w:left w:val="single" w:sz="4" w:space="0" w:color="auto"/>
              <w:bottom w:val="single" w:sz="4" w:space="0" w:color="auto"/>
              <w:right w:val="single" w:sz="4" w:space="0" w:color="auto"/>
            </w:tcBorders>
            <w:hideMark/>
          </w:tcPr>
          <w:p w14:paraId="77043D6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4" w:space="0" w:color="auto"/>
              <w:right w:val="single" w:sz="4" w:space="0" w:color="auto"/>
            </w:tcBorders>
            <w:hideMark/>
          </w:tcPr>
          <w:p w14:paraId="78B4E558"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descriptive user model (fictional character) that represents a type of user and can be used to focus development and understand challenges</w:t>
            </w:r>
            <w:r>
              <w:rPr>
                <w:rFonts w:asciiTheme="majorHAnsi" w:hAnsiTheme="majorHAnsi"/>
                <w:color w:val="0432FF"/>
                <w:sz w:val="20"/>
                <w:szCs w:val="20"/>
                <w:vertAlign w:val="superscript"/>
              </w:rPr>
              <w:t>72, 97, 98</w:t>
            </w:r>
          </w:p>
        </w:tc>
      </w:tr>
      <w:tr w:rsidR="004A32A2" w14:paraId="5219D836"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39934B4"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2787881A"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User Scenario</w:t>
            </w:r>
          </w:p>
        </w:tc>
        <w:tc>
          <w:tcPr>
            <w:tcW w:w="1367" w:type="dxa"/>
            <w:tcBorders>
              <w:top w:val="single" w:sz="4" w:space="0" w:color="auto"/>
              <w:left w:val="single" w:sz="4" w:space="0" w:color="auto"/>
              <w:bottom w:val="single" w:sz="4" w:space="0" w:color="auto"/>
              <w:right w:val="single" w:sz="4" w:space="0" w:color="auto"/>
            </w:tcBorders>
            <w:hideMark/>
          </w:tcPr>
          <w:p w14:paraId="157D157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4" w:space="0" w:color="auto"/>
              <w:right w:val="single" w:sz="4" w:space="0" w:color="auto"/>
            </w:tcBorders>
            <w:hideMark/>
          </w:tcPr>
          <w:p w14:paraId="7AACCBF8"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An informal narrative description (story) that represents a realistic user activity, interaction, or task related to the product</w:t>
            </w:r>
            <w:r>
              <w:rPr>
                <w:rFonts w:asciiTheme="majorHAnsi" w:hAnsiTheme="majorHAnsi"/>
                <w:color w:val="0432FF"/>
                <w:sz w:val="20"/>
                <w:szCs w:val="20"/>
                <w:vertAlign w:val="superscript"/>
              </w:rPr>
              <w:t>38, 72</w:t>
            </w:r>
          </w:p>
        </w:tc>
      </w:tr>
      <w:tr w:rsidR="004A32A2" w14:paraId="4FE20110"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448877D8"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426A6658"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Storyboard</w:t>
            </w:r>
          </w:p>
        </w:tc>
        <w:tc>
          <w:tcPr>
            <w:tcW w:w="1367" w:type="dxa"/>
            <w:tcBorders>
              <w:top w:val="single" w:sz="4" w:space="0" w:color="auto"/>
              <w:left w:val="single" w:sz="4" w:space="0" w:color="auto"/>
              <w:bottom w:val="single" w:sz="4" w:space="0" w:color="auto"/>
              <w:right w:val="single" w:sz="4" w:space="0" w:color="auto"/>
            </w:tcBorders>
            <w:hideMark/>
          </w:tcPr>
          <w:p w14:paraId="06E525C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4" w:space="0" w:color="auto"/>
              <w:right w:val="single" w:sz="4" w:space="0" w:color="auto"/>
            </w:tcBorders>
            <w:hideMark/>
          </w:tcPr>
          <w:p w14:paraId="1FE5D9D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sequence of images that visualizes a narrative or challenge a user may face in different situations</w:t>
            </w:r>
            <w:r>
              <w:rPr>
                <w:rFonts w:asciiTheme="majorHAnsi" w:hAnsiTheme="majorHAnsi"/>
                <w:color w:val="0432FF"/>
                <w:sz w:val="20"/>
                <w:szCs w:val="20"/>
                <w:vertAlign w:val="superscript"/>
              </w:rPr>
              <w:t>50, 96</w:t>
            </w:r>
          </w:p>
        </w:tc>
      </w:tr>
      <w:tr w:rsidR="004A32A2" w14:paraId="34F7A616"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2C4FB05C"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082D825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Task Analysis</w:t>
            </w:r>
          </w:p>
        </w:tc>
        <w:tc>
          <w:tcPr>
            <w:tcW w:w="1367" w:type="dxa"/>
            <w:tcBorders>
              <w:top w:val="single" w:sz="4" w:space="0" w:color="auto"/>
              <w:left w:val="single" w:sz="4" w:space="0" w:color="auto"/>
              <w:bottom w:val="single" w:sz="4" w:space="0" w:color="auto"/>
              <w:right w:val="single" w:sz="4" w:space="0" w:color="auto"/>
            </w:tcBorders>
            <w:hideMark/>
          </w:tcPr>
          <w:p w14:paraId="54EDA03D"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3B29283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mechanism for studying the tasks users complete, how they approach it, what steps they take, and their goals relating to it</w:t>
            </w:r>
            <w:r>
              <w:rPr>
                <w:rFonts w:asciiTheme="majorHAnsi" w:hAnsiTheme="majorHAnsi"/>
                <w:color w:val="0432FF"/>
                <w:sz w:val="20"/>
                <w:szCs w:val="20"/>
                <w:vertAlign w:val="superscript"/>
              </w:rPr>
              <w:t>72, 99</w:t>
            </w:r>
          </w:p>
        </w:tc>
      </w:tr>
      <w:tr w:rsidR="004A32A2" w14:paraId="543D0B40"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1BAB5C02"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17F56D2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Hierarchical Task Analysis</w:t>
            </w:r>
          </w:p>
        </w:tc>
        <w:tc>
          <w:tcPr>
            <w:tcW w:w="1367" w:type="dxa"/>
            <w:tcBorders>
              <w:top w:val="single" w:sz="4" w:space="0" w:color="auto"/>
              <w:left w:val="single" w:sz="4" w:space="0" w:color="auto"/>
              <w:bottom w:val="single" w:sz="4" w:space="0" w:color="auto"/>
              <w:right w:val="single" w:sz="4" w:space="0" w:color="auto"/>
            </w:tcBorders>
            <w:hideMark/>
          </w:tcPr>
          <w:p w14:paraId="3D6A36E2"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2EC84648"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task analysis where main tasks are broken down and grouped into a hierarchy of sub-tasks</w:t>
            </w:r>
            <w:r>
              <w:rPr>
                <w:rFonts w:asciiTheme="majorHAnsi" w:hAnsiTheme="majorHAnsi"/>
                <w:color w:val="0432FF"/>
                <w:sz w:val="20"/>
                <w:szCs w:val="20"/>
                <w:vertAlign w:val="superscript"/>
              </w:rPr>
              <w:t>99</w:t>
            </w:r>
          </w:p>
        </w:tc>
      </w:tr>
      <w:tr w:rsidR="004A32A2" w14:paraId="397B5C80"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44E580F3"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12" w:space="0" w:color="auto"/>
              <w:right w:val="single" w:sz="4" w:space="0" w:color="auto"/>
            </w:tcBorders>
            <w:hideMark/>
          </w:tcPr>
          <w:p w14:paraId="3390B6E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Card Sorting</w:t>
            </w:r>
          </w:p>
        </w:tc>
        <w:tc>
          <w:tcPr>
            <w:tcW w:w="1367" w:type="dxa"/>
            <w:tcBorders>
              <w:top w:val="single" w:sz="4" w:space="0" w:color="auto"/>
              <w:left w:val="single" w:sz="4" w:space="0" w:color="auto"/>
              <w:bottom w:val="single" w:sz="12" w:space="0" w:color="auto"/>
              <w:right w:val="single" w:sz="4" w:space="0" w:color="auto"/>
            </w:tcBorders>
            <w:hideMark/>
          </w:tcPr>
          <w:p w14:paraId="51C69B5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12" w:space="0" w:color="auto"/>
              <w:right w:val="single" w:sz="4" w:space="0" w:color="auto"/>
            </w:tcBorders>
            <w:hideMark/>
          </w:tcPr>
          <w:p w14:paraId="4B41E1A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 xml:space="preserve">A mechanism where users group cards, denoting tasks and topics, into groups and hierarchies to provide developers with information regarding workflow, </w:t>
            </w:r>
            <w:proofErr w:type="spellStart"/>
            <w:r>
              <w:rPr>
                <w:rFonts w:asciiTheme="majorHAnsi" w:hAnsiTheme="majorHAnsi"/>
                <w:sz w:val="20"/>
                <w:szCs w:val="20"/>
              </w:rPr>
              <w:t>labeling</w:t>
            </w:r>
            <w:proofErr w:type="spellEnd"/>
            <w:r>
              <w:rPr>
                <w:rFonts w:asciiTheme="majorHAnsi" w:hAnsiTheme="majorHAnsi"/>
                <w:sz w:val="20"/>
                <w:szCs w:val="20"/>
              </w:rPr>
              <w:t>, and user interface design</w:t>
            </w:r>
            <w:r>
              <w:rPr>
                <w:rFonts w:asciiTheme="majorHAnsi" w:hAnsiTheme="majorHAnsi"/>
                <w:color w:val="0432FF"/>
                <w:sz w:val="20"/>
                <w:szCs w:val="20"/>
                <w:vertAlign w:val="superscript"/>
              </w:rPr>
              <w:t>38, 72</w:t>
            </w:r>
          </w:p>
        </w:tc>
      </w:tr>
      <w:tr w:rsidR="004A32A2" w14:paraId="121F6EE1" w14:textId="77777777">
        <w:tc>
          <w:tcPr>
            <w:tcW w:w="1423" w:type="dxa"/>
            <w:vMerge w:val="restart"/>
            <w:tcBorders>
              <w:top w:val="single" w:sz="12" w:space="0" w:color="auto"/>
              <w:left w:val="single" w:sz="4" w:space="0" w:color="auto"/>
              <w:bottom w:val="single" w:sz="12" w:space="0" w:color="auto"/>
              <w:right w:val="single" w:sz="4" w:space="0" w:color="auto"/>
            </w:tcBorders>
            <w:hideMark/>
          </w:tcPr>
          <w:p w14:paraId="4C986C3F" w14:textId="77777777" w:rsidR="004A32A2" w:rsidRDefault="004A32A2">
            <w:pPr>
              <w:spacing w:after="0" w:line="276" w:lineRule="auto"/>
              <w:ind w:firstLine="0"/>
              <w:rPr>
                <w:rFonts w:asciiTheme="majorHAnsi" w:hAnsiTheme="majorHAnsi"/>
                <w:bCs/>
                <w:sz w:val="20"/>
                <w:szCs w:val="20"/>
              </w:rPr>
            </w:pPr>
            <w:r>
              <w:rPr>
                <w:rFonts w:asciiTheme="majorHAnsi" w:hAnsiTheme="majorHAnsi"/>
                <w:sz w:val="20"/>
                <w:szCs w:val="20"/>
              </w:rPr>
              <w:t>Produce Solutions</w:t>
            </w:r>
          </w:p>
        </w:tc>
        <w:tc>
          <w:tcPr>
            <w:tcW w:w="2035" w:type="dxa"/>
            <w:tcBorders>
              <w:top w:val="single" w:sz="12" w:space="0" w:color="auto"/>
              <w:left w:val="single" w:sz="4" w:space="0" w:color="auto"/>
              <w:bottom w:val="single" w:sz="4" w:space="0" w:color="auto"/>
              <w:right w:val="single" w:sz="4" w:space="0" w:color="auto"/>
            </w:tcBorders>
            <w:hideMark/>
          </w:tcPr>
          <w:p w14:paraId="0E7D8D3F"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Design Proposal</w:t>
            </w:r>
          </w:p>
        </w:tc>
        <w:tc>
          <w:tcPr>
            <w:tcW w:w="1367" w:type="dxa"/>
            <w:tcBorders>
              <w:top w:val="single" w:sz="12" w:space="0" w:color="auto"/>
              <w:left w:val="single" w:sz="4" w:space="0" w:color="auto"/>
              <w:bottom w:val="single" w:sz="4" w:space="0" w:color="auto"/>
              <w:right w:val="single" w:sz="4" w:space="0" w:color="auto"/>
            </w:tcBorders>
            <w:hideMark/>
          </w:tcPr>
          <w:p w14:paraId="01A073FF"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12" w:space="0" w:color="auto"/>
              <w:left w:val="single" w:sz="4" w:space="0" w:color="auto"/>
              <w:bottom w:val="single" w:sz="4" w:space="0" w:color="auto"/>
              <w:right w:val="single" w:sz="4" w:space="0" w:color="auto"/>
            </w:tcBorders>
            <w:hideMark/>
          </w:tcPr>
          <w:p w14:paraId="038EA368"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An initial idea of how the product should look and be designed</w:t>
            </w:r>
            <w:r>
              <w:rPr>
                <w:rFonts w:asciiTheme="majorHAnsi" w:hAnsiTheme="majorHAnsi"/>
                <w:color w:val="0432FF"/>
                <w:sz w:val="20"/>
                <w:szCs w:val="20"/>
                <w:vertAlign w:val="superscript"/>
              </w:rPr>
              <w:t>74</w:t>
            </w:r>
          </w:p>
        </w:tc>
      </w:tr>
      <w:tr w:rsidR="004A32A2" w14:paraId="65B2FCFA"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AED5F26"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5F681238"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Wireframe</w:t>
            </w:r>
          </w:p>
        </w:tc>
        <w:tc>
          <w:tcPr>
            <w:tcW w:w="1367" w:type="dxa"/>
            <w:tcBorders>
              <w:top w:val="single" w:sz="4" w:space="0" w:color="auto"/>
              <w:left w:val="single" w:sz="4" w:space="0" w:color="auto"/>
              <w:bottom w:val="single" w:sz="4" w:space="0" w:color="auto"/>
              <w:right w:val="single" w:sz="4" w:space="0" w:color="auto"/>
            </w:tcBorders>
            <w:hideMark/>
          </w:tcPr>
          <w:p w14:paraId="368FE37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4" w:space="0" w:color="auto"/>
              <w:right w:val="single" w:sz="4" w:space="0" w:color="auto"/>
            </w:tcBorders>
            <w:hideMark/>
          </w:tcPr>
          <w:p w14:paraId="4915D5A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skeletal sketch of the product including its user interface and how the features will interact</w:t>
            </w:r>
            <w:r>
              <w:rPr>
                <w:rFonts w:asciiTheme="majorHAnsi" w:hAnsiTheme="majorHAnsi"/>
                <w:color w:val="0432FF"/>
                <w:sz w:val="20"/>
                <w:szCs w:val="20"/>
                <w:vertAlign w:val="superscript"/>
              </w:rPr>
              <w:t>50</w:t>
            </w:r>
          </w:p>
        </w:tc>
      </w:tr>
      <w:tr w:rsidR="004A32A2" w14:paraId="0B51BA04"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1E9FE654"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7753E06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Prototype</w:t>
            </w:r>
          </w:p>
        </w:tc>
        <w:tc>
          <w:tcPr>
            <w:tcW w:w="1367" w:type="dxa"/>
            <w:tcBorders>
              <w:top w:val="single" w:sz="4" w:space="0" w:color="auto"/>
              <w:left w:val="single" w:sz="4" w:space="0" w:color="auto"/>
              <w:bottom w:val="single" w:sz="4" w:space="0" w:color="auto"/>
              <w:right w:val="single" w:sz="4" w:space="0" w:color="auto"/>
            </w:tcBorders>
            <w:hideMark/>
          </w:tcPr>
          <w:p w14:paraId="67D3EE7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4" w:space="0" w:color="auto"/>
              <w:right w:val="single" w:sz="4" w:space="0" w:color="auto"/>
            </w:tcBorders>
            <w:hideMark/>
          </w:tcPr>
          <w:p w14:paraId="486FFD35"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preliminary version of the product designed according to user requirements and needs, used to test functionality, and gather actionable feedback for further development</w:t>
            </w:r>
            <w:r>
              <w:rPr>
                <w:rFonts w:asciiTheme="majorHAnsi" w:hAnsiTheme="majorHAnsi"/>
                <w:color w:val="0432FF"/>
                <w:sz w:val="20"/>
                <w:szCs w:val="20"/>
                <w:vertAlign w:val="superscript"/>
              </w:rPr>
              <w:t>96</w:t>
            </w:r>
          </w:p>
        </w:tc>
      </w:tr>
      <w:tr w:rsidR="004A32A2" w14:paraId="301FF4FC"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959E42C"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6893591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Low-Fidelity Prototype</w:t>
            </w:r>
          </w:p>
        </w:tc>
        <w:tc>
          <w:tcPr>
            <w:tcW w:w="1367" w:type="dxa"/>
            <w:tcBorders>
              <w:top w:val="single" w:sz="4" w:space="0" w:color="auto"/>
              <w:left w:val="single" w:sz="4" w:space="0" w:color="auto"/>
              <w:bottom w:val="single" w:sz="4" w:space="0" w:color="auto"/>
              <w:right w:val="single" w:sz="4" w:space="0" w:color="auto"/>
            </w:tcBorders>
            <w:hideMark/>
          </w:tcPr>
          <w:p w14:paraId="77CD401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4" w:space="0" w:color="auto"/>
              <w:right w:val="single" w:sz="4" w:space="0" w:color="auto"/>
            </w:tcBorders>
            <w:hideMark/>
          </w:tcPr>
          <w:p w14:paraId="1820747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simpler prototype capturing the basic design and can be used for early feedback</w:t>
            </w:r>
            <w:r>
              <w:rPr>
                <w:rFonts w:asciiTheme="majorHAnsi" w:hAnsiTheme="majorHAnsi"/>
                <w:color w:val="0432FF"/>
                <w:sz w:val="20"/>
                <w:szCs w:val="20"/>
                <w:vertAlign w:val="superscript"/>
              </w:rPr>
              <w:t>72, 74</w:t>
            </w:r>
          </w:p>
        </w:tc>
      </w:tr>
      <w:tr w:rsidR="004A32A2" w14:paraId="4EFDEDFA"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5062A88"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689A8C1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Paper Prototype</w:t>
            </w:r>
          </w:p>
        </w:tc>
        <w:tc>
          <w:tcPr>
            <w:tcW w:w="1367" w:type="dxa"/>
            <w:tcBorders>
              <w:top w:val="single" w:sz="4" w:space="0" w:color="auto"/>
              <w:left w:val="single" w:sz="4" w:space="0" w:color="auto"/>
              <w:bottom w:val="single" w:sz="4" w:space="0" w:color="auto"/>
              <w:right w:val="single" w:sz="4" w:space="0" w:color="auto"/>
            </w:tcBorders>
            <w:hideMark/>
          </w:tcPr>
          <w:p w14:paraId="0BFCD1F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4" w:space="0" w:color="auto"/>
              <w:right w:val="single" w:sz="4" w:space="0" w:color="auto"/>
            </w:tcBorders>
            <w:hideMark/>
          </w:tcPr>
          <w:p w14:paraId="7D0F4CB0"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flexible and cost-effective low-fidelity prototype for rapid designing and testing</w:t>
            </w:r>
            <w:r>
              <w:rPr>
                <w:rFonts w:asciiTheme="majorHAnsi" w:hAnsiTheme="majorHAnsi"/>
                <w:color w:val="0432FF"/>
                <w:sz w:val="20"/>
                <w:szCs w:val="20"/>
                <w:vertAlign w:val="superscript"/>
              </w:rPr>
              <w:t>38, 94</w:t>
            </w:r>
          </w:p>
        </w:tc>
      </w:tr>
      <w:tr w:rsidR="004A32A2" w14:paraId="7E6FEF88"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E9F7B57"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12" w:space="0" w:color="auto"/>
              <w:right w:val="single" w:sz="4" w:space="0" w:color="auto"/>
            </w:tcBorders>
            <w:hideMark/>
          </w:tcPr>
          <w:p w14:paraId="474BAB8C"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High-Fidelity Prototype</w:t>
            </w:r>
          </w:p>
        </w:tc>
        <w:tc>
          <w:tcPr>
            <w:tcW w:w="1367" w:type="dxa"/>
            <w:tcBorders>
              <w:top w:val="single" w:sz="4" w:space="0" w:color="auto"/>
              <w:left w:val="single" w:sz="4" w:space="0" w:color="auto"/>
              <w:bottom w:val="single" w:sz="12" w:space="0" w:color="auto"/>
              <w:right w:val="single" w:sz="4" w:space="0" w:color="auto"/>
            </w:tcBorders>
            <w:hideMark/>
          </w:tcPr>
          <w:p w14:paraId="3D00E5E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12" w:space="0" w:color="auto"/>
              <w:right w:val="single" w:sz="4" w:space="0" w:color="auto"/>
            </w:tcBorders>
            <w:hideMark/>
          </w:tcPr>
          <w:p w14:paraId="6681037E"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 xml:space="preserve">A </w:t>
            </w:r>
            <w:proofErr w:type="gramStart"/>
            <w:r>
              <w:rPr>
                <w:rFonts w:asciiTheme="majorHAnsi" w:hAnsiTheme="majorHAnsi"/>
                <w:sz w:val="20"/>
                <w:szCs w:val="20"/>
              </w:rPr>
              <w:t>fully-functioning</w:t>
            </w:r>
            <w:proofErr w:type="gramEnd"/>
            <w:r>
              <w:rPr>
                <w:rFonts w:asciiTheme="majorHAnsi" w:hAnsiTheme="majorHAnsi"/>
                <w:sz w:val="20"/>
                <w:szCs w:val="20"/>
              </w:rPr>
              <w:t xml:space="preserve"> prototype of the product that is close to the final design</w:t>
            </w:r>
            <w:r>
              <w:rPr>
                <w:rFonts w:asciiTheme="majorHAnsi" w:hAnsiTheme="majorHAnsi"/>
                <w:color w:val="0432FF"/>
                <w:sz w:val="20"/>
                <w:szCs w:val="20"/>
                <w:vertAlign w:val="superscript"/>
              </w:rPr>
              <w:t>72</w:t>
            </w:r>
          </w:p>
        </w:tc>
      </w:tr>
      <w:tr w:rsidR="004A32A2" w14:paraId="37741E3D" w14:textId="77777777">
        <w:tc>
          <w:tcPr>
            <w:tcW w:w="1423" w:type="dxa"/>
            <w:vMerge w:val="restart"/>
            <w:tcBorders>
              <w:top w:val="single" w:sz="12" w:space="0" w:color="auto"/>
              <w:left w:val="single" w:sz="4" w:space="0" w:color="auto"/>
              <w:bottom w:val="single" w:sz="4" w:space="0" w:color="auto"/>
              <w:right w:val="single" w:sz="4" w:space="0" w:color="auto"/>
            </w:tcBorders>
            <w:hideMark/>
          </w:tcPr>
          <w:p w14:paraId="274530CA" w14:textId="77777777" w:rsidR="004A32A2" w:rsidRDefault="004A32A2">
            <w:pPr>
              <w:spacing w:after="0" w:line="276" w:lineRule="auto"/>
              <w:ind w:firstLine="0"/>
              <w:rPr>
                <w:rFonts w:asciiTheme="majorHAnsi" w:hAnsiTheme="majorHAnsi"/>
                <w:bCs/>
                <w:sz w:val="20"/>
                <w:szCs w:val="20"/>
              </w:rPr>
            </w:pPr>
            <w:r>
              <w:rPr>
                <w:rFonts w:asciiTheme="majorHAnsi" w:hAnsiTheme="majorHAnsi"/>
                <w:sz w:val="20"/>
                <w:szCs w:val="20"/>
              </w:rPr>
              <w:t>Evaluate Solutions</w:t>
            </w:r>
          </w:p>
        </w:tc>
        <w:tc>
          <w:tcPr>
            <w:tcW w:w="2035" w:type="dxa"/>
            <w:tcBorders>
              <w:top w:val="single" w:sz="12" w:space="0" w:color="auto"/>
              <w:left w:val="single" w:sz="4" w:space="0" w:color="auto"/>
              <w:bottom w:val="single" w:sz="4" w:space="0" w:color="auto"/>
              <w:right w:val="single" w:sz="4" w:space="0" w:color="auto"/>
            </w:tcBorders>
            <w:hideMark/>
          </w:tcPr>
          <w:p w14:paraId="246D7CF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Experience Prototyping</w:t>
            </w:r>
          </w:p>
        </w:tc>
        <w:tc>
          <w:tcPr>
            <w:tcW w:w="1367" w:type="dxa"/>
            <w:tcBorders>
              <w:top w:val="single" w:sz="12" w:space="0" w:color="auto"/>
              <w:left w:val="single" w:sz="4" w:space="0" w:color="auto"/>
              <w:bottom w:val="single" w:sz="4" w:space="0" w:color="auto"/>
              <w:right w:val="single" w:sz="4" w:space="0" w:color="auto"/>
            </w:tcBorders>
            <w:hideMark/>
          </w:tcPr>
          <w:p w14:paraId="175EEEF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12" w:space="0" w:color="auto"/>
              <w:left w:val="single" w:sz="4" w:space="0" w:color="auto"/>
              <w:bottom w:val="single" w:sz="4" w:space="0" w:color="auto"/>
              <w:right w:val="single" w:sz="4" w:space="0" w:color="auto"/>
            </w:tcBorders>
            <w:hideMark/>
          </w:tcPr>
          <w:p w14:paraId="3001284F"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 xml:space="preserve">An activity where users’ interactive </w:t>
            </w:r>
            <w:proofErr w:type="spellStart"/>
            <w:r>
              <w:rPr>
                <w:rFonts w:asciiTheme="majorHAnsi" w:hAnsiTheme="majorHAnsi"/>
                <w:sz w:val="20"/>
                <w:szCs w:val="20"/>
              </w:rPr>
              <w:t>behavior</w:t>
            </w:r>
            <w:proofErr w:type="spellEnd"/>
            <w:r>
              <w:rPr>
                <w:rFonts w:asciiTheme="majorHAnsi" w:hAnsiTheme="majorHAnsi"/>
                <w:sz w:val="20"/>
                <w:szCs w:val="20"/>
              </w:rPr>
              <w:t xml:space="preserve"> with the different design ideas and prototypes is studied</w:t>
            </w:r>
            <w:r>
              <w:rPr>
                <w:rFonts w:asciiTheme="majorHAnsi" w:hAnsiTheme="majorHAnsi"/>
                <w:color w:val="0432FF"/>
                <w:sz w:val="20"/>
                <w:szCs w:val="20"/>
                <w:vertAlign w:val="superscript"/>
              </w:rPr>
              <w:t>75</w:t>
            </w:r>
          </w:p>
        </w:tc>
      </w:tr>
      <w:tr w:rsidR="004A32A2" w14:paraId="1D9CBC63"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7CB8E532"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5C3DA39A"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User Testing (or Usability Testing)</w:t>
            </w:r>
          </w:p>
        </w:tc>
        <w:tc>
          <w:tcPr>
            <w:tcW w:w="1367" w:type="dxa"/>
            <w:tcBorders>
              <w:top w:val="single" w:sz="4" w:space="0" w:color="auto"/>
              <w:left w:val="single" w:sz="4" w:space="0" w:color="auto"/>
              <w:bottom w:val="single" w:sz="4" w:space="0" w:color="auto"/>
              <w:right w:val="single" w:sz="4" w:space="0" w:color="auto"/>
            </w:tcBorders>
            <w:hideMark/>
          </w:tcPr>
          <w:p w14:paraId="43BA2F4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58B47296"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 xml:space="preserve">An evaluation where users are asked to complete a set of tasks in or using the product </w:t>
            </w:r>
            <w:proofErr w:type="gramStart"/>
            <w:r>
              <w:rPr>
                <w:rFonts w:asciiTheme="majorHAnsi" w:hAnsiTheme="majorHAnsi"/>
                <w:sz w:val="20"/>
                <w:szCs w:val="20"/>
              </w:rPr>
              <w:t>in order to</w:t>
            </w:r>
            <w:proofErr w:type="gramEnd"/>
            <w:r>
              <w:rPr>
                <w:rFonts w:asciiTheme="majorHAnsi" w:hAnsiTheme="majorHAnsi"/>
                <w:sz w:val="20"/>
                <w:szCs w:val="20"/>
              </w:rPr>
              <w:t xml:space="preserve"> test for usability</w:t>
            </w:r>
            <w:r>
              <w:rPr>
                <w:rFonts w:asciiTheme="majorHAnsi" w:hAnsiTheme="majorHAnsi"/>
                <w:color w:val="0432FF"/>
                <w:sz w:val="20"/>
                <w:szCs w:val="20"/>
                <w:vertAlign w:val="superscript"/>
              </w:rPr>
              <w:t>32, 72</w:t>
            </w:r>
          </w:p>
        </w:tc>
      </w:tr>
      <w:tr w:rsidR="004A32A2" w14:paraId="7BA1CA20"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20F3D7EA"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45AEFD7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Field Validation (or Field Trial)</w:t>
            </w:r>
          </w:p>
        </w:tc>
        <w:tc>
          <w:tcPr>
            <w:tcW w:w="1367" w:type="dxa"/>
            <w:tcBorders>
              <w:top w:val="single" w:sz="4" w:space="0" w:color="auto"/>
              <w:left w:val="single" w:sz="4" w:space="0" w:color="auto"/>
              <w:bottom w:val="single" w:sz="4" w:space="0" w:color="auto"/>
              <w:right w:val="single" w:sz="4" w:space="0" w:color="auto"/>
            </w:tcBorders>
            <w:hideMark/>
          </w:tcPr>
          <w:p w14:paraId="653E35FD"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1EAA0580"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type of user testing where the product is tested in real environments and data is collected using incident reports, user feedback, performance data, and more</w:t>
            </w:r>
            <w:r>
              <w:rPr>
                <w:rFonts w:asciiTheme="majorHAnsi" w:hAnsiTheme="majorHAnsi"/>
                <w:color w:val="0432FF"/>
                <w:sz w:val="20"/>
                <w:szCs w:val="20"/>
                <w:vertAlign w:val="superscript"/>
              </w:rPr>
              <w:t>39, 93</w:t>
            </w:r>
          </w:p>
        </w:tc>
      </w:tr>
      <w:tr w:rsidR="004A32A2" w14:paraId="182550BF"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08D42A89"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4E70757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Thinking Aloud</w:t>
            </w:r>
          </w:p>
        </w:tc>
        <w:tc>
          <w:tcPr>
            <w:tcW w:w="1367" w:type="dxa"/>
            <w:tcBorders>
              <w:top w:val="single" w:sz="4" w:space="0" w:color="auto"/>
              <w:left w:val="single" w:sz="4" w:space="0" w:color="auto"/>
              <w:bottom w:val="single" w:sz="4" w:space="0" w:color="auto"/>
              <w:right w:val="single" w:sz="4" w:space="0" w:color="auto"/>
            </w:tcBorders>
            <w:hideMark/>
          </w:tcPr>
          <w:p w14:paraId="4B56B902"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590461B5"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type of user testing where users vocalize their thoughts, feelings, and perceptions as they complete a task with or within the product</w:t>
            </w:r>
            <w:r>
              <w:rPr>
                <w:rFonts w:asciiTheme="majorHAnsi" w:hAnsiTheme="majorHAnsi"/>
                <w:color w:val="0432FF"/>
                <w:sz w:val="20"/>
                <w:szCs w:val="20"/>
                <w:vertAlign w:val="superscript"/>
              </w:rPr>
              <w:t>38, 100</w:t>
            </w:r>
          </w:p>
        </w:tc>
      </w:tr>
      <w:tr w:rsidR="004A32A2" w14:paraId="72A05612"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6A9769C1"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4DC0FE0F"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Pilot Testing</w:t>
            </w:r>
          </w:p>
        </w:tc>
        <w:tc>
          <w:tcPr>
            <w:tcW w:w="1367" w:type="dxa"/>
            <w:tcBorders>
              <w:top w:val="single" w:sz="4" w:space="0" w:color="auto"/>
              <w:left w:val="single" w:sz="4" w:space="0" w:color="auto"/>
              <w:bottom w:val="single" w:sz="4" w:space="0" w:color="auto"/>
              <w:right w:val="single" w:sz="4" w:space="0" w:color="auto"/>
            </w:tcBorders>
            <w:hideMark/>
          </w:tcPr>
          <w:p w14:paraId="7FDF635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37F2A49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An evaluation with a small number of users to test the product functions before broader release or testing</w:t>
            </w:r>
            <w:r>
              <w:rPr>
                <w:rFonts w:asciiTheme="majorHAnsi" w:hAnsiTheme="majorHAnsi"/>
                <w:color w:val="0432FF"/>
                <w:sz w:val="20"/>
                <w:szCs w:val="20"/>
                <w:vertAlign w:val="superscript"/>
              </w:rPr>
              <w:t>93</w:t>
            </w:r>
          </w:p>
        </w:tc>
      </w:tr>
      <w:tr w:rsidR="004A32A2" w14:paraId="2091EEBB"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0C12D300"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49354E3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Follow-Up Evaluation</w:t>
            </w:r>
          </w:p>
        </w:tc>
        <w:tc>
          <w:tcPr>
            <w:tcW w:w="1367" w:type="dxa"/>
            <w:tcBorders>
              <w:top w:val="single" w:sz="4" w:space="0" w:color="auto"/>
              <w:left w:val="single" w:sz="4" w:space="0" w:color="auto"/>
              <w:bottom w:val="single" w:sz="4" w:space="0" w:color="auto"/>
              <w:right w:val="single" w:sz="4" w:space="0" w:color="auto"/>
            </w:tcBorders>
            <w:hideMark/>
          </w:tcPr>
          <w:p w14:paraId="1D05613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726ED297"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An evaluation conducted after a set period (for example, one year) to assess whether the product has met user needs and requirements</w:t>
            </w:r>
            <w:r>
              <w:rPr>
                <w:rFonts w:asciiTheme="majorHAnsi" w:hAnsiTheme="majorHAnsi"/>
                <w:color w:val="0432FF"/>
                <w:sz w:val="20"/>
                <w:szCs w:val="20"/>
                <w:vertAlign w:val="superscript"/>
              </w:rPr>
              <w:t>39</w:t>
            </w:r>
          </w:p>
        </w:tc>
      </w:tr>
      <w:tr w:rsidR="004A32A2" w14:paraId="1BD6644F"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198049C9"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699B734B"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Usability Metrics</w:t>
            </w:r>
          </w:p>
        </w:tc>
        <w:tc>
          <w:tcPr>
            <w:tcW w:w="1367" w:type="dxa"/>
            <w:tcBorders>
              <w:top w:val="single" w:sz="4" w:space="0" w:color="auto"/>
              <w:left w:val="single" w:sz="4" w:space="0" w:color="auto"/>
              <w:bottom w:val="single" w:sz="4" w:space="0" w:color="auto"/>
              <w:right w:val="single" w:sz="4" w:space="0" w:color="auto"/>
            </w:tcBorders>
            <w:hideMark/>
          </w:tcPr>
          <w:p w14:paraId="0BA2E4D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Artifact</w:t>
            </w:r>
          </w:p>
        </w:tc>
        <w:tc>
          <w:tcPr>
            <w:tcW w:w="4191" w:type="dxa"/>
            <w:tcBorders>
              <w:top w:val="single" w:sz="4" w:space="0" w:color="auto"/>
              <w:left w:val="single" w:sz="4" w:space="0" w:color="auto"/>
              <w:bottom w:val="single" w:sz="4" w:space="0" w:color="auto"/>
              <w:right w:val="single" w:sz="4" w:space="0" w:color="auto"/>
            </w:tcBorders>
            <w:hideMark/>
          </w:tcPr>
          <w:p w14:paraId="03317807"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 set of quantitative measurements on the effectiveness, efficiency, and satisfaction of the product</w:t>
            </w:r>
            <w:r>
              <w:rPr>
                <w:rFonts w:asciiTheme="majorHAnsi" w:hAnsiTheme="majorHAnsi"/>
                <w:color w:val="0432FF"/>
                <w:sz w:val="20"/>
                <w:szCs w:val="20"/>
                <w:vertAlign w:val="superscript"/>
              </w:rPr>
              <w:t>32</w:t>
            </w:r>
          </w:p>
        </w:tc>
      </w:tr>
      <w:tr w:rsidR="004A32A2" w14:paraId="79DC2889"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0AD2F449" w14:textId="77777777" w:rsidR="004A32A2" w:rsidRDefault="004A32A2">
            <w:pPr>
              <w:spacing w:after="0" w:line="240" w:lineRule="auto"/>
              <w:rPr>
                <w:rFonts w:asciiTheme="majorHAnsi" w:hAnsiTheme="majorHAnsi"/>
                <w:bCs/>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14:paraId="59F246DF"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Heuristic Evaluation</w:t>
            </w:r>
          </w:p>
        </w:tc>
        <w:tc>
          <w:tcPr>
            <w:tcW w:w="1367" w:type="dxa"/>
            <w:tcBorders>
              <w:top w:val="single" w:sz="4" w:space="0" w:color="auto"/>
              <w:left w:val="single" w:sz="4" w:space="0" w:color="auto"/>
              <w:bottom w:val="single" w:sz="4" w:space="0" w:color="auto"/>
              <w:right w:val="single" w:sz="4" w:space="0" w:color="auto"/>
            </w:tcBorders>
            <w:hideMark/>
          </w:tcPr>
          <w:p w14:paraId="3E95B54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Activity</w:t>
            </w:r>
          </w:p>
        </w:tc>
        <w:tc>
          <w:tcPr>
            <w:tcW w:w="4191" w:type="dxa"/>
            <w:tcBorders>
              <w:top w:val="single" w:sz="4" w:space="0" w:color="auto"/>
              <w:left w:val="single" w:sz="4" w:space="0" w:color="auto"/>
              <w:bottom w:val="single" w:sz="4" w:space="0" w:color="auto"/>
              <w:right w:val="single" w:sz="4" w:space="0" w:color="auto"/>
            </w:tcBorders>
            <w:hideMark/>
          </w:tcPr>
          <w:p w14:paraId="105722B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 xml:space="preserve">An evaluation usually carried out by a formal group of expert evaluators where the product is </w:t>
            </w:r>
            <w:r>
              <w:rPr>
                <w:rFonts w:asciiTheme="majorHAnsi" w:hAnsiTheme="majorHAnsi"/>
                <w:sz w:val="20"/>
                <w:szCs w:val="20"/>
              </w:rPr>
              <w:lastRenderedPageBreak/>
              <w:t>tested according to certain rules or design principles</w:t>
            </w:r>
            <w:r>
              <w:rPr>
                <w:rFonts w:asciiTheme="majorHAnsi" w:hAnsiTheme="majorHAnsi"/>
                <w:color w:val="0432FF"/>
                <w:sz w:val="20"/>
                <w:szCs w:val="20"/>
                <w:vertAlign w:val="superscript"/>
              </w:rPr>
              <w:t>32, 38, 72, 99</w:t>
            </w:r>
          </w:p>
        </w:tc>
      </w:tr>
    </w:tbl>
    <w:p w14:paraId="0E0C105A" w14:textId="77777777" w:rsidR="004A32A2" w:rsidRDefault="004A32A2" w:rsidP="004A32A2">
      <w:pPr>
        <w:spacing w:after="0" w:line="276" w:lineRule="auto"/>
        <w:ind w:firstLine="0"/>
        <w:rPr>
          <w:rFonts w:asciiTheme="majorHAnsi" w:hAnsiTheme="majorHAnsi"/>
        </w:rPr>
      </w:pPr>
      <w:r>
        <w:rPr>
          <w:rFonts w:asciiTheme="majorHAnsi" w:hAnsiTheme="majorHAnsi"/>
          <w:i/>
          <w:iCs/>
        </w:rPr>
        <w:lastRenderedPageBreak/>
        <w:t>Notes:</w:t>
      </w:r>
      <w:r>
        <w:rPr>
          <w:rFonts w:asciiTheme="majorHAnsi" w:hAnsiTheme="majorHAnsi"/>
        </w:rPr>
        <w:t xml:space="preserve"> Mechanisms were extracted from the final set of user-</w:t>
      </w:r>
      <w:proofErr w:type="spellStart"/>
      <w:r>
        <w:rPr>
          <w:rFonts w:asciiTheme="majorHAnsi" w:hAnsiTheme="majorHAnsi"/>
        </w:rPr>
        <w:t>centered</w:t>
      </w:r>
      <w:proofErr w:type="spellEnd"/>
      <w:r>
        <w:rPr>
          <w:rFonts w:asciiTheme="majorHAnsi" w:hAnsiTheme="majorHAnsi"/>
        </w:rPr>
        <w:t xml:space="preserve"> design literature and mapped to the user-</w:t>
      </w:r>
      <w:proofErr w:type="spellStart"/>
      <w:r>
        <w:rPr>
          <w:rFonts w:asciiTheme="majorHAnsi" w:hAnsiTheme="majorHAnsi"/>
        </w:rPr>
        <w:t>centered</w:t>
      </w:r>
      <w:proofErr w:type="spellEnd"/>
      <w:r>
        <w:rPr>
          <w:rFonts w:asciiTheme="majorHAnsi" w:hAnsiTheme="majorHAnsi"/>
        </w:rPr>
        <w:t xml:space="preserve"> design stages used in this study (for further details, see Methods). “Type of Mechanism” was coded as activity, artifact or actor using the definitions listed in the Methods. “Across Stages” indicates mechanisms described as stage-agnostic or spanning multiple stages.</w:t>
      </w:r>
    </w:p>
    <w:p w14:paraId="7FDBF47B" w14:textId="77777777" w:rsidR="004A32A2" w:rsidRDefault="004A32A2" w:rsidP="004A32A2">
      <w:pPr>
        <w:spacing w:after="0" w:line="276" w:lineRule="auto"/>
        <w:ind w:firstLine="0"/>
        <w:rPr>
          <w:rFonts w:asciiTheme="majorHAnsi" w:hAnsiTheme="majorHAnsi"/>
        </w:rPr>
      </w:pPr>
    </w:p>
    <w:p w14:paraId="343EFDD5" w14:textId="77777777" w:rsidR="004A32A2" w:rsidRDefault="004A32A2" w:rsidP="004A32A2">
      <w:pPr>
        <w:spacing w:after="0" w:line="276" w:lineRule="auto"/>
        <w:ind w:firstLine="0"/>
        <w:rPr>
          <w:rFonts w:asciiTheme="majorHAnsi" w:hAnsiTheme="majorHAnsi"/>
          <w:b/>
          <w:bCs/>
          <w:lang w:val="en-US"/>
        </w:rPr>
      </w:pPr>
      <w:r>
        <w:rPr>
          <w:rFonts w:asciiTheme="majorHAnsi" w:hAnsiTheme="majorHAnsi"/>
          <w:b/>
          <w:bCs/>
          <w:lang w:val="en-US"/>
        </w:rPr>
        <w:t>Extended Data Table 4 | User-centered design best practices</w:t>
      </w:r>
    </w:p>
    <w:tbl>
      <w:tblPr>
        <w:tblStyle w:val="TableGrid"/>
        <w:tblW w:w="0" w:type="auto"/>
        <w:tblInd w:w="0" w:type="dxa"/>
        <w:tblLook w:val="04A0" w:firstRow="1" w:lastRow="0" w:firstColumn="1" w:lastColumn="0" w:noHBand="0" w:noVBand="1"/>
      </w:tblPr>
      <w:tblGrid>
        <w:gridCol w:w="1423"/>
        <w:gridCol w:w="2522"/>
        <w:gridCol w:w="5071"/>
      </w:tblGrid>
      <w:tr w:rsidR="004A32A2" w14:paraId="7E5E087A" w14:textId="77777777">
        <w:tc>
          <w:tcPr>
            <w:tcW w:w="1423" w:type="dxa"/>
            <w:tcBorders>
              <w:top w:val="single" w:sz="4" w:space="0" w:color="auto"/>
              <w:left w:val="single" w:sz="4" w:space="0" w:color="auto"/>
              <w:bottom w:val="single" w:sz="18" w:space="0" w:color="auto"/>
              <w:right w:val="single" w:sz="4" w:space="0" w:color="auto"/>
            </w:tcBorders>
            <w:hideMark/>
          </w:tcPr>
          <w:p w14:paraId="6F9CA4A0"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Stage</w:t>
            </w:r>
          </w:p>
        </w:tc>
        <w:tc>
          <w:tcPr>
            <w:tcW w:w="2522" w:type="dxa"/>
            <w:tcBorders>
              <w:top w:val="single" w:sz="4" w:space="0" w:color="auto"/>
              <w:left w:val="single" w:sz="4" w:space="0" w:color="auto"/>
              <w:bottom w:val="single" w:sz="18" w:space="0" w:color="auto"/>
              <w:right w:val="single" w:sz="4" w:space="0" w:color="auto"/>
            </w:tcBorders>
            <w:hideMark/>
          </w:tcPr>
          <w:p w14:paraId="67647C91"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Best Practice</w:t>
            </w:r>
          </w:p>
        </w:tc>
        <w:tc>
          <w:tcPr>
            <w:tcW w:w="5071" w:type="dxa"/>
            <w:tcBorders>
              <w:top w:val="single" w:sz="4" w:space="0" w:color="auto"/>
              <w:left w:val="single" w:sz="4" w:space="0" w:color="auto"/>
              <w:bottom w:val="single" w:sz="18" w:space="0" w:color="auto"/>
              <w:right w:val="single" w:sz="4" w:space="0" w:color="auto"/>
            </w:tcBorders>
            <w:hideMark/>
          </w:tcPr>
          <w:p w14:paraId="150BBCFE" w14:textId="77777777" w:rsidR="004A32A2" w:rsidRDefault="004A32A2">
            <w:pPr>
              <w:spacing w:after="0" w:line="276" w:lineRule="auto"/>
              <w:ind w:firstLine="0"/>
              <w:rPr>
                <w:rFonts w:asciiTheme="majorHAnsi" w:hAnsiTheme="majorHAnsi"/>
                <w:b/>
                <w:bCs/>
                <w:sz w:val="20"/>
                <w:szCs w:val="20"/>
              </w:rPr>
            </w:pPr>
            <w:r>
              <w:rPr>
                <w:rFonts w:asciiTheme="majorHAnsi" w:hAnsiTheme="majorHAnsi"/>
                <w:b/>
                <w:bCs/>
                <w:sz w:val="20"/>
                <w:szCs w:val="20"/>
              </w:rPr>
              <w:t>Description</w:t>
            </w:r>
          </w:p>
        </w:tc>
      </w:tr>
      <w:tr w:rsidR="004A32A2" w14:paraId="66CD196A" w14:textId="77777777">
        <w:tc>
          <w:tcPr>
            <w:tcW w:w="1423" w:type="dxa"/>
            <w:vMerge w:val="restart"/>
            <w:tcBorders>
              <w:top w:val="single" w:sz="12" w:space="0" w:color="auto"/>
              <w:left w:val="single" w:sz="4" w:space="0" w:color="auto"/>
              <w:bottom w:val="single" w:sz="12" w:space="0" w:color="auto"/>
              <w:right w:val="single" w:sz="4" w:space="0" w:color="auto"/>
            </w:tcBorders>
            <w:hideMark/>
          </w:tcPr>
          <w:p w14:paraId="787836F7" w14:textId="77777777" w:rsidR="004A32A2" w:rsidRDefault="004A32A2">
            <w:pPr>
              <w:spacing w:after="0" w:line="276" w:lineRule="auto"/>
              <w:ind w:firstLine="0"/>
              <w:rPr>
                <w:rFonts w:asciiTheme="majorHAnsi" w:hAnsiTheme="majorHAnsi"/>
                <w:bCs/>
                <w:sz w:val="20"/>
                <w:szCs w:val="20"/>
              </w:rPr>
            </w:pPr>
            <w:r>
              <w:rPr>
                <w:rFonts w:asciiTheme="majorHAnsi" w:hAnsiTheme="majorHAnsi"/>
                <w:sz w:val="20"/>
                <w:szCs w:val="20"/>
              </w:rPr>
              <w:t>Plan Process</w:t>
            </w:r>
          </w:p>
        </w:tc>
        <w:tc>
          <w:tcPr>
            <w:tcW w:w="2522" w:type="dxa"/>
            <w:tcBorders>
              <w:top w:val="single" w:sz="12" w:space="0" w:color="auto"/>
              <w:left w:val="single" w:sz="4" w:space="0" w:color="auto"/>
              <w:bottom w:val="single" w:sz="4" w:space="0" w:color="auto"/>
              <w:right w:val="single" w:sz="4" w:space="0" w:color="auto"/>
            </w:tcBorders>
            <w:hideMark/>
          </w:tcPr>
          <w:p w14:paraId="36E18B4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Define problem</w:t>
            </w:r>
          </w:p>
        </w:tc>
        <w:tc>
          <w:tcPr>
            <w:tcW w:w="5071" w:type="dxa"/>
            <w:tcBorders>
              <w:top w:val="single" w:sz="12" w:space="0" w:color="auto"/>
              <w:left w:val="single" w:sz="4" w:space="0" w:color="auto"/>
              <w:bottom w:val="single" w:sz="4" w:space="0" w:color="auto"/>
              <w:right w:val="single" w:sz="4" w:space="0" w:color="auto"/>
            </w:tcBorders>
            <w:hideMark/>
          </w:tcPr>
          <w:p w14:paraId="05AA06A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Define the problem the product hopes to solve and set the product scope in terms of what functionalities the developers think it needs to have</w:t>
            </w:r>
            <w:r>
              <w:rPr>
                <w:rFonts w:asciiTheme="majorHAnsi" w:hAnsiTheme="majorHAnsi"/>
                <w:color w:val="0432FF"/>
                <w:sz w:val="20"/>
                <w:szCs w:val="20"/>
                <w:vertAlign w:val="superscript"/>
              </w:rPr>
              <w:t>98</w:t>
            </w:r>
          </w:p>
        </w:tc>
      </w:tr>
      <w:tr w:rsidR="004A32A2" w14:paraId="06849CDA"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6554E9EC"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059EEA9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Define goals and assumptions</w:t>
            </w:r>
          </w:p>
        </w:tc>
        <w:tc>
          <w:tcPr>
            <w:tcW w:w="5071" w:type="dxa"/>
            <w:tcBorders>
              <w:top w:val="single" w:sz="4" w:space="0" w:color="auto"/>
              <w:left w:val="single" w:sz="4" w:space="0" w:color="auto"/>
              <w:bottom w:val="single" w:sz="4" w:space="0" w:color="auto"/>
              <w:right w:val="single" w:sz="4" w:space="0" w:color="auto"/>
            </w:tcBorders>
            <w:hideMark/>
          </w:tcPr>
          <w:p w14:paraId="3C9A4CE4"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Define developers’ goals, constraints, and assumptions to understand what elements to focus on during the design process</w:t>
            </w:r>
            <w:r>
              <w:rPr>
                <w:rFonts w:asciiTheme="majorHAnsi" w:hAnsiTheme="majorHAnsi"/>
                <w:color w:val="0432FF"/>
                <w:sz w:val="20"/>
                <w:szCs w:val="20"/>
                <w:vertAlign w:val="superscript"/>
              </w:rPr>
              <w:t>45</w:t>
            </w:r>
          </w:p>
        </w:tc>
      </w:tr>
      <w:tr w:rsidR="004A32A2" w14:paraId="70155F7B"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2881F864"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1D22D9B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Define stakeholders</w:t>
            </w:r>
          </w:p>
        </w:tc>
        <w:tc>
          <w:tcPr>
            <w:tcW w:w="5071" w:type="dxa"/>
            <w:tcBorders>
              <w:top w:val="single" w:sz="4" w:space="0" w:color="auto"/>
              <w:left w:val="single" w:sz="4" w:space="0" w:color="auto"/>
              <w:bottom w:val="single" w:sz="4" w:space="0" w:color="auto"/>
              <w:right w:val="single" w:sz="4" w:space="0" w:color="auto"/>
            </w:tcBorders>
            <w:hideMark/>
          </w:tcPr>
          <w:p w14:paraId="5D06FC99"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Define and identify who the stakeholders or sponsors of the product are and set up communications with them</w:t>
            </w:r>
            <w:r>
              <w:rPr>
                <w:rFonts w:asciiTheme="majorHAnsi" w:hAnsiTheme="majorHAnsi"/>
                <w:color w:val="0432FF"/>
                <w:sz w:val="20"/>
                <w:szCs w:val="20"/>
                <w:vertAlign w:val="superscript"/>
              </w:rPr>
              <w:t>45, 52</w:t>
            </w:r>
          </w:p>
        </w:tc>
      </w:tr>
      <w:tr w:rsidR="004A32A2" w14:paraId="133E9A0B"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EFCF315"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4906612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Build shared understanding</w:t>
            </w:r>
          </w:p>
        </w:tc>
        <w:tc>
          <w:tcPr>
            <w:tcW w:w="5071" w:type="dxa"/>
            <w:tcBorders>
              <w:top w:val="single" w:sz="4" w:space="0" w:color="auto"/>
              <w:left w:val="single" w:sz="4" w:space="0" w:color="auto"/>
              <w:bottom w:val="single" w:sz="4" w:space="0" w:color="auto"/>
              <w:right w:val="single" w:sz="4" w:space="0" w:color="auto"/>
            </w:tcBorders>
            <w:hideMark/>
          </w:tcPr>
          <w:p w14:paraId="14C98D4E"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Build shared understanding between science, design, and other developers regarding the product</w:t>
            </w:r>
            <w:r>
              <w:rPr>
                <w:rFonts w:asciiTheme="majorHAnsi" w:hAnsiTheme="majorHAnsi"/>
                <w:color w:val="0432FF"/>
                <w:sz w:val="20"/>
                <w:szCs w:val="20"/>
                <w:vertAlign w:val="superscript"/>
              </w:rPr>
              <w:t>10, 52</w:t>
            </w:r>
          </w:p>
        </w:tc>
      </w:tr>
      <w:tr w:rsidR="004A32A2" w14:paraId="144AE3DC"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63A84E04"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4AC5EE3B"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Set minimum number of users</w:t>
            </w:r>
          </w:p>
        </w:tc>
        <w:tc>
          <w:tcPr>
            <w:tcW w:w="5071" w:type="dxa"/>
            <w:tcBorders>
              <w:top w:val="single" w:sz="4" w:space="0" w:color="auto"/>
              <w:left w:val="single" w:sz="4" w:space="0" w:color="auto"/>
              <w:bottom w:val="single" w:sz="4" w:space="0" w:color="auto"/>
              <w:right w:val="single" w:sz="4" w:space="0" w:color="auto"/>
            </w:tcBorders>
            <w:hideMark/>
          </w:tcPr>
          <w:p w14:paraId="2651342A"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Set threshold of how many minimum users to engage and test the product with, usually at least 5-10 users</w:t>
            </w:r>
            <w:r>
              <w:rPr>
                <w:rFonts w:asciiTheme="majorHAnsi" w:hAnsiTheme="majorHAnsi"/>
                <w:color w:val="0432FF"/>
                <w:sz w:val="20"/>
                <w:szCs w:val="20"/>
                <w:vertAlign w:val="superscript"/>
              </w:rPr>
              <w:t>73</w:t>
            </w:r>
          </w:p>
        </w:tc>
      </w:tr>
      <w:tr w:rsidR="004A32A2" w14:paraId="0B9DACB8"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18143608"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5A6992D8"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Create interdisciplinary teams</w:t>
            </w:r>
          </w:p>
        </w:tc>
        <w:tc>
          <w:tcPr>
            <w:tcW w:w="5071" w:type="dxa"/>
            <w:tcBorders>
              <w:top w:val="single" w:sz="4" w:space="0" w:color="auto"/>
              <w:left w:val="single" w:sz="4" w:space="0" w:color="auto"/>
              <w:bottom w:val="single" w:sz="4" w:space="0" w:color="auto"/>
              <w:right w:val="single" w:sz="4" w:space="0" w:color="auto"/>
            </w:tcBorders>
            <w:hideMark/>
          </w:tcPr>
          <w:p w14:paraId="1F333C5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Create interdisciplinary teams that can bring unique perspectives and different specialties</w:t>
            </w:r>
            <w:r>
              <w:rPr>
                <w:rFonts w:asciiTheme="majorHAnsi" w:hAnsiTheme="majorHAnsi"/>
                <w:color w:val="0432FF"/>
                <w:sz w:val="20"/>
                <w:szCs w:val="20"/>
                <w:vertAlign w:val="superscript"/>
              </w:rPr>
              <w:t>8</w:t>
            </w:r>
          </w:p>
        </w:tc>
      </w:tr>
      <w:tr w:rsidR="004A32A2" w14:paraId="653F73A0"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3AF7D8A6"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12" w:space="0" w:color="auto"/>
              <w:right w:val="single" w:sz="4" w:space="0" w:color="auto"/>
            </w:tcBorders>
            <w:hideMark/>
          </w:tcPr>
          <w:p w14:paraId="513F2EEC"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Identify target user</w:t>
            </w:r>
          </w:p>
        </w:tc>
        <w:tc>
          <w:tcPr>
            <w:tcW w:w="5071" w:type="dxa"/>
            <w:tcBorders>
              <w:top w:val="single" w:sz="4" w:space="0" w:color="auto"/>
              <w:left w:val="single" w:sz="4" w:space="0" w:color="auto"/>
              <w:bottom w:val="single" w:sz="12" w:space="0" w:color="auto"/>
              <w:right w:val="single" w:sz="4" w:space="0" w:color="auto"/>
            </w:tcBorders>
            <w:hideMark/>
          </w:tcPr>
          <w:p w14:paraId="7FF7ECA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Define and identify target user or user group for the product</w:t>
            </w:r>
            <w:r>
              <w:rPr>
                <w:rFonts w:asciiTheme="majorHAnsi" w:hAnsiTheme="majorHAnsi"/>
                <w:color w:val="0432FF"/>
                <w:sz w:val="20"/>
                <w:szCs w:val="20"/>
                <w:vertAlign w:val="superscript"/>
              </w:rPr>
              <w:t>8</w:t>
            </w:r>
          </w:p>
        </w:tc>
      </w:tr>
      <w:tr w:rsidR="004A32A2" w14:paraId="5712579F" w14:textId="77777777">
        <w:tc>
          <w:tcPr>
            <w:tcW w:w="1423" w:type="dxa"/>
            <w:vMerge w:val="restart"/>
            <w:tcBorders>
              <w:top w:val="single" w:sz="12" w:space="0" w:color="auto"/>
              <w:left w:val="single" w:sz="4" w:space="0" w:color="auto"/>
              <w:bottom w:val="single" w:sz="12" w:space="0" w:color="auto"/>
              <w:right w:val="single" w:sz="4" w:space="0" w:color="auto"/>
            </w:tcBorders>
            <w:hideMark/>
          </w:tcPr>
          <w:p w14:paraId="4E43A5C1" w14:textId="77777777" w:rsidR="004A32A2" w:rsidRDefault="004A32A2">
            <w:pPr>
              <w:spacing w:after="0" w:line="276" w:lineRule="auto"/>
              <w:ind w:firstLine="0"/>
              <w:rPr>
                <w:rFonts w:asciiTheme="majorHAnsi" w:hAnsiTheme="majorHAnsi"/>
                <w:bCs/>
                <w:sz w:val="20"/>
                <w:szCs w:val="20"/>
              </w:rPr>
            </w:pPr>
            <w:r>
              <w:rPr>
                <w:rFonts w:asciiTheme="majorHAnsi" w:hAnsiTheme="majorHAnsi"/>
                <w:sz w:val="20"/>
                <w:szCs w:val="20"/>
              </w:rPr>
              <w:t>Understand Context</w:t>
            </w:r>
          </w:p>
        </w:tc>
        <w:tc>
          <w:tcPr>
            <w:tcW w:w="2522" w:type="dxa"/>
            <w:tcBorders>
              <w:top w:val="single" w:sz="12" w:space="0" w:color="auto"/>
              <w:left w:val="single" w:sz="4" w:space="0" w:color="auto"/>
              <w:bottom w:val="single" w:sz="4" w:space="0" w:color="auto"/>
              <w:right w:val="single" w:sz="4" w:space="0" w:color="auto"/>
            </w:tcBorders>
            <w:hideMark/>
          </w:tcPr>
          <w:p w14:paraId="143AB4C8"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Conduct background research</w:t>
            </w:r>
          </w:p>
        </w:tc>
        <w:tc>
          <w:tcPr>
            <w:tcW w:w="5071" w:type="dxa"/>
            <w:tcBorders>
              <w:top w:val="single" w:sz="12" w:space="0" w:color="auto"/>
              <w:left w:val="single" w:sz="4" w:space="0" w:color="auto"/>
              <w:bottom w:val="single" w:sz="4" w:space="0" w:color="auto"/>
              <w:right w:val="single" w:sz="4" w:space="0" w:color="auto"/>
            </w:tcBorders>
            <w:hideMark/>
          </w:tcPr>
          <w:p w14:paraId="2B36241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Conduct background research before speaking or interviewing users so that developers are aware of the subject matter and prepared</w:t>
            </w:r>
            <w:r>
              <w:rPr>
                <w:rFonts w:asciiTheme="majorHAnsi" w:hAnsiTheme="majorHAnsi"/>
                <w:color w:val="0432FF"/>
                <w:sz w:val="20"/>
                <w:szCs w:val="20"/>
                <w:vertAlign w:val="superscript"/>
              </w:rPr>
              <w:t>45, 97</w:t>
            </w:r>
          </w:p>
        </w:tc>
      </w:tr>
      <w:tr w:rsidR="004A32A2" w14:paraId="65A52155"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5B8587C"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3C27723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Identify questions for data collection</w:t>
            </w:r>
          </w:p>
        </w:tc>
        <w:tc>
          <w:tcPr>
            <w:tcW w:w="5071" w:type="dxa"/>
            <w:tcBorders>
              <w:top w:val="single" w:sz="4" w:space="0" w:color="auto"/>
              <w:left w:val="single" w:sz="4" w:space="0" w:color="auto"/>
              <w:bottom w:val="single" w:sz="4" w:space="0" w:color="auto"/>
              <w:right w:val="single" w:sz="4" w:space="0" w:color="auto"/>
            </w:tcBorders>
            <w:hideMark/>
          </w:tcPr>
          <w:p w14:paraId="5054F0C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Identify what questions are needed to guide the data collection and gathering process</w:t>
            </w:r>
            <w:r>
              <w:rPr>
                <w:rFonts w:asciiTheme="majorHAnsi" w:hAnsiTheme="majorHAnsi"/>
                <w:color w:val="0432FF"/>
                <w:sz w:val="20"/>
                <w:szCs w:val="20"/>
                <w:vertAlign w:val="superscript"/>
              </w:rPr>
              <w:t>97</w:t>
            </w:r>
          </w:p>
        </w:tc>
      </w:tr>
      <w:tr w:rsidR="004A32A2" w14:paraId="113D618D"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AFCB870"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1C3C4C2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Understand problem context</w:t>
            </w:r>
          </w:p>
        </w:tc>
        <w:tc>
          <w:tcPr>
            <w:tcW w:w="5071" w:type="dxa"/>
            <w:tcBorders>
              <w:top w:val="single" w:sz="4" w:space="0" w:color="auto"/>
              <w:left w:val="single" w:sz="4" w:space="0" w:color="auto"/>
              <w:bottom w:val="single" w:sz="4" w:space="0" w:color="auto"/>
              <w:right w:val="single" w:sz="4" w:space="0" w:color="auto"/>
            </w:tcBorders>
            <w:hideMark/>
          </w:tcPr>
          <w:p w14:paraId="50420EC4"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Understand the entire context of the problem to get a holistic and multi-perspective view before developing the product</w:t>
            </w:r>
            <w:r>
              <w:rPr>
                <w:rFonts w:asciiTheme="majorHAnsi" w:hAnsiTheme="majorHAnsi"/>
                <w:color w:val="0432FF"/>
                <w:sz w:val="20"/>
                <w:szCs w:val="20"/>
                <w:vertAlign w:val="superscript"/>
              </w:rPr>
              <w:t>101</w:t>
            </w:r>
          </w:p>
        </w:tc>
      </w:tr>
      <w:tr w:rsidR="004A32A2" w14:paraId="323F0FD2"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AD42AB9"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3877E68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Assess competitor products</w:t>
            </w:r>
          </w:p>
        </w:tc>
        <w:tc>
          <w:tcPr>
            <w:tcW w:w="5071" w:type="dxa"/>
            <w:tcBorders>
              <w:top w:val="single" w:sz="4" w:space="0" w:color="auto"/>
              <w:left w:val="single" w:sz="4" w:space="0" w:color="auto"/>
              <w:bottom w:val="single" w:sz="4" w:space="0" w:color="auto"/>
              <w:right w:val="single" w:sz="4" w:space="0" w:color="auto"/>
            </w:tcBorders>
            <w:hideMark/>
          </w:tcPr>
          <w:p w14:paraId="6AD2C0E5"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Assess the landscape of similar or related products that focus on the same users, topics, or goals</w:t>
            </w:r>
            <w:r>
              <w:rPr>
                <w:rFonts w:asciiTheme="majorHAnsi" w:hAnsiTheme="majorHAnsi"/>
                <w:color w:val="0432FF"/>
                <w:sz w:val="20"/>
                <w:szCs w:val="20"/>
                <w:vertAlign w:val="superscript"/>
              </w:rPr>
              <w:t>45</w:t>
            </w:r>
          </w:p>
        </w:tc>
      </w:tr>
      <w:tr w:rsidR="004A32A2" w14:paraId="58581ACF"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384EC43B"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40CAD63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Account for use and location</w:t>
            </w:r>
          </w:p>
        </w:tc>
        <w:tc>
          <w:tcPr>
            <w:tcW w:w="5071" w:type="dxa"/>
            <w:tcBorders>
              <w:top w:val="single" w:sz="4" w:space="0" w:color="auto"/>
              <w:left w:val="single" w:sz="4" w:space="0" w:color="auto"/>
              <w:bottom w:val="single" w:sz="4" w:space="0" w:color="auto"/>
              <w:right w:val="single" w:sz="4" w:space="0" w:color="auto"/>
            </w:tcBorders>
            <w:hideMark/>
          </w:tcPr>
          <w:p w14:paraId="4088BA19"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Account for use and location when context gathering on users</w:t>
            </w:r>
            <w:r>
              <w:rPr>
                <w:rFonts w:asciiTheme="majorHAnsi" w:hAnsiTheme="majorHAnsi"/>
                <w:color w:val="0432FF"/>
                <w:sz w:val="20"/>
                <w:szCs w:val="20"/>
                <w:vertAlign w:val="superscript"/>
              </w:rPr>
              <w:t>102</w:t>
            </w:r>
          </w:p>
        </w:tc>
      </w:tr>
      <w:tr w:rsidR="004A32A2" w14:paraId="1BFF6D0A"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47096D36"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4FAF8DAD"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Ensure consistency with users</w:t>
            </w:r>
          </w:p>
        </w:tc>
        <w:tc>
          <w:tcPr>
            <w:tcW w:w="5071" w:type="dxa"/>
            <w:tcBorders>
              <w:top w:val="single" w:sz="4" w:space="0" w:color="auto"/>
              <w:left w:val="single" w:sz="4" w:space="0" w:color="auto"/>
              <w:bottom w:val="single" w:sz="4" w:space="0" w:color="auto"/>
              <w:right w:val="single" w:sz="4" w:space="0" w:color="auto"/>
            </w:tcBorders>
            <w:hideMark/>
          </w:tcPr>
          <w:p w14:paraId="1CDB169E"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Ensure features, labels, and terminology are consistent with users’ understanding and mental model</w:t>
            </w:r>
            <w:r>
              <w:rPr>
                <w:rFonts w:asciiTheme="majorHAnsi" w:hAnsiTheme="majorHAnsi"/>
                <w:color w:val="0432FF"/>
                <w:sz w:val="20"/>
                <w:szCs w:val="20"/>
                <w:vertAlign w:val="superscript"/>
              </w:rPr>
              <w:t>72</w:t>
            </w:r>
          </w:p>
        </w:tc>
      </w:tr>
      <w:tr w:rsidR="004A32A2" w14:paraId="6BBBE463"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3106D09B"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6D7D981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Account for diversity and accessibility</w:t>
            </w:r>
          </w:p>
        </w:tc>
        <w:tc>
          <w:tcPr>
            <w:tcW w:w="5071" w:type="dxa"/>
            <w:tcBorders>
              <w:top w:val="single" w:sz="4" w:space="0" w:color="auto"/>
              <w:left w:val="single" w:sz="4" w:space="0" w:color="auto"/>
              <w:bottom w:val="single" w:sz="4" w:space="0" w:color="auto"/>
              <w:right w:val="single" w:sz="4" w:space="0" w:color="auto"/>
            </w:tcBorders>
            <w:hideMark/>
          </w:tcPr>
          <w:p w14:paraId="06404C4D"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Account for diversity and accessibility when employing data gathering mechanisms by ensuring mechanisms and events are designed for all ages, genders, relevant languages, and capabilities</w:t>
            </w:r>
            <w:r>
              <w:rPr>
                <w:rFonts w:asciiTheme="majorHAnsi" w:hAnsiTheme="majorHAnsi"/>
                <w:color w:val="0432FF"/>
                <w:sz w:val="20"/>
                <w:szCs w:val="20"/>
                <w:vertAlign w:val="superscript"/>
              </w:rPr>
              <w:t>52</w:t>
            </w:r>
          </w:p>
        </w:tc>
      </w:tr>
      <w:tr w:rsidR="004A32A2" w14:paraId="20C8EE9C"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22358F92"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7BD1933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Understand detail required</w:t>
            </w:r>
          </w:p>
        </w:tc>
        <w:tc>
          <w:tcPr>
            <w:tcW w:w="5071" w:type="dxa"/>
            <w:tcBorders>
              <w:top w:val="single" w:sz="4" w:space="0" w:color="auto"/>
              <w:left w:val="single" w:sz="4" w:space="0" w:color="auto"/>
              <w:bottom w:val="single" w:sz="4" w:space="0" w:color="auto"/>
              <w:right w:val="single" w:sz="4" w:space="0" w:color="auto"/>
            </w:tcBorders>
            <w:hideMark/>
          </w:tcPr>
          <w:p w14:paraId="32091074"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Understand the level of detail required to address users’ information needs</w:t>
            </w:r>
            <w:r>
              <w:rPr>
                <w:rFonts w:asciiTheme="majorHAnsi" w:hAnsiTheme="majorHAnsi"/>
                <w:color w:val="0432FF"/>
                <w:sz w:val="20"/>
                <w:szCs w:val="20"/>
                <w:vertAlign w:val="superscript"/>
              </w:rPr>
              <w:t>72</w:t>
            </w:r>
          </w:p>
        </w:tc>
      </w:tr>
      <w:tr w:rsidR="004A32A2" w14:paraId="26DF4AF9"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776A08D"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7CFA1ECE"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Utilize different mechanisms</w:t>
            </w:r>
          </w:p>
        </w:tc>
        <w:tc>
          <w:tcPr>
            <w:tcW w:w="5071" w:type="dxa"/>
            <w:tcBorders>
              <w:top w:val="single" w:sz="4" w:space="0" w:color="auto"/>
              <w:left w:val="single" w:sz="4" w:space="0" w:color="auto"/>
              <w:bottom w:val="single" w:sz="4" w:space="0" w:color="auto"/>
              <w:right w:val="single" w:sz="4" w:space="0" w:color="auto"/>
            </w:tcBorders>
            <w:hideMark/>
          </w:tcPr>
          <w:p w14:paraId="227CC005"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Utilize a variety of data gathering mechanisms to increase reliability and validity of findings on user needs and product requirements</w:t>
            </w:r>
            <w:r>
              <w:rPr>
                <w:rFonts w:asciiTheme="majorHAnsi" w:hAnsiTheme="majorHAnsi"/>
                <w:color w:val="0432FF"/>
                <w:sz w:val="20"/>
                <w:szCs w:val="20"/>
                <w:vertAlign w:val="superscript"/>
              </w:rPr>
              <w:t>93</w:t>
            </w:r>
          </w:p>
        </w:tc>
      </w:tr>
      <w:tr w:rsidR="004A32A2" w14:paraId="6F9A3487"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F4BED0D"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7ED1E735"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Ensure representative sample of users</w:t>
            </w:r>
          </w:p>
        </w:tc>
        <w:tc>
          <w:tcPr>
            <w:tcW w:w="5071" w:type="dxa"/>
            <w:tcBorders>
              <w:top w:val="single" w:sz="4" w:space="0" w:color="auto"/>
              <w:left w:val="single" w:sz="4" w:space="0" w:color="auto"/>
              <w:bottom w:val="single" w:sz="4" w:space="0" w:color="auto"/>
              <w:right w:val="single" w:sz="4" w:space="0" w:color="auto"/>
            </w:tcBorders>
            <w:hideMark/>
          </w:tcPr>
          <w:p w14:paraId="559FD423"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Ensure users selected for study are comprised of a representative sample of all possible users who could engage with the product</w:t>
            </w:r>
            <w:r>
              <w:rPr>
                <w:rFonts w:asciiTheme="majorHAnsi" w:hAnsiTheme="majorHAnsi"/>
                <w:color w:val="0432FF"/>
                <w:sz w:val="20"/>
                <w:szCs w:val="20"/>
                <w:vertAlign w:val="superscript"/>
              </w:rPr>
              <w:t>38</w:t>
            </w:r>
          </w:p>
        </w:tc>
      </w:tr>
      <w:tr w:rsidR="004A32A2" w14:paraId="0CFCCA7E"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9DE1BE1"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12" w:space="0" w:color="auto"/>
              <w:right w:val="single" w:sz="4" w:space="0" w:color="auto"/>
            </w:tcBorders>
            <w:hideMark/>
          </w:tcPr>
          <w:p w14:paraId="28E02B88"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Identify themes and patterns</w:t>
            </w:r>
          </w:p>
        </w:tc>
        <w:tc>
          <w:tcPr>
            <w:tcW w:w="5071" w:type="dxa"/>
            <w:tcBorders>
              <w:top w:val="single" w:sz="4" w:space="0" w:color="auto"/>
              <w:left w:val="single" w:sz="4" w:space="0" w:color="auto"/>
              <w:bottom w:val="single" w:sz="12" w:space="0" w:color="auto"/>
              <w:right w:val="single" w:sz="4" w:space="0" w:color="auto"/>
            </w:tcBorders>
            <w:hideMark/>
          </w:tcPr>
          <w:p w14:paraId="3AF2BB00"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Identify themes and patterns that are present across different mechanisms for data gathering, users and stakeholders, and topics</w:t>
            </w:r>
            <w:r>
              <w:rPr>
                <w:rFonts w:asciiTheme="majorHAnsi" w:hAnsiTheme="majorHAnsi"/>
                <w:color w:val="0432FF"/>
                <w:sz w:val="20"/>
                <w:szCs w:val="20"/>
                <w:vertAlign w:val="superscript"/>
              </w:rPr>
              <w:t>95</w:t>
            </w:r>
          </w:p>
        </w:tc>
      </w:tr>
      <w:tr w:rsidR="004A32A2" w14:paraId="2FB54958" w14:textId="77777777">
        <w:tc>
          <w:tcPr>
            <w:tcW w:w="1423" w:type="dxa"/>
            <w:vMerge w:val="restart"/>
            <w:tcBorders>
              <w:top w:val="single" w:sz="12" w:space="0" w:color="auto"/>
              <w:left w:val="single" w:sz="4" w:space="0" w:color="auto"/>
              <w:bottom w:val="single" w:sz="12" w:space="0" w:color="auto"/>
              <w:right w:val="single" w:sz="4" w:space="0" w:color="auto"/>
            </w:tcBorders>
            <w:hideMark/>
          </w:tcPr>
          <w:p w14:paraId="58F0EEEE" w14:textId="77777777" w:rsidR="004A32A2" w:rsidRDefault="004A32A2">
            <w:pPr>
              <w:spacing w:after="0" w:line="276" w:lineRule="auto"/>
              <w:ind w:firstLine="0"/>
              <w:rPr>
                <w:rFonts w:asciiTheme="majorHAnsi" w:hAnsiTheme="majorHAnsi"/>
                <w:bCs/>
                <w:sz w:val="20"/>
                <w:szCs w:val="20"/>
              </w:rPr>
            </w:pPr>
            <w:r>
              <w:rPr>
                <w:rFonts w:asciiTheme="majorHAnsi" w:hAnsiTheme="majorHAnsi"/>
                <w:sz w:val="20"/>
                <w:szCs w:val="20"/>
              </w:rPr>
              <w:t>Specify User Requirements</w:t>
            </w:r>
          </w:p>
        </w:tc>
        <w:tc>
          <w:tcPr>
            <w:tcW w:w="2522" w:type="dxa"/>
            <w:tcBorders>
              <w:top w:val="single" w:sz="12" w:space="0" w:color="auto"/>
              <w:left w:val="single" w:sz="4" w:space="0" w:color="auto"/>
              <w:bottom w:val="single" w:sz="4" w:space="0" w:color="auto"/>
              <w:right w:val="single" w:sz="4" w:space="0" w:color="auto"/>
            </w:tcBorders>
            <w:hideMark/>
          </w:tcPr>
          <w:p w14:paraId="2E0B124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Understand different user types</w:t>
            </w:r>
          </w:p>
        </w:tc>
        <w:tc>
          <w:tcPr>
            <w:tcW w:w="5071" w:type="dxa"/>
            <w:tcBorders>
              <w:top w:val="single" w:sz="12" w:space="0" w:color="auto"/>
              <w:left w:val="single" w:sz="4" w:space="0" w:color="auto"/>
              <w:bottom w:val="single" w:sz="4" w:space="0" w:color="auto"/>
              <w:right w:val="single" w:sz="4" w:space="0" w:color="auto"/>
            </w:tcBorders>
            <w:hideMark/>
          </w:tcPr>
          <w:p w14:paraId="79C9044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Understand the different needs and requirements for each type or group of users who may use the product and ensure they are represented through personas or other mechanisms</w:t>
            </w:r>
            <w:r>
              <w:rPr>
                <w:rFonts w:asciiTheme="majorHAnsi" w:hAnsiTheme="majorHAnsi"/>
                <w:color w:val="0432FF"/>
                <w:sz w:val="20"/>
                <w:szCs w:val="20"/>
                <w:vertAlign w:val="superscript"/>
              </w:rPr>
              <w:t>45, 98</w:t>
            </w:r>
          </w:p>
        </w:tc>
      </w:tr>
      <w:tr w:rsidR="004A32A2" w14:paraId="59818B65"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8CB8810"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132FB88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Capture active and passive participation</w:t>
            </w:r>
          </w:p>
        </w:tc>
        <w:tc>
          <w:tcPr>
            <w:tcW w:w="5071" w:type="dxa"/>
            <w:tcBorders>
              <w:top w:val="single" w:sz="4" w:space="0" w:color="auto"/>
              <w:left w:val="single" w:sz="4" w:space="0" w:color="auto"/>
              <w:bottom w:val="single" w:sz="4" w:space="0" w:color="auto"/>
              <w:right w:val="single" w:sz="4" w:space="0" w:color="auto"/>
            </w:tcBorders>
            <w:hideMark/>
          </w:tcPr>
          <w:p w14:paraId="28C6463E"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Capture insights from both active and passive user participation by using a combination of mechanisms</w:t>
            </w:r>
            <w:r>
              <w:rPr>
                <w:rFonts w:asciiTheme="majorHAnsi" w:hAnsiTheme="majorHAnsi"/>
                <w:color w:val="0432FF"/>
                <w:sz w:val="20"/>
                <w:szCs w:val="20"/>
                <w:vertAlign w:val="superscript"/>
              </w:rPr>
              <w:t>50</w:t>
            </w:r>
          </w:p>
        </w:tc>
      </w:tr>
      <w:tr w:rsidR="004A32A2" w14:paraId="1EB1FA4F"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9CD777C"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3A6DA91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Iterate different group combinations</w:t>
            </w:r>
          </w:p>
        </w:tc>
        <w:tc>
          <w:tcPr>
            <w:tcW w:w="5071" w:type="dxa"/>
            <w:tcBorders>
              <w:top w:val="single" w:sz="4" w:space="0" w:color="auto"/>
              <w:left w:val="single" w:sz="4" w:space="0" w:color="auto"/>
              <w:bottom w:val="single" w:sz="4" w:space="0" w:color="auto"/>
              <w:right w:val="single" w:sz="4" w:space="0" w:color="auto"/>
            </w:tcBorders>
            <w:hideMark/>
          </w:tcPr>
          <w:p w14:paraId="1BFB9C90"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Iterate between different developers, users, and stakeholders to improve comprehension and collaboration</w:t>
            </w:r>
            <w:r>
              <w:rPr>
                <w:rFonts w:asciiTheme="majorHAnsi" w:hAnsiTheme="majorHAnsi"/>
                <w:color w:val="0432FF"/>
                <w:sz w:val="20"/>
                <w:szCs w:val="20"/>
                <w:vertAlign w:val="superscript"/>
              </w:rPr>
              <w:t>50</w:t>
            </w:r>
          </w:p>
        </w:tc>
      </w:tr>
      <w:tr w:rsidR="004A32A2" w14:paraId="579BCDB7"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2CDC72CE"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202D14F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Have mechanisms inform one another</w:t>
            </w:r>
          </w:p>
        </w:tc>
        <w:tc>
          <w:tcPr>
            <w:tcW w:w="5071" w:type="dxa"/>
            <w:tcBorders>
              <w:top w:val="single" w:sz="4" w:space="0" w:color="auto"/>
              <w:left w:val="single" w:sz="4" w:space="0" w:color="auto"/>
              <w:bottom w:val="single" w:sz="4" w:space="0" w:color="auto"/>
              <w:right w:val="single" w:sz="4" w:space="0" w:color="auto"/>
            </w:tcBorders>
            <w:hideMark/>
          </w:tcPr>
          <w:p w14:paraId="7C8A102F"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Have different mechanisms inform and feed into each other to create a comprehensive understanding of the user</w:t>
            </w:r>
            <w:r>
              <w:rPr>
                <w:rFonts w:asciiTheme="majorHAnsi" w:hAnsiTheme="majorHAnsi"/>
                <w:color w:val="0432FF"/>
                <w:sz w:val="20"/>
                <w:szCs w:val="20"/>
                <w:vertAlign w:val="superscript"/>
              </w:rPr>
              <w:t>96</w:t>
            </w:r>
          </w:p>
        </w:tc>
      </w:tr>
      <w:tr w:rsidR="004A32A2" w14:paraId="670C3F47"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F2FBC07"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354D0427"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Understand what success entails</w:t>
            </w:r>
          </w:p>
        </w:tc>
        <w:tc>
          <w:tcPr>
            <w:tcW w:w="5071" w:type="dxa"/>
            <w:tcBorders>
              <w:top w:val="single" w:sz="4" w:space="0" w:color="auto"/>
              <w:left w:val="single" w:sz="4" w:space="0" w:color="auto"/>
              <w:bottom w:val="single" w:sz="4" w:space="0" w:color="auto"/>
              <w:right w:val="single" w:sz="4" w:space="0" w:color="auto"/>
            </w:tcBorders>
            <w:hideMark/>
          </w:tcPr>
          <w:p w14:paraId="66A51B1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Understand what success entails for developers, stakeholders, and users</w:t>
            </w:r>
            <w:r>
              <w:rPr>
                <w:rFonts w:asciiTheme="majorHAnsi" w:hAnsiTheme="majorHAnsi"/>
                <w:color w:val="0432FF"/>
                <w:sz w:val="20"/>
                <w:szCs w:val="20"/>
                <w:vertAlign w:val="superscript"/>
              </w:rPr>
              <w:t>8</w:t>
            </w:r>
          </w:p>
        </w:tc>
      </w:tr>
      <w:tr w:rsidR="004A32A2" w14:paraId="39337484"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BE47A68"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6738CC0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Balance requirements with goals</w:t>
            </w:r>
          </w:p>
        </w:tc>
        <w:tc>
          <w:tcPr>
            <w:tcW w:w="5071" w:type="dxa"/>
            <w:tcBorders>
              <w:top w:val="single" w:sz="4" w:space="0" w:color="auto"/>
              <w:left w:val="single" w:sz="4" w:space="0" w:color="auto"/>
              <w:bottom w:val="single" w:sz="4" w:space="0" w:color="auto"/>
              <w:right w:val="single" w:sz="4" w:space="0" w:color="auto"/>
            </w:tcBorders>
            <w:hideMark/>
          </w:tcPr>
          <w:p w14:paraId="08F85076"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Balance the requirements for the product by both developer and user goals</w:t>
            </w:r>
            <w:r>
              <w:rPr>
                <w:rFonts w:asciiTheme="majorHAnsi" w:hAnsiTheme="majorHAnsi"/>
                <w:color w:val="0432FF"/>
                <w:sz w:val="20"/>
                <w:szCs w:val="20"/>
                <w:vertAlign w:val="superscript"/>
              </w:rPr>
              <w:t>37</w:t>
            </w:r>
          </w:p>
        </w:tc>
      </w:tr>
      <w:tr w:rsidR="004A32A2" w14:paraId="7D8E763D"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609C7E5"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12" w:space="0" w:color="auto"/>
              <w:right w:val="single" w:sz="4" w:space="0" w:color="auto"/>
            </w:tcBorders>
            <w:hideMark/>
          </w:tcPr>
          <w:p w14:paraId="40464ACC"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Prioritize functional requirements</w:t>
            </w:r>
          </w:p>
        </w:tc>
        <w:tc>
          <w:tcPr>
            <w:tcW w:w="5071" w:type="dxa"/>
            <w:tcBorders>
              <w:top w:val="single" w:sz="4" w:space="0" w:color="auto"/>
              <w:left w:val="single" w:sz="4" w:space="0" w:color="auto"/>
              <w:bottom w:val="single" w:sz="12" w:space="0" w:color="auto"/>
              <w:right w:val="single" w:sz="4" w:space="0" w:color="auto"/>
            </w:tcBorders>
            <w:hideMark/>
          </w:tcPr>
          <w:p w14:paraId="63B04D3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Prioritize functional requirements for the product based on data collected on user needs and tasks</w:t>
            </w:r>
            <w:r>
              <w:rPr>
                <w:rFonts w:asciiTheme="majorHAnsi" w:hAnsiTheme="majorHAnsi"/>
                <w:color w:val="0432FF"/>
                <w:sz w:val="20"/>
                <w:szCs w:val="20"/>
                <w:vertAlign w:val="superscript"/>
              </w:rPr>
              <w:t>101</w:t>
            </w:r>
          </w:p>
        </w:tc>
      </w:tr>
      <w:tr w:rsidR="004A32A2" w14:paraId="69445FCB" w14:textId="77777777">
        <w:tc>
          <w:tcPr>
            <w:tcW w:w="1423" w:type="dxa"/>
            <w:vMerge w:val="restart"/>
            <w:tcBorders>
              <w:top w:val="single" w:sz="12" w:space="0" w:color="auto"/>
              <w:left w:val="single" w:sz="4" w:space="0" w:color="auto"/>
              <w:bottom w:val="single" w:sz="12" w:space="0" w:color="auto"/>
              <w:right w:val="single" w:sz="4" w:space="0" w:color="auto"/>
            </w:tcBorders>
            <w:hideMark/>
          </w:tcPr>
          <w:p w14:paraId="5D5B04C2" w14:textId="77777777" w:rsidR="004A32A2" w:rsidRDefault="004A32A2">
            <w:pPr>
              <w:spacing w:after="0" w:line="276" w:lineRule="auto"/>
              <w:ind w:firstLine="0"/>
              <w:rPr>
                <w:rFonts w:asciiTheme="majorHAnsi" w:hAnsiTheme="majorHAnsi"/>
                <w:bCs/>
                <w:sz w:val="20"/>
                <w:szCs w:val="20"/>
              </w:rPr>
            </w:pPr>
            <w:r>
              <w:rPr>
                <w:rFonts w:asciiTheme="majorHAnsi" w:hAnsiTheme="majorHAnsi"/>
                <w:sz w:val="20"/>
                <w:szCs w:val="20"/>
              </w:rPr>
              <w:t>Produce Solutions</w:t>
            </w:r>
          </w:p>
        </w:tc>
        <w:tc>
          <w:tcPr>
            <w:tcW w:w="2522" w:type="dxa"/>
            <w:tcBorders>
              <w:top w:val="single" w:sz="12" w:space="0" w:color="auto"/>
              <w:left w:val="single" w:sz="4" w:space="0" w:color="auto"/>
              <w:bottom w:val="single" w:sz="4" w:space="0" w:color="auto"/>
              <w:right w:val="single" w:sz="4" w:space="0" w:color="auto"/>
            </w:tcBorders>
            <w:hideMark/>
          </w:tcPr>
          <w:p w14:paraId="07D2776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Start with rapid prototyping</w:t>
            </w:r>
          </w:p>
        </w:tc>
        <w:tc>
          <w:tcPr>
            <w:tcW w:w="5071" w:type="dxa"/>
            <w:tcBorders>
              <w:top w:val="single" w:sz="12" w:space="0" w:color="auto"/>
              <w:left w:val="single" w:sz="4" w:space="0" w:color="auto"/>
              <w:bottom w:val="single" w:sz="4" w:space="0" w:color="auto"/>
              <w:right w:val="single" w:sz="4" w:space="0" w:color="auto"/>
            </w:tcBorders>
            <w:hideMark/>
          </w:tcPr>
          <w:p w14:paraId="303B2D44"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Start with rapid prototyping using low-fidelity prototypes before high-fidelity prototypes to allow for greater testing of usability, usefulness, and understandability</w:t>
            </w:r>
            <w:r>
              <w:rPr>
                <w:rFonts w:asciiTheme="majorHAnsi" w:hAnsiTheme="majorHAnsi"/>
                <w:color w:val="0432FF"/>
                <w:sz w:val="20"/>
                <w:szCs w:val="20"/>
                <w:vertAlign w:val="superscript"/>
              </w:rPr>
              <w:t>50, 103</w:t>
            </w:r>
          </w:p>
        </w:tc>
      </w:tr>
      <w:tr w:rsidR="004A32A2" w14:paraId="08AF4FAE"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7F1BE3A1"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6BF8A57A"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Iterate product design</w:t>
            </w:r>
          </w:p>
        </w:tc>
        <w:tc>
          <w:tcPr>
            <w:tcW w:w="5071" w:type="dxa"/>
            <w:tcBorders>
              <w:top w:val="single" w:sz="4" w:space="0" w:color="auto"/>
              <w:left w:val="single" w:sz="4" w:space="0" w:color="auto"/>
              <w:bottom w:val="single" w:sz="4" w:space="0" w:color="auto"/>
              <w:right w:val="single" w:sz="4" w:space="0" w:color="auto"/>
            </w:tcBorders>
            <w:hideMark/>
          </w:tcPr>
          <w:p w14:paraId="3CF11B4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Iterate product design by constantly gathering feedback and testing using different prototypes</w:t>
            </w:r>
            <w:r>
              <w:rPr>
                <w:rFonts w:asciiTheme="majorHAnsi" w:hAnsiTheme="majorHAnsi"/>
                <w:color w:val="0432FF"/>
                <w:sz w:val="20"/>
                <w:szCs w:val="20"/>
                <w:vertAlign w:val="superscript"/>
              </w:rPr>
              <w:t>104</w:t>
            </w:r>
          </w:p>
        </w:tc>
      </w:tr>
      <w:tr w:rsidR="004A32A2" w14:paraId="533FDF3A"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48906921"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671DE33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Work closely with users</w:t>
            </w:r>
          </w:p>
        </w:tc>
        <w:tc>
          <w:tcPr>
            <w:tcW w:w="5071" w:type="dxa"/>
            <w:tcBorders>
              <w:top w:val="single" w:sz="4" w:space="0" w:color="auto"/>
              <w:left w:val="single" w:sz="4" w:space="0" w:color="auto"/>
              <w:bottom w:val="single" w:sz="4" w:space="0" w:color="auto"/>
              <w:right w:val="single" w:sz="4" w:space="0" w:color="auto"/>
            </w:tcBorders>
            <w:hideMark/>
          </w:tcPr>
          <w:p w14:paraId="00A19E3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Work in close connection with stakeholders and users as product is designed and prototypes are developed</w:t>
            </w:r>
            <w:r>
              <w:rPr>
                <w:rFonts w:asciiTheme="majorHAnsi" w:hAnsiTheme="majorHAnsi"/>
                <w:color w:val="0432FF"/>
                <w:sz w:val="20"/>
                <w:szCs w:val="20"/>
                <w:vertAlign w:val="superscript"/>
              </w:rPr>
              <w:t>105</w:t>
            </w:r>
          </w:p>
        </w:tc>
      </w:tr>
      <w:tr w:rsidR="004A32A2" w14:paraId="06E47A1D"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4638AD6"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09D2261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Employ an Agile approach</w:t>
            </w:r>
          </w:p>
        </w:tc>
        <w:tc>
          <w:tcPr>
            <w:tcW w:w="5071" w:type="dxa"/>
            <w:tcBorders>
              <w:top w:val="single" w:sz="4" w:space="0" w:color="auto"/>
              <w:left w:val="single" w:sz="4" w:space="0" w:color="auto"/>
              <w:bottom w:val="single" w:sz="4" w:space="0" w:color="auto"/>
              <w:right w:val="single" w:sz="4" w:space="0" w:color="auto"/>
            </w:tcBorders>
            <w:hideMark/>
          </w:tcPr>
          <w:p w14:paraId="5E0BD48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Employ an Agile approach with prototyping to allow for greater testing and iteration</w:t>
            </w:r>
            <w:r>
              <w:rPr>
                <w:rFonts w:asciiTheme="majorHAnsi" w:hAnsiTheme="majorHAnsi"/>
                <w:color w:val="0432FF"/>
                <w:sz w:val="20"/>
                <w:szCs w:val="20"/>
                <w:vertAlign w:val="superscript"/>
              </w:rPr>
              <w:t>52</w:t>
            </w:r>
          </w:p>
        </w:tc>
      </w:tr>
      <w:tr w:rsidR="004A32A2" w14:paraId="4E49DE4E"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62D59D2"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14DB7202"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Fill gaps with experts</w:t>
            </w:r>
          </w:p>
        </w:tc>
        <w:tc>
          <w:tcPr>
            <w:tcW w:w="5071" w:type="dxa"/>
            <w:tcBorders>
              <w:top w:val="single" w:sz="4" w:space="0" w:color="auto"/>
              <w:left w:val="single" w:sz="4" w:space="0" w:color="auto"/>
              <w:bottom w:val="single" w:sz="4" w:space="0" w:color="auto"/>
              <w:right w:val="single" w:sz="4" w:space="0" w:color="auto"/>
            </w:tcBorders>
            <w:hideMark/>
          </w:tcPr>
          <w:p w14:paraId="41B16A5A"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Fill any gaps during prototyping with insights from experts who have the relevant technical skills</w:t>
            </w:r>
            <w:r>
              <w:rPr>
                <w:rFonts w:asciiTheme="majorHAnsi" w:hAnsiTheme="majorHAnsi"/>
                <w:color w:val="0432FF"/>
                <w:sz w:val="20"/>
                <w:szCs w:val="20"/>
                <w:vertAlign w:val="superscript"/>
              </w:rPr>
              <w:t>52</w:t>
            </w:r>
          </w:p>
        </w:tc>
      </w:tr>
      <w:tr w:rsidR="004A32A2" w14:paraId="6CBE13F5"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02E2277D"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39118F0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Use technical standards</w:t>
            </w:r>
          </w:p>
        </w:tc>
        <w:tc>
          <w:tcPr>
            <w:tcW w:w="5071" w:type="dxa"/>
            <w:tcBorders>
              <w:top w:val="single" w:sz="4" w:space="0" w:color="auto"/>
              <w:left w:val="single" w:sz="4" w:space="0" w:color="auto"/>
              <w:bottom w:val="single" w:sz="4" w:space="0" w:color="auto"/>
              <w:right w:val="single" w:sz="4" w:space="0" w:color="auto"/>
            </w:tcBorders>
            <w:hideMark/>
          </w:tcPr>
          <w:p w14:paraId="71A89DE3"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Use technical standards such as FAIR principles of findability, accessibility, interoperability, and reusability to document data used in prototypes and products</w:t>
            </w:r>
            <w:r>
              <w:rPr>
                <w:rFonts w:asciiTheme="majorHAnsi" w:hAnsiTheme="majorHAnsi"/>
                <w:color w:val="0432FF"/>
                <w:sz w:val="20"/>
                <w:szCs w:val="20"/>
                <w:vertAlign w:val="superscript"/>
              </w:rPr>
              <w:t>62, 72</w:t>
            </w:r>
          </w:p>
        </w:tc>
      </w:tr>
      <w:tr w:rsidR="004A32A2" w14:paraId="1036A965"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5310A001"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3FD725E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Prototype data visualizations</w:t>
            </w:r>
          </w:p>
        </w:tc>
        <w:tc>
          <w:tcPr>
            <w:tcW w:w="5071" w:type="dxa"/>
            <w:tcBorders>
              <w:top w:val="single" w:sz="4" w:space="0" w:color="auto"/>
              <w:left w:val="single" w:sz="4" w:space="0" w:color="auto"/>
              <w:bottom w:val="single" w:sz="4" w:space="0" w:color="auto"/>
              <w:right w:val="single" w:sz="4" w:space="0" w:color="auto"/>
            </w:tcBorders>
            <w:hideMark/>
          </w:tcPr>
          <w:p w14:paraId="3BD5B2B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Prototype and test specific data visualizations to ensure they communicate information effectively to users</w:t>
            </w:r>
            <w:r>
              <w:rPr>
                <w:rFonts w:asciiTheme="majorHAnsi" w:hAnsiTheme="majorHAnsi"/>
                <w:color w:val="0432FF"/>
                <w:sz w:val="20"/>
                <w:szCs w:val="20"/>
                <w:vertAlign w:val="superscript"/>
              </w:rPr>
              <w:t>8</w:t>
            </w:r>
          </w:p>
        </w:tc>
      </w:tr>
      <w:tr w:rsidR="004A32A2" w14:paraId="672C790F"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1C0D4C07"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452A7532"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 xml:space="preserve">Utilize </w:t>
            </w:r>
            <w:proofErr w:type="spellStart"/>
            <w:r>
              <w:rPr>
                <w:rFonts w:asciiTheme="majorHAnsi" w:hAnsiTheme="majorHAnsi"/>
                <w:sz w:val="20"/>
                <w:szCs w:val="20"/>
              </w:rPr>
              <w:t>color</w:t>
            </w:r>
            <w:proofErr w:type="spellEnd"/>
            <w:r>
              <w:rPr>
                <w:rFonts w:asciiTheme="majorHAnsi" w:hAnsiTheme="majorHAnsi"/>
                <w:sz w:val="20"/>
                <w:szCs w:val="20"/>
              </w:rPr>
              <w:t xml:space="preserve"> and design</w:t>
            </w:r>
          </w:p>
        </w:tc>
        <w:tc>
          <w:tcPr>
            <w:tcW w:w="5071" w:type="dxa"/>
            <w:tcBorders>
              <w:top w:val="single" w:sz="4" w:space="0" w:color="auto"/>
              <w:left w:val="single" w:sz="4" w:space="0" w:color="auto"/>
              <w:bottom w:val="single" w:sz="4" w:space="0" w:color="auto"/>
              <w:right w:val="single" w:sz="4" w:space="0" w:color="auto"/>
            </w:tcBorders>
            <w:hideMark/>
          </w:tcPr>
          <w:p w14:paraId="08DED20A"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 xml:space="preserve">Utilize </w:t>
            </w:r>
            <w:proofErr w:type="spellStart"/>
            <w:r>
              <w:rPr>
                <w:rFonts w:asciiTheme="majorHAnsi" w:hAnsiTheme="majorHAnsi"/>
                <w:sz w:val="20"/>
                <w:szCs w:val="20"/>
              </w:rPr>
              <w:t>color</w:t>
            </w:r>
            <w:proofErr w:type="spellEnd"/>
            <w:r>
              <w:rPr>
                <w:rFonts w:asciiTheme="majorHAnsi" w:hAnsiTheme="majorHAnsi"/>
                <w:sz w:val="20"/>
                <w:szCs w:val="20"/>
              </w:rPr>
              <w:t xml:space="preserve"> and design elements to guide users and convey information</w:t>
            </w:r>
            <w:r>
              <w:rPr>
                <w:rFonts w:asciiTheme="majorHAnsi" w:hAnsiTheme="majorHAnsi"/>
                <w:color w:val="0432FF"/>
                <w:sz w:val="20"/>
                <w:szCs w:val="20"/>
                <w:vertAlign w:val="superscript"/>
              </w:rPr>
              <w:t>8</w:t>
            </w:r>
          </w:p>
        </w:tc>
      </w:tr>
      <w:tr w:rsidR="004A32A2" w14:paraId="2D8F48A2"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302D33D4"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512A1DC3"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Account for accessibility</w:t>
            </w:r>
          </w:p>
        </w:tc>
        <w:tc>
          <w:tcPr>
            <w:tcW w:w="5071" w:type="dxa"/>
            <w:tcBorders>
              <w:top w:val="single" w:sz="4" w:space="0" w:color="auto"/>
              <w:left w:val="single" w:sz="4" w:space="0" w:color="auto"/>
              <w:bottom w:val="single" w:sz="4" w:space="0" w:color="auto"/>
              <w:right w:val="single" w:sz="4" w:space="0" w:color="auto"/>
            </w:tcBorders>
            <w:hideMark/>
          </w:tcPr>
          <w:p w14:paraId="57C4A232"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Account for disabilities and accessibility in prototypes and product interface</w:t>
            </w:r>
            <w:r>
              <w:rPr>
                <w:rFonts w:asciiTheme="majorHAnsi" w:hAnsiTheme="majorHAnsi"/>
                <w:color w:val="0432FF"/>
                <w:sz w:val="20"/>
                <w:szCs w:val="20"/>
                <w:vertAlign w:val="superscript"/>
              </w:rPr>
              <w:t>99</w:t>
            </w:r>
          </w:p>
        </w:tc>
      </w:tr>
      <w:tr w:rsidR="004A32A2" w14:paraId="19BB79D3" w14:textId="77777777">
        <w:tc>
          <w:tcPr>
            <w:tcW w:w="0" w:type="auto"/>
            <w:vMerge/>
            <w:tcBorders>
              <w:top w:val="single" w:sz="12" w:space="0" w:color="auto"/>
              <w:left w:val="single" w:sz="4" w:space="0" w:color="auto"/>
              <w:bottom w:val="single" w:sz="12" w:space="0" w:color="auto"/>
              <w:right w:val="single" w:sz="4" w:space="0" w:color="auto"/>
            </w:tcBorders>
            <w:vAlign w:val="center"/>
            <w:hideMark/>
          </w:tcPr>
          <w:p w14:paraId="6CE23AFA"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12" w:space="0" w:color="auto"/>
              <w:right w:val="single" w:sz="4" w:space="0" w:color="auto"/>
            </w:tcBorders>
            <w:hideMark/>
          </w:tcPr>
          <w:p w14:paraId="3DFD77A4"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Consider cognitive overload</w:t>
            </w:r>
          </w:p>
        </w:tc>
        <w:tc>
          <w:tcPr>
            <w:tcW w:w="5071" w:type="dxa"/>
            <w:tcBorders>
              <w:top w:val="single" w:sz="4" w:space="0" w:color="auto"/>
              <w:left w:val="single" w:sz="4" w:space="0" w:color="auto"/>
              <w:bottom w:val="single" w:sz="12" w:space="0" w:color="auto"/>
              <w:right w:val="single" w:sz="4" w:space="0" w:color="auto"/>
            </w:tcBorders>
            <w:hideMark/>
          </w:tcPr>
          <w:p w14:paraId="3FE39AEE"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Consider cognitive overload when product design is unintuitive, involves too many steps to complete a task, or presents excessive information</w:t>
            </w:r>
            <w:r>
              <w:rPr>
                <w:rFonts w:asciiTheme="majorHAnsi" w:hAnsiTheme="majorHAnsi"/>
                <w:color w:val="0432FF"/>
                <w:sz w:val="20"/>
                <w:szCs w:val="20"/>
                <w:vertAlign w:val="superscript"/>
              </w:rPr>
              <w:t>99</w:t>
            </w:r>
          </w:p>
        </w:tc>
      </w:tr>
      <w:tr w:rsidR="004A32A2" w14:paraId="6EA068FA" w14:textId="77777777">
        <w:tc>
          <w:tcPr>
            <w:tcW w:w="1423" w:type="dxa"/>
            <w:vMerge w:val="restart"/>
            <w:tcBorders>
              <w:top w:val="single" w:sz="12" w:space="0" w:color="auto"/>
              <w:left w:val="single" w:sz="4" w:space="0" w:color="auto"/>
              <w:bottom w:val="single" w:sz="4" w:space="0" w:color="auto"/>
              <w:right w:val="single" w:sz="4" w:space="0" w:color="auto"/>
            </w:tcBorders>
            <w:hideMark/>
          </w:tcPr>
          <w:p w14:paraId="483D5391" w14:textId="77777777" w:rsidR="004A32A2" w:rsidRDefault="004A32A2">
            <w:pPr>
              <w:spacing w:after="0" w:line="276" w:lineRule="auto"/>
              <w:ind w:firstLine="0"/>
              <w:rPr>
                <w:rFonts w:asciiTheme="majorHAnsi" w:hAnsiTheme="majorHAnsi"/>
                <w:bCs/>
                <w:sz w:val="20"/>
                <w:szCs w:val="20"/>
              </w:rPr>
            </w:pPr>
            <w:r>
              <w:rPr>
                <w:rFonts w:asciiTheme="majorHAnsi" w:hAnsiTheme="majorHAnsi"/>
                <w:sz w:val="20"/>
                <w:szCs w:val="20"/>
              </w:rPr>
              <w:lastRenderedPageBreak/>
              <w:t>Evaluate Solutions</w:t>
            </w:r>
          </w:p>
        </w:tc>
        <w:tc>
          <w:tcPr>
            <w:tcW w:w="2522" w:type="dxa"/>
            <w:tcBorders>
              <w:top w:val="single" w:sz="12" w:space="0" w:color="auto"/>
              <w:left w:val="single" w:sz="4" w:space="0" w:color="auto"/>
              <w:bottom w:val="single" w:sz="4" w:space="0" w:color="auto"/>
              <w:right w:val="single" w:sz="4" w:space="0" w:color="auto"/>
            </w:tcBorders>
            <w:hideMark/>
          </w:tcPr>
          <w:p w14:paraId="73BBB93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Employ usability parameters</w:t>
            </w:r>
          </w:p>
        </w:tc>
        <w:tc>
          <w:tcPr>
            <w:tcW w:w="5071" w:type="dxa"/>
            <w:tcBorders>
              <w:top w:val="single" w:sz="12" w:space="0" w:color="auto"/>
              <w:left w:val="single" w:sz="4" w:space="0" w:color="auto"/>
              <w:bottom w:val="single" w:sz="4" w:space="0" w:color="auto"/>
              <w:right w:val="single" w:sz="4" w:space="0" w:color="auto"/>
            </w:tcBorders>
            <w:hideMark/>
          </w:tcPr>
          <w:p w14:paraId="03BC6CA3"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Employ usability parameters to assess products such as product’s ease of learning and usability characteristics such as effectiveness, efficiency, and satisfaction</w:t>
            </w:r>
            <w:r>
              <w:rPr>
                <w:rFonts w:asciiTheme="majorHAnsi" w:hAnsiTheme="majorHAnsi"/>
                <w:color w:val="0432FF"/>
                <w:sz w:val="20"/>
                <w:szCs w:val="20"/>
                <w:vertAlign w:val="superscript"/>
              </w:rPr>
              <w:t>38</w:t>
            </w:r>
          </w:p>
        </w:tc>
      </w:tr>
      <w:tr w:rsidR="004A32A2" w14:paraId="18C1FE80"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1AE82EC4"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5856D710"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Standardize evaluation metrics</w:t>
            </w:r>
          </w:p>
        </w:tc>
        <w:tc>
          <w:tcPr>
            <w:tcW w:w="5071" w:type="dxa"/>
            <w:tcBorders>
              <w:top w:val="single" w:sz="4" w:space="0" w:color="auto"/>
              <w:left w:val="single" w:sz="4" w:space="0" w:color="auto"/>
              <w:bottom w:val="single" w:sz="4" w:space="0" w:color="auto"/>
              <w:right w:val="single" w:sz="4" w:space="0" w:color="auto"/>
            </w:tcBorders>
            <w:hideMark/>
          </w:tcPr>
          <w:p w14:paraId="1685740E"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Standardize the metrics and scales for evaluation by using usability metrics from the System Usability Scale, Likert rating scales, or other standards</w:t>
            </w:r>
            <w:r>
              <w:rPr>
                <w:rFonts w:asciiTheme="majorHAnsi" w:hAnsiTheme="majorHAnsi"/>
                <w:color w:val="0432FF"/>
                <w:sz w:val="20"/>
                <w:szCs w:val="20"/>
                <w:vertAlign w:val="superscript"/>
              </w:rPr>
              <w:t>73, 103</w:t>
            </w:r>
          </w:p>
        </w:tc>
      </w:tr>
      <w:tr w:rsidR="004A32A2" w14:paraId="09501EE6"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654D3DEE"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5F4DAD9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Clarify scientific concepts</w:t>
            </w:r>
          </w:p>
        </w:tc>
        <w:tc>
          <w:tcPr>
            <w:tcW w:w="5071" w:type="dxa"/>
            <w:tcBorders>
              <w:top w:val="single" w:sz="4" w:space="0" w:color="auto"/>
              <w:left w:val="single" w:sz="4" w:space="0" w:color="auto"/>
              <w:bottom w:val="single" w:sz="4" w:space="0" w:color="auto"/>
              <w:right w:val="single" w:sz="4" w:space="0" w:color="auto"/>
            </w:tcBorders>
            <w:hideMark/>
          </w:tcPr>
          <w:p w14:paraId="4209B421"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Clarify and ensure that scientific concepts present in the product are understandable to users</w:t>
            </w:r>
            <w:r>
              <w:rPr>
                <w:rFonts w:asciiTheme="majorHAnsi" w:hAnsiTheme="majorHAnsi"/>
                <w:color w:val="0432FF"/>
                <w:sz w:val="20"/>
                <w:szCs w:val="20"/>
                <w:vertAlign w:val="superscript"/>
              </w:rPr>
              <w:t>50</w:t>
            </w:r>
          </w:p>
        </w:tc>
      </w:tr>
      <w:tr w:rsidR="004A32A2" w14:paraId="688B8561"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61BE06EA"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521C2309"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Track and diagnose bugs</w:t>
            </w:r>
          </w:p>
        </w:tc>
        <w:tc>
          <w:tcPr>
            <w:tcW w:w="5071" w:type="dxa"/>
            <w:tcBorders>
              <w:top w:val="single" w:sz="4" w:space="0" w:color="auto"/>
              <w:left w:val="single" w:sz="4" w:space="0" w:color="auto"/>
              <w:bottom w:val="single" w:sz="4" w:space="0" w:color="auto"/>
              <w:right w:val="single" w:sz="4" w:space="0" w:color="auto"/>
            </w:tcBorders>
            <w:hideMark/>
          </w:tcPr>
          <w:p w14:paraId="1C78FCE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Track and diagnose bugs or errors that are reported with the product</w:t>
            </w:r>
            <w:r>
              <w:rPr>
                <w:rFonts w:asciiTheme="majorHAnsi" w:hAnsiTheme="majorHAnsi"/>
                <w:color w:val="0432FF"/>
                <w:sz w:val="20"/>
                <w:szCs w:val="20"/>
                <w:vertAlign w:val="superscript"/>
              </w:rPr>
              <w:t>73</w:t>
            </w:r>
          </w:p>
        </w:tc>
      </w:tr>
      <w:tr w:rsidR="004A32A2" w14:paraId="3C84DA72"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4B88DB6A"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5C56510A"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Evaluate usage statistics</w:t>
            </w:r>
          </w:p>
        </w:tc>
        <w:tc>
          <w:tcPr>
            <w:tcW w:w="5071" w:type="dxa"/>
            <w:tcBorders>
              <w:top w:val="single" w:sz="4" w:space="0" w:color="auto"/>
              <w:left w:val="single" w:sz="4" w:space="0" w:color="auto"/>
              <w:bottom w:val="single" w:sz="4" w:space="0" w:color="auto"/>
              <w:right w:val="single" w:sz="4" w:space="0" w:color="auto"/>
            </w:tcBorders>
            <w:hideMark/>
          </w:tcPr>
          <w:p w14:paraId="766FDD2C"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Evaluate product usage statistics to get feedback on how users engaged and performed with the product</w:t>
            </w:r>
            <w:r>
              <w:rPr>
                <w:rFonts w:asciiTheme="majorHAnsi" w:hAnsiTheme="majorHAnsi"/>
                <w:color w:val="0432FF"/>
                <w:sz w:val="20"/>
                <w:szCs w:val="20"/>
                <w:vertAlign w:val="superscript"/>
              </w:rPr>
              <w:t>73</w:t>
            </w:r>
          </w:p>
        </w:tc>
      </w:tr>
      <w:tr w:rsidR="004A32A2" w14:paraId="6C2B0FE0"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4FBD0BD3"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227B7146"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Explain testing</w:t>
            </w:r>
          </w:p>
        </w:tc>
        <w:tc>
          <w:tcPr>
            <w:tcW w:w="5071" w:type="dxa"/>
            <w:tcBorders>
              <w:top w:val="single" w:sz="4" w:space="0" w:color="auto"/>
              <w:left w:val="single" w:sz="4" w:space="0" w:color="auto"/>
              <w:bottom w:val="single" w:sz="4" w:space="0" w:color="auto"/>
              <w:right w:val="single" w:sz="4" w:space="0" w:color="auto"/>
            </w:tcBorders>
            <w:hideMark/>
          </w:tcPr>
          <w:p w14:paraId="74B5592D"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Explain testing to users to promote open communication and the idea that products and prototypes can be iterated upon and changed to better meet needs</w:t>
            </w:r>
            <w:r>
              <w:rPr>
                <w:rFonts w:asciiTheme="majorHAnsi" w:hAnsiTheme="majorHAnsi"/>
                <w:color w:val="0432FF"/>
                <w:sz w:val="20"/>
                <w:szCs w:val="20"/>
                <w:vertAlign w:val="superscript"/>
              </w:rPr>
              <w:t>50</w:t>
            </w:r>
          </w:p>
        </w:tc>
      </w:tr>
      <w:tr w:rsidR="004A32A2" w14:paraId="6492D106"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4B0D0062"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4CD47AC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Organize feedback and errors</w:t>
            </w:r>
          </w:p>
        </w:tc>
        <w:tc>
          <w:tcPr>
            <w:tcW w:w="5071" w:type="dxa"/>
            <w:tcBorders>
              <w:top w:val="single" w:sz="4" w:space="0" w:color="auto"/>
              <w:left w:val="single" w:sz="4" w:space="0" w:color="auto"/>
              <w:bottom w:val="single" w:sz="4" w:space="0" w:color="auto"/>
              <w:right w:val="single" w:sz="4" w:space="0" w:color="auto"/>
            </w:tcBorders>
            <w:hideMark/>
          </w:tcPr>
          <w:p w14:paraId="0E761F13"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Organize feedback and product errors according to relevance and technical feasibility</w:t>
            </w:r>
            <w:r>
              <w:rPr>
                <w:rFonts w:asciiTheme="majorHAnsi" w:hAnsiTheme="majorHAnsi"/>
                <w:color w:val="0432FF"/>
                <w:sz w:val="20"/>
                <w:szCs w:val="20"/>
                <w:vertAlign w:val="superscript"/>
              </w:rPr>
              <w:t>98</w:t>
            </w:r>
          </w:p>
        </w:tc>
      </w:tr>
      <w:tr w:rsidR="004A32A2" w14:paraId="141505E1"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6F69CB10"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48A016A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Collect quantitative and qualitative data</w:t>
            </w:r>
          </w:p>
        </w:tc>
        <w:tc>
          <w:tcPr>
            <w:tcW w:w="5071" w:type="dxa"/>
            <w:tcBorders>
              <w:top w:val="single" w:sz="4" w:space="0" w:color="auto"/>
              <w:left w:val="single" w:sz="4" w:space="0" w:color="auto"/>
              <w:bottom w:val="single" w:sz="4" w:space="0" w:color="auto"/>
              <w:right w:val="single" w:sz="4" w:space="0" w:color="auto"/>
            </w:tcBorders>
            <w:hideMark/>
          </w:tcPr>
          <w:p w14:paraId="4090F508"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Collect quantitative and qualitative data on product usability and performance</w:t>
            </w:r>
            <w:r>
              <w:rPr>
                <w:rFonts w:asciiTheme="majorHAnsi" w:hAnsiTheme="majorHAnsi"/>
                <w:color w:val="0432FF"/>
                <w:sz w:val="20"/>
                <w:szCs w:val="20"/>
                <w:vertAlign w:val="superscript"/>
              </w:rPr>
              <w:t>95, 103</w:t>
            </w:r>
          </w:p>
        </w:tc>
      </w:tr>
      <w:tr w:rsidR="004A32A2" w14:paraId="45740AE3"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058F57A4"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6721EC51"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Establish forward-looking priorities</w:t>
            </w:r>
          </w:p>
        </w:tc>
        <w:tc>
          <w:tcPr>
            <w:tcW w:w="5071" w:type="dxa"/>
            <w:tcBorders>
              <w:top w:val="single" w:sz="4" w:space="0" w:color="auto"/>
              <w:left w:val="single" w:sz="4" w:space="0" w:color="auto"/>
              <w:bottom w:val="single" w:sz="4" w:space="0" w:color="auto"/>
              <w:right w:val="single" w:sz="4" w:space="0" w:color="auto"/>
            </w:tcBorders>
            <w:hideMark/>
          </w:tcPr>
          <w:p w14:paraId="1B73D30B"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Establish forward-looking priorities for the product by asking users about current product issues and potential features they would like to see implemented</w:t>
            </w:r>
            <w:r>
              <w:rPr>
                <w:rFonts w:asciiTheme="majorHAnsi" w:hAnsiTheme="majorHAnsi"/>
                <w:color w:val="0432FF"/>
                <w:sz w:val="20"/>
                <w:szCs w:val="20"/>
                <w:vertAlign w:val="superscript"/>
              </w:rPr>
              <w:t>73</w:t>
            </w:r>
          </w:p>
        </w:tc>
      </w:tr>
      <w:tr w:rsidR="004A32A2" w14:paraId="3D2E50C6" w14:textId="77777777">
        <w:tc>
          <w:tcPr>
            <w:tcW w:w="0" w:type="auto"/>
            <w:vMerge/>
            <w:tcBorders>
              <w:top w:val="single" w:sz="12" w:space="0" w:color="auto"/>
              <w:left w:val="single" w:sz="4" w:space="0" w:color="auto"/>
              <w:bottom w:val="single" w:sz="4" w:space="0" w:color="auto"/>
              <w:right w:val="single" w:sz="4" w:space="0" w:color="auto"/>
            </w:tcBorders>
            <w:vAlign w:val="center"/>
            <w:hideMark/>
          </w:tcPr>
          <w:p w14:paraId="0FD281A8" w14:textId="77777777" w:rsidR="004A32A2" w:rsidRDefault="004A32A2">
            <w:pPr>
              <w:spacing w:after="0" w:line="240" w:lineRule="auto"/>
              <w:rPr>
                <w:rFonts w:asciiTheme="majorHAnsi" w:hAnsiTheme="majorHAnsi"/>
                <w:bCs/>
                <w:sz w:val="20"/>
                <w:szCs w:val="20"/>
              </w:rPr>
            </w:pPr>
          </w:p>
        </w:tc>
        <w:tc>
          <w:tcPr>
            <w:tcW w:w="2522" w:type="dxa"/>
            <w:tcBorders>
              <w:top w:val="single" w:sz="4" w:space="0" w:color="auto"/>
              <w:left w:val="single" w:sz="4" w:space="0" w:color="auto"/>
              <w:bottom w:val="single" w:sz="4" w:space="0" w:color="auto"/>
              <w:right w:val="single" w:sz="4" w:space="0" w:color="auto"/>
            </w:tcBorders>
            <w:hideMark/>
          </w:tcPr>
          <w:p w14:paraId="19C4BFAF" w14:textId="77777777" w:rsidR="004A32A2" w:rsidRDefault="004A32A2">
            <w:pPr>
              <w:spacing w:after="0" w:line="276" w:lineRule="auto"/>
              <w:ind w:firstLine="0"/>
              <w:rPr>
                <w:rFonts w:asciiTheme="majorHAnsi" w:hAnsiTheme="majorHAnsi"/>
                <w:sz w:val="20"/>
                <w:szCs w:val="20"/>
              </w:rPr>
            </w:pPr>
            <w:r>
              <w:rPr>
                <w:rFonts w:asciiTheme="majorHAnsi" w:hAnsiTheme="majorHAnsi"/>
                <w:sz w:val="20"/>
                <w:szCs w:val="20"/>
              </w:rPr>
              <w:t>Implement long-term monitoring</w:t>
            </w:r>
          </w:p>
        </w:tc>
        <w:tc>
          <w:tcPr>
            <w:tcW w:w="5071" w:type="dxa"/>
            <w:tcBorders>
              <w:top w:val="single" w:sz="4" w:space="0" w:color="auto"/>
              <w:left w:val="single" w:sz="4" w:space="0" w:color="auto"/>
              <w:bottom w:val="single" w:sz="4" w:space="0" w:color="auto"/>
              <w:right w:val="single" w:sz="4" w:space="0" w:color="auto"/>
            </w:tcBorders>
            <w:hideMark/>
          </w:tcPr>
          <w:p w14:paraId="2BFA5226" w14:textId="77777777" w:rsidR="004A32A2" w:rsidRDefault="004A32A2">
            <w:pPr>
              <w:spacing w:after="0" w:line="276" w:lineRule="auto"/>
              <w:ind w:firstLine="0"/>
              <w:rPr>
                <w:rFonts w:asciiTheme="majorHAnsi" w:hAnsiTheme="majorHAnsi"/>
                <w:sz w:val="20"/>
                <w:szCs w:val="20"/>
                <w:lang w:val="en-US"/>
              </w:rPr>
            </w:pPr>
            <w:r>
              <w:rPr>
                <w:rFonts w:asciiTheme="majorHAnsi" w:hAnsiTheme="majorHAnsi"/>
                <w:sz w:val="20"/>
                <w:szCs w:val="20"/>
              </w:rPr>
              <w:t>Implement a process for long-term monitoring of the product and continued gathering of user feedback</w:t>
            </w:r>
            <w:r>
              <w:rPr>
                <w:rFonts w:asciiTheme="majorHAnsi" w:hAnsiTheme="majorHAnsi"/>
                <w:color w:val="0432FF"/>
                <w:sz w:val="20"/>
                <w:szCs w:val="20"/>
                <w:vertAlign w:val="superscript"/>
              </w:rPr>
              <w:t>39</w:t>
            </w:r>
          </w:p>
        </w:tc>
      </w:tr>
    </w:tbl>
    <w:p w14:paraId="34DD9505" w14:textId="77777777" w:rsidR="004A32A2" w:rsidRDefault="004A32A2" w:rsidP="004A32A2">
      <w:pPr>
        <w:spacing w:after="0" w:line="276" w:lineRule="auto"/>
        <w:ind w:firstLine="0"/>
        <w:rPr>
          <w:rFonts w:asciiTheme="majorHAnsi" w:hAnsiTheme="majorHAnsi"/>
        </w:rPr>
      </w:pPr>
      <w:r>
        <w:rPr>
          <w:rFonts w:asciiTheme="majorHAnsi" w:hAnsiTheme="majorHAnsi"/>
          <w:i/>
          <w:iCs/>
        </w:rPr>
        <w:t>Notes:</w:t>
      </w:r>
      <w:r>
        <w:rPr>
          <w:rFonts w:asciiTheme="majorHAnsi" w:hAnsiTheme="majorHAnsi"/>
        </w:rPr>
        <w:t xml:space="preserve"> Best practices were extracted from the final set of user-</w:t>
      </w:r>
      <w:proofErr w:type="spellStart"/>
      <w:r>
        <w:rPr>
          <w:rFonts w:asciiTheme="majorHAnsi" w:hAnsiTheme="majorHAnsi"/>
        </w:rPr>
        <w:t>centered</w:t>
      </w:r>
      <w:proofErr w:type="spellEnd"/>
      <w:r>
        <w:rPr>
          <w:rFonts w:asciiTheme="majorHAnsi" w:hAnsiTheme="majorHAnsi"/>
        </w:rPr>
        <w:t xml:space="preserve"> design literature and mapped to the user-</w:t>
      </w:r>
      <w:proofErr w:type="spellStart"/>
      <w:r>
        <w:rPr>
          <w:rFonts w:asciiTheme="majorHAnsi" w:hAnsiTheme="majorHAnsi"/>
        </w:rPr>
        <w:t>centered</w:t>
      </w:r>
      <w:proofErr w:type="spellEnd"/>
      <w:r>
        <w:rPr>
          <w:rFonts w:asciiTheme="majorHAnsi" w:hAnsiTheme="majorHAnsi"/>
        </w:rPr>
        <w:t xml:space="preserve"> design stages used in this study (for further details, see Methods).</w:t>
      </w:r>
    </w:p>
    <w:p w14:paraId="33AAB988" w14:textId="77777777" w:rsidR="004A32A2" w:rsidRDefault="004A32A2" w:rsidP="004A32A2">
      <w:pPr>
        <w:spacing w:after="0" w:line="276" w:lineRule="auto"/>
        <w:ind w:firstLine="0"/>
        <w:rPr>
          <w:rFonts w:asciiTheme="majorHAnsi" w:hAnsiTheme="majorHAnsi"/>
        </w:rPr>
      </w:pPr>
    </w:p>
    <w:p w14:paraId="379C72A5" w14:textId="77777777" w:rsidR="004A32A2" w:rsidRDefault="004A32A2" w:rsidP="004A32A2">
      <w:pPr>
        <w:spacing w:after="0" w:line="276" w:lineRule="auto"/>
        <w:ind w:firstLine="0"/>
        <w:rPr>
          <w:rFonts w:asciiTheme="majorHAnsi" w:hAnsiTheme="majorHAnsi"/>
          <w:b/>
          <w:bCs/>
          <w:lang w:val="en-US"/>
        </w:rPr>
      </w:pPr>
      <w:r>
        <w:rPr>
          <w:rFonts w:asciiTheme="majorHAnsi" w:hAnsiTheme="majorHAnsi"/>
          <w:b/>
          <w:bCs/>
          <w:lang w:val="en-US"/>
        </w:rPr>
        <w:t>Extended Data Table 5 | Co-production literature reviewed</w:t>
      </w:r>
    </w:p>
    <w:tbl>
      <w:tblPr>
        <w:tblStyle w:val="TableGrid"/>
        <w:tblW w:w="0" w:type="auto"/>
        <w:tblInd w:w="0" w:type="dxa"/>
        <w:tblLook w:val="04A0" w:firstRow="1" w:lastRow="0" w:firstColumn="1" w:lastColumn="0" w:noHBand="0" w:noVBand="1"/>
      </w:tblPr>
      <w:tblGrid>
        <w:gridCol w:w="966"/>
        <w:gridCol w:w="8050"/>
      </w:tblGrid>
      <w:tr w:rsidR="004A32A2" w14:paraId="0563AB53" w14:textId="77777777">
        <w:tc>
          <w:tcPr>
            <w:tcW w:w="966" w:type="dxa"/>
            <w:tcBorders>
              <w:top w:val="single" w:sz="4" w:space="0" w:color="auto"/>
              <w:left w:val="single" w:sz="4" w:space="0" w:color="auto"/>
              <w:bottom w:val="single" w:sz="18" w:space="0" w:color="auto"/>
              <w:right w:val="single" w:sz="4" w:space="0" w:color="auto"/>
            </w:tcBorders>
            <w:hideMark/>
          </w:tcPr>
          <w:p w14:paraId="07E6EE6D" w14:textId="77777777" w:rsidR="004A32A2" w:rsidRDefault="004A32A2">
            <w:pPr>
              <w:spacing w:after="0" w:line="276" w:lineRule="auto"/>
              <w:ind w:firstLine="0"/>
              <w:rPr>
                <w:rFonts w:asciiTheme="majorHAnsi" w:hAnsiTheme="majorHAnsi"/>
                <w:b/>
                <w:bCs/>
                <w:sz w:val="20"/>
                <w:szCs w:val="20"/>
              </w:rPr>
            </w:pPr>
            <w:r>
              <w:rPr>
                <w:rFonts w:asciiTheme="majorHAnsi" w:hAnsiTheme="majorHAnsi" w:cs="Times-Bold"/>
                <w:b/>
                <w:bCs/>
                <w:sz w:val="20"/>
                <w:szCs w:val="20"/>
                <w:lang w:val="en-US"/>
              </w:rPr>
              <w:t>Number</w:t>
            </w:r>
          </w:p>
        </w:tc>
        <w:tc>
          <w:tcPr>
            <w:tcW w:w="8050" w:type="dxa"/>
            <w:tcBorders>
              <w:top w:val="single" w:sz="4" w:space="0" w:color="auto"/>
              <w:left w:val="single" w:sz="4" w:space="0" w:color="auto"/>
              <w:bottom w:val="single" w:sz="18" w:space="0" w:color="auto"/>
              <w:right w:val="single" w:sz="4" w:space="0" w:color="auto"/>
            </w:tcBorders>
            <w:hideMark/>
          </w:tcPr>
          <w:p w14:paraId="41556DD7" w14:textId="77777777" w:rsidR="004A32A2" w:rsidRDefault="004A32A2">
            <w:pPr>
              <w:spacing w:after="0" w:line="276" w:lineRule="auto"/>
              <w:ind w:firstLine="0"/>
              <w:rPr>
                <w:rFonts w:asciiTheme="majorHAnsi" w:hAnsiTheme="majorHAnsi"/>
                <w:b/>
                <w:bCs/>
                <w:sz w:val="20"/>
                <w:szCs w:val="20"/>
              </w:rPr>
            </w:pPr>
            <w:r>
              <w:rPr>
                <w:rFonts w:asciiTheme="majorHAnsi" w:hAnsiTheme="majorHAnsi" w:cs="Times-Bold"/>
                <w:b/>
                <w:bCs/>
                <w:sz w:val="20"/>
                <w:szCs w:val="20"/>
                <w:lang w:val="en-US"/>
              </w:rPr>
              <w:t>Article</w:t>
            </w:r>
          </w:p>
        </w:tc>
      </w:tr>
      <w:tr w:rsidR="004A32A2" w14:paraId="1CA03358" w14:textId="77777777">
        <w:tc>
          <w:tcPr>
            <w:tcW w:w="966" w:type="dxa"/>
            <w:tcBorders>
              <w:top w:val="single" w:sz="18" w:space="0" w:color="auto"/>
              <w:left w:val="single" w:sz="4" w:space="0" w:color="auto"/>
              <w:bottom w:val="single" w:sz="4" w:space="0" w:color="auto"/>
              <w:right w:val="single" w:sz="4" w:space="0" w:color="auto"/>
            </w:tcBorders>
            <w:hideMark/>
          </w:tcPr>
          <w:p w14:paraId="5BB036F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w:t>
            </w:r>
          </w:p>
        </w:tc>
        <w:tc>
          <w:tcPr>
            <w:tcW w:w="8050" w:type="dxa"/>
            <w:tcBorders>
              <w:top w:val="single" w:sz="18" w:space="0" w:color="auto"/>
              <w:left w:val="single" w:sz="4" w:space="0" w:color="auto"/>
              <w:bottom w:val="single" w:sz="4" w:space="0" w:color="auto"/>
              <w:right w:val="single" w:sz="4" w:space="0" w:color="auto"/>
            </w:tcBorders>
            <w:hideMark/>
          </w:tcPr>
          <w:p w14:paraId="12388057"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Bachelet, D., Gough, M., Sheehan, T., Baker, B., Ferschweiler, K., &amp; </w:t>
            </w:r>
            <w:proofErr w:type="spellStart"/>
            <w:r>
              <w:rPr>
                <w:rFonts w:asciiTheme="majorHAnsi" w:hAnsiTheme="majorHAnsi" w:cs="Times-Roman"/>
                <w:sz w:val="20"/>
                <w:szCs w:val="20"/>
                <w:lang w:val="en-US"/>
              </w:rPr>
              <w:t>Strittholt</w:t>
            </w:r>
            <w:proofErr w:type="spellEnd"/>
            <w:r>
              <w:rPr>
                <w:rFonts w:asciiTheme="majorHAnsi" w:hAnsiTheme="majorHAnsi" w:cs="Times-Roman"/>
                <w:sz w:val="20"/>
                <w:szCs w:val="20"/>
                <w:lang w:val="en-US"/>
              </w:rPr>
              <w:t xml:space="preserve">, J. (2017). Climate consoles: Pieces in the puzzle of climate change adaptation. </w:t>
            </w:r>
            <w:r>
              <w:rPr>
                <w:rFonts w:asciiTheme="majorHAnsi" w:hAnsiTheme="majorHAnsi" w:cs="Times-Italic"/>
                <w:i/>
                <w:iCs/>
                <w:sz w:val="20"/>
                <w:szCs w:val="20"/>
                <w:lang w:val="en-US"/>
              </w:rPr>
              <w:t>Climate Services, 8</w:t>
            </w:r>
            <w:r>
              <w:rPr>
                <w:rFonts w:asciiTheme="majorHAnsi" w:hAnsiTheme="majorHAnsi" w:cs="Times-Roman"/>
                <w:sz w:val="20"/>
                <w:szCs w:val="20"/>
                <w:lang w:val="en-US"/>
              </w:rPr>
              <w:t xml:space="preserve">, 36–43. </w:t>
            </w:r>
            <w:hyperlink r:id="rId4" w:history="1">
              <w:r>
                <w:rPr>
                  <w:rStyle w:val="Hyperlink"/>
                  <w:rFonts w:cs="Times-Roman"/>
                  <w:color w:val="0000E9"/>
                  <w:sz w:val="20"/>
                  <w:szCs w:val="20"/>
                  <w:lang w:val="en-US"/>
                </w:rPr>
                <w:t>https://doi.org/10.1016/j.cliser.2017.10.001</w:t>
              </w:r>
            </w:hyperlink>
          </w:p>
        </w:tc>
      </w:tr>
      <w:tr w:rsidR="004A32A2" w14:paraId="3C951AA7" w14:textId="77777777">
        <w:tc>
          <w:tcPr>
            <w:tcW w:w="966" w:type="dxa"/>
            <w:tcBorders>
              <w:top w:val="single" w:sz="4" w:space="0" w:color="auto"/>
              <w:left w:val="single" w:sz="4" w:space="0" w:color="auto"/>
              <w:bottom w:val="single" w:sz="4" w:space="0" w:color="auto"/>
              <w:right w:val="single" w:sz="4" w:space="0" w:color="auto"/>
            </w:tcBorders>
            <w:hideMark/>
          </w:tcPr>
          <w:p w14:paraId="48DE711D"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w:t>
            </w:r>
          </w:p>
        </w:tc>
        <w:tc>
          <w:tcPr>
            <w:tcW w:w="8050" w:type="dxa"/>
            <w:tcBorders>
              <w:top w:val="single" w:sz="4" w:space="0" w:color="auto"/>
              <w:left w:val="single" w:sz="4" w:space="0" w:color="auto"/>
              <w:bottom w:val="single" w:sz="4" w:space="0" w:color="auto"/>
              <w:right w:val="single" w:sz="4" w:space="0" w:color="auto"/>
            </w:tcBorders>
            <w:hideMark/>
          </w:tcPr>
          <w:p w14:paraId="18A63D94"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Barnet, A. F., </w:t>
            </w:r>
            <w:proofErr w:type="spellStart"/>
            <w:r>
              <w:rPr>
                <w:rFonts w:asciiTheme="majorHAnsi" w:hAnsiTheme="majorHAnsi" w:cs="Times-Roman"/>
                <w:sz w:val="20"/>
                <w:szCs w:val="20"/>
                <w:lang w:val="en-US"/>
              </w:rPr>
              <w:t>Ciurana</w:t>
            </w:r>
            <w:proofErr w:type="spellEnd"/>
            <w:r>
              <w:rPr>
                <w:rFonts w:asciiTheme="majorHAnsi" w:hAnsiTheme="majorHAnsi" w:cs="Times-Roman"/>
                <w:sz w:val="20"/>
                <w:szCs w:val="20"/>
                <w:lang w:val="en-US"/>
              </w:rPr>
              <w:t xml:space="preserve">, A. B., Pozo, J. X. O., Russo, A., Coscarelli, R., </w:t>
            </w:r>
            <w:proofErr w:type="spellStart"/>
            <w:r>
              <w:rPr>
                <w:rFonts w:asciiTheme="majorHAnsi" w:hAnsiTheme="majorHAnsi" w:cs="Times-Roman"/>
                <w:sz w:val="20"/>
                <w:szCs w:val="20"/>
                <w:lang w:val="en-US"/>
              </w:rPr>
              <w:t>Antronico</w:t>
            </w:r>
            <w:proofErr w:type="spellEnd"/>
            <w:r>
              <w:rPr>
                <w:rFonts w:asciiTheme="majorHAnsi" w:hAnsiTheme="majorHAnsi" w:cs="Times-Roman"/>
                <w:sz w:val="20"/>
                <w:szCs w:val="20"/>
                <w:lang w:val="en-US"/>
              </w:rPr>
              <w:t xml:space="preserve">, L., de Pascale, F., </w:t>
            </w:r>
            <w:proofErr w:type="spellStart"/>
            <w:r>
              <w:rPr>
                <w:rFonts w:asciiTheme="majorHAnsi" w:hAnsiTheme="majorHAnsi" w:cs="Times-Roman"/>
                <w:sz w:val="20"/>
                <w:szCs w:val="20"/>
                <w:lang w:val="en-US"/>
              </w:rPr>
              <w:t>Saladié</w:t>
            </w:r>
            <w:proofErr w:type="spellEnd"/>
            <w:r>
              <w:rPr>
                <w:rFonts w:asciiTheme="majorHAnsi" w:hAnsiTheme="majorHAnsi" w:cs="Times-Roman"/>
                <w:sz w:val="20"/>
                <w:szCs w:val="20"/>
                <w:lang w:val="en-US"/>
              </w:rPr>
              <w:t>, O., Anton-</w:t>
            </w:r>
            <w:proofErr w:type="spellStart"/>
            <w:r>
              <w:rPr>
                <w:rFonts w:asciiTheme="majorHAnsi" w:hAnsiTheme="majorHAnsi" w:cs="Times-Roman"/>
                <w:sz w:val="20"/>
                <w:szCs w:val="20"/>
                <w:lang w:val="en-US"/>
              </w:rPr>
              <w:t>Clavé</w:t>
            </w:r>
            <w:proofErr w:type="spellEnd"/>
            <w:r>
              <w:rPr>
                <w:rFonts w:asciiTheme="majorHAnsi" w:hAnsiTheme="majorHAnsi" w:cs="Times-Roman"/>
                <w:sz w:val="20"/>
                <w:szCs w:val="20"/>
                <w:lang w:val="en-US"/>
              </w:rPr>
              <w:t xml:space="preserve">, S., &amp; Aguilar, E. (2021). Climate services for tourism: An applied methodology for user engagement and co-creation in European destinations. </w:t>
            </w:r>
            <w:r>
              <w:rPr>
                <w:rFonts w:asciiTheme="majorHAnsi" w:hAnsiTheme="majorHAnsi" w:cs="Times-Italic"/>
                <w:i/>
                <w:iCs/>
                <w:sz w:val="20"/>
                <w:szCs w:val="20"/>
                <w:lang w:val="en-US"/>
              </w:rPr>
              <w:t>Climate Services, 23</w:t>
            </w:r>
            <w:r>
              <w:rPr>
                <w:rFonts w:asciiTheme="majorHAnsi" w:hAnsiTheme="majorHAnsi" w:cs="Times-Roman"/>
                <w:sz w:val="20"/>
                <w:szCs w:val="20"/>
                <w:lang w:val="en-US"/>
              </w:rPr>
              <w:t xml:space="preserve">(100249). </w:t>
            </w:r>
            <w:hyperlink r:id="rId5" w:history="1">
              <w:r>
                <w:rPr>
                  <w:rStyle w:val="Hyperlink"/>
                  <w:rFonts w:cs="Times-Roman"/>
                  <w:color w:val="0000E9"/>
                  <w:sz w:val="20"/>
                  <w:szCs w:val="20"/>
                  <w:lang w:val="en-US"/>
                </w:rPr>
                <w:t>https://doi.org/10.1016/j.cliser.2021.100249</w:t>
              </w:r>
            </w:hyperlink>
          </w:p>
        </w:tc>
      </w:tr>
      <w:tr w:rsidR="004A32A2" w14:paraId="20797B38" w14:textId="77777777">
        <w:tc>
          <w:tcPr>
            <w:tcW w:w="966" w:type="dxa"/>
            <w:tcBorders>
              <w:top w:val="single" w:sz="4" w:space="0" w:color="auto"/>
              <w:left w:val="single" w:sz="4" w:space="0" w:color="auto"/>
              <w:bottom w:val="single" w:sz="4" w:space="0" w:color="auto"/>
              <w:right w:val="single" w:sz="4" w:space="0" w:color="auto"/>
            </w:tcBorders>
            <w:hideMark/>
          </w:tcPr>
          <w:p w14:paraId="3F2C41E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w:t>
            </w:r>
          </w:p>
        </w:tc>
        <w:tc>
          <w:tcPr>
            <w:tcW w:w="8050" w:type="dxa"/>
            <w:tcBorders>
              <w:top w:val="single" w:sz="4" w:space="0" w:color="auto"/>
              <w:left w:val="single" w:sz="4" w:space="0" w:color="auto"/>
              <w:bottom w:val="single" w:sz="4" w:space="0" w:color="auto"/>
              <w:right w:val="single" w:sz="4" w:space="0" w:color="auto"/>
            </w:tcBorders>
            <w:hideMark/>
          </w:tcPr>
          <w:p w14:paraId="1FE7F39C"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Blair, B., Gierisch, A. M. U., </w:t>
            </w:r>
            <w:proofErr w:type="spellStart"/>
            <w:r>
              <w:rPr>
                <w:rFonts w:asciiTheme="majorHAnsi" w:hAnsiTheme="majorHAnsi" w:cs="Times-Roman"/>
                <w:sz w:val="20"/>
                <w:szCs w:val="20"/>
                <w:lang w:val="en-US"/>
              </w:rPr>
              <w:t>Jeuring</w:t>
            </w:r>
            <w:proofErr w:type="spellEnd"/>
            <w:r>
              <w:rPr>
                <w:rFonts w:asciiTheme="majorHAnsi" w:hAnsiTheme="majorHAnsi" w:cs="Times-Roman"/>
                <w:sz w:val="20"/>
                <w:szCs w:val="20"/>
                <w:lang w:val="en-US"/>
              </w:rPr>
              <w:t xml:space="preserve">, J., Olsen, S. M., &amp; Lamers, M. (2022). Mind the gap! A consensus analysis of users and producers on trust in new sea ice information products. </w:t>
            </w:r>
            <w:r>
              <w:rPr>
                <w:rFonts w:asciiTheme="majorHAnsi" w:hAnsiTheme="majorHAnsi" w:cs="Times-Italic"/>
                <w:i/>
                <w:iCs/>
                <w:sz w:val="20"/>
                <w:szCs w:val="20"/>
                <w:lang w:val="en-US"/>
              </w:rPr>
              <w:t>Climate Services, 28</w:t>
            </w:r>
            <w:r>
              <w:rPr>
                <w:rFonts w:asciiTheme="majorHAnsi" w:hAnsiTheme="majorHAnsi" w:cs="Times-Roman"/>
                <w:sz w:val="20"/>
                <w:szCs w:val="20"/>
                <w:lang w:val="en-US"/>
              </w:rPr>
              <w:t xml:space="preserve">(100323). </w:t>
            </w:r>
            <w:hyperlink r:id="rId6" w:history="1">
              <w:r>
                <w:rPr>
                  <w:rStyle w:val="Hyperlink"/>
                  <w:rFonts w:cs="Times-Roman"/>
                  <w:color w:val="0000E9"/>
                  <w:sz w:val="20"/>
                  <w:szCs w:val="20"/>
                  <w:lang w:val="en-US"/>
                </w:rPr>
                <w:t>https://doi.org/10.1016/j.cliser.2022.100323</w:t>
              </w:r>
            </w:hyperlink>
          </w:p>
        </w:tc>
      </w:tr>
      <w:tr w:rsidR="004A32A2" w14:paraId="33A9CA34" w14:textId="77777777">
        <w:tc>
          <w:tcPr>
            <w:tcW w:w="966" w:type="dxa"/>
            <w:tcBorders>
              <w:top w:val="single" w:sz="4" w:space="0" w:color="auto"/>
              <w:left w:val="single" w:sz="4" w:space="0" w:color="auto"/>
              <w:bottom w:val="single" w:sz="4" w:space="0" w:color="auto"/>
              <w:right w:val="single" w:sz="4" w:space="0" w:color="auto"/>
            </w:tcBorders>
            <w:hideMark/>
          </w:tcPr>
          <w:p w14:paraId="6F78DB1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4</w:t>
            </w:r>
          </w:p>
        </w:tc>
        <w:tc>
          <w:tcPr>
            <w:tcW w:w="8050" w:type="dxa"/>
            <w:tcBorders>
              <w:top w:val="single" w:sz="4" w:space="0" w:color="auto"/>
              <w:left w:val="single" w:sz="4" w:space="0" w:color="auto"/>
              <w:bottom w:val="single" w:sz="4" w:space="0" w:color="auto"/>
              <w:right w:val="single" w:sz="4" w:space="0" w:color="auto"/>
            </w:tcBorders>
            <w:hideMark/>
          </w:tcPr>
          <w:p w14:paraId="0A7B34EB" w14:textId="77777777" w:rsidR="004A32A2" w:rsidRDefault="004A32A2">
            <w:pPr>
              <w:spacing w:after="0" w:line="276" w:lineRule="auto"/>
              <w:ind w:firstLine="0"/>
              <w:rPr>
                <w:rFonts w:asciiTheme="majorHAnsi" w:hAnsiTheme="majorHAnsi"/>
                <w:sz w:val="20"/>
                <w:szCs w:val="20"/>
              </w:rPr>
            </w:pPr>
            <w:proofErr w:type="spellStart"/>
            <w:r>
              <w:rPr>
                <w:rFonts w:asciiTheme="majorHAnsi" w:hAnsiTheme="majorHAnsi" w:cs="Times-Roman"/>
                <w:sz w:val="20"/>
                <w:szCs w:val="20"/>
                <w:lang w:val="en-US"/>
              </w:rPr>
              <w:t>Bouroncle</w:t>
            </w:r>
            <w:proofErr w:type="spellEnd"/>
            <w:r>
              <w:rPr>
                <w:rFonts w:asciiTheme="majorHAnsi" w:hAnsiTheme="majorHAnsi" w:cs="Times-Roman"/>
                <w:sz w:val="20"/>
                <w:szCs w:val="20"/>
                <w:lang w:val="en-US"/>
              </w:rPr>
              <w:t xml:space="preserve">, C., Müller, A., Giraldo, D., Rios, D., Imbach, P., Girón, E., Portillo, F., Boni, A., van Etten, J., &amp; Ramírez-Villegas, J. (2019). A systematic approach to assess climate information products applied to agriculture and food security in Guatemala and Colombia. </w:t>
            </w:r>
            <w:r>
              <w:rPr>
                <w:rFonts w:asciiTheme="majorHAnsi" w:hAnsiTheme="majorHAnsi" w:cs="Times-Italic"/>
                <w:i/>
                <w:iCs/>
                <w:sz w:val="20"/>
                <w:szCs w:val="20"/>
                <w:lang w:val="en-US"/>
              </w:rPr>
              <w:t>Climate Services, 16</w:t>
            </w:r>
            <w:r>
              <w:rPr>
                <w:rFonts w:asciiTheme="majorHAnsi" w:hAnsiTheme="majorHAnsi" w:cs="Times-Roman"/>
                <w:sz w:val="20"/>
                <w:szCs w:val="20"/>
                <w:lang w:val="en-US"/>
              </w:rPr>
              <w:t xml:space="preserve">(100137). </w:t>
            </w:r>
            <w:hyperlink r:id="rId7" w:history="1">
              <w:r>
                <w:rPr>
                  <w:rStyle w:val="Hyperlink"/>
                  <w:rFonts w:cs="Times-Roman"/>
                  <w:color w:val="0000E9"/>
                  <w:sz w:val="20"/>
                  <w:szCs w:val="20"/>
                  <w:lang w:val="en-US"/>
                </w:rPr>
                <w:t>https://doi.org/10.1016/j.cliser.2019.100137</w:t>
              </w:r>
            </w:hyperlink>
          </w:p>
        </w:tc>
      </w:tr>
      <w:tr w:rsidR="004A32A2" w14:paraId="5E776144" w14:textId="77777777">
        <w:tc>
          <w:tcPr>
            <w:tcW w:w="966" w:type="dxa"/>
            <w:tcBorders>
              <w:top w:val="single" w:sz="4" w:space="0" w:color="auto"/>
              <w:left w:val="single" w:sz="4" w:space="0" w:color="auto"/>
              <w:bottom w:val="single" w:sz="4" w:space="0" w:color="auto"/>
              <w:right w:val="single" w:sz="4" w:space="0" w:color="auto"/>
            </w:tcBorders>
            <w:hideMark/>
          </w:tcPr>
          <w:p w14:paraId="13BEF48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5</w:t>
            </w:r>
          </w:p>
        </w:tc>
        <w:tc>
          <w:tcPr>
            <w:tcW w:w="8050" w:type="dxa"/>
            <w:tcBorders>
              <w:top w:val="single" w:sz="4" w:space="0" w:color="auto"/>
              <w:left w:val="single" w:sz="4" w:space="0" w:color="auto"/>
              <w:bottom w:val="single" w:sz="4" w:space="0" w:color="auto"/>
              <w:right w:val="single" w:sz="4" w:space="0" w:color="auto"/>
            </w:tcBorders>
            <w:hideMark/>
          </w:tcPr>
          <w:p w14:paraId="1FB78509"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Bremer, S., </w:t>
            </w:r>
            <w:proofErr w:type="spellStart"/>
            <w:r>
              <w:rPr>
                <w:rFonts w:asciiTheme="majorHAnsi" w:hAnsiTheme="majorHAnsi" w:cs="Times-Roman"/>
                <w:sz w:val="20"/>
                <w:szCs w:val="20"/>
                <w:lang w:val="en-US"/>
              </w:rPr>
              <w:t>Wardekker</w:t>
            </w:r>
            <w:proofErr w:type="spellEnd"/>
            <w:r>
              <w:rPr>
                <w:rFonts w:asciiTheme="majorHAnsi" w:hAnsiTheme="majorHAnsi" w:cs="Times-Roman"/>
                <w:sz w:val="20"/>
                <w:szCs w:val="20"/>
                <w:lang w:val="en-US"/>
              </w:rPr>
              <w:t xml:space="preserve">, A., </w:t>
            </w:r>
            <w:proofErr w:type="spellStart"/>
            <w:r>
              <w:rPr>
                <w:rFonts w:asciiTheme="majorHAnsi" w:hAnsiTheme="majorHAnsi" w:cs="Times-Roman"/>
                <w:sz w:val="20"/>
                <w:szCs w:val="20"/>
                <w:lang w:val="en-US"/>
              </w:rPr>
              <w:t>Dessai</w:t>
            </w:r>
            <w:proofErr w:type="spellEnd"/>
            <w:r>
              <w:rPr>
                <w:rFonts w:asciiTheme="majorHAnsi" w:hAnsiTheme="majorHAnsi" w:cs="Times-Roman"/>
                <w:sz w:val="20"/>
                <w:szCs w:val="20"/>
                <w:lang w:val="en-US"/>
              </w:rPr>
              <w:t xml:space="preserve">, S., Sobolowski, S., </w:t>
            </w:r>
            <w:proofErr w:type="spellStart"/>
            <w:r>
              <w:rPr>
                <w:rFonts w:asciiTheme="majorHAnsi" w:hAnsiTheme="majorHAnsi" w:cs="Times-Roman"/>
                <w:sz w:val="20"/>
                <w:szCs w:val="20"/>
                <w:lang w:val="en-US"/>
              </w:rPr>
              <w:t>Slaattelid</w:t>
            </w:r>
            <w:proofErr w:type="spellEnd"/>
            <w:r>
              <w:rPr>
                <w:rFonts w:asciiTheme="majorHAnsi" w:hAnsiTheme="majorHAnsi" w:cs="Times-Roman"/>
                <w:sz w:val="20"/>
                <w:szCs w:val="20"/>
                <w:lang w:val="en-US"/>
              </w:rPr>
              <w:t xml:space="preserve">, R., &amp; van der Sluijs, J. (2019). Toward a multi-faceted conception of co-production of climate services. </w:t>
            </w:r>
            <w:r>
              <w:rPr>
                <w:rFonts w:asciiTheme="majorHAnsi" w:hAnsiTheme="majorHAnsi" w:cs="Times-Italic"/>
                <w:i/>
                <w:iCs/>
                <w:sz w:val="20"/>
                <w:szCs w:val="20"/>
                <w:lang w:val="en-US"/>
              </w:rPr>
              <w:t>Climate Services, 13</w:t>
            </w:r>
            <w:r>
              <w:rPr>
                <w:rFonts w:asciiTheme="majorHAnsi" w:hAnsiTheme="majorHAnsi" w:cs="Times-Roman"/>
                <w:sz w:val="20"/>
                <w:szCs w:val="20"/>
                <w:lang w:val="en-US"/>
              </w:rPr>
              <w:t xml:space="preserve">, 42–50. </w:t>
            </w:r>
            <w:hyperlink r:id="rId8" w:history="1">
              <w:r>
                <w:rPr>
                  <w:rStyle w:val="Hyperlink"/>
                  <w:rFonts w:cs="Times-Roman"/>
                  <w:color w:val="0000E9"/>
                  <w:sz w:val="20"/>
                  <w:szCs w:val="20"/>
                  <w:lang w:val="en-US"/>
                </w:rPr>
                <w:t>https://doi.org/10.1016/j.cliser.2019.01.003</w:t>
              </w:r>
            </w:hyperlink>
          </w:p>
        </w:tc>
      </w:tr>
      <w:tr w:rsidR="004A32A2" w14:paraId="432F01DC" w14:textId="77777777">
        <w:tc>
          <w:tcPr>
            <w:tcW w:w="966" w:type="dxa"/>
            <w:tcBorders>
              <w:top w:val="single" w:sz="4" w:space="0" w:color="auto"/>
              <w:left w:val="single" w:sz="4" w:space="0" w:color="auto"/>
              <w:bottom w:val="single" w:sz="4" w:space="0" w:color="auto"/>
              <w:right w:val="single" w:sz="4" w:space="0" w:color="auto"/>
            </w:tcBorders>
            <w:hideMark/>
          </w:tcPr>
          <w:p w14:paraId="24DB53FB"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lastRenderedPageBreak/>
              <w:t>6</w:t>
            </w:r>
          </w:p>
        </w:tc>
        <w:tc>
          <w:tcPr>
            <w:tcW w:w="8050" w:type="dxa"/>
            <w:tcBorders>
              <w:top w:val="single" w:sz="4" w:space="0" w:color="auto"/>
              <w:left w:val="single" w:sz="4" w:space="0" w:color="auto"/>
              <w:bottom w:val="single" w:sz="4" w:space="0" w:color="auto"/>
              <w:right w:val="single" w:sz="4" w:space="0" w:color="auto"/>
            </w:tcBorders>
            <w:hideMark/>
          </w:tcPr>
          <w:p w14:paraId="0D319BB4"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Buontempo, C., Hanlon, H. M., Bruno Soares, M., Christel, I., </w:t>
            </w:r>
            <w:proofErr w:type="spellStart"/>
            <w:r>
              <w:rPr>
                <w:rFonts w:asciiTheme="majorHAnsi" w:hAnsiTheme="majorHAnsi" w:cs="Times-Roman"/>
                <w:sz w:val="20"/>
                <w:szCs w:val="20"/>
                <w:lang w:val="en-US"/>
              </w:rPr>
              <w:t>Soubeyroux</w:t>
            </w:r>
            <w:proofErr w:type="spellEnd"/>
            <w:r>
              <w:rPr>
                <w:rFonts w:asciiTheme="majorHAnsi" w:hAnsiTheme="majorHAnsi" w:cs="Times-Roman"/>
                <w:sz w:val="20"/>
                <w:szCs w:val="20"/>
                <w:lang w:val="en-US"/>
              </w:rPr>
              <w:t xml:space="preserve">, J. M., Viel, C., </w:t>
            </w:r>
            <w:proofErr w:type="spellStart"/>
            <w:r>
              <w:rPr>
                <w:rFonts w:asciiTheme="majorHAnsi" w:hAnsiTheme="majorHAnsi" w:cs="Times-Roman"/>
                <w:sz w:val="20"/>
                <w:szCs w:val="20"/>
                <w:lang w:val="en-US"/>
              </w:rPr>
              <w:t>Calmanti</w:t>
            </w:r>
            <w:proofErr w:type="spellEnd"/>
            <w:r>
              <w:rPr>
                <w:rFonts w:asciiTheme="majorHAnsi" w:hAnsiTheme="majorHAnsi" w:cs="Times-Roman"/>
                <w:sz w:val="20"/>
                <w:szCs w:val="20"/>
                <w:lang w:val="en-US"/>
              </w:rPr>
              <w:t xml:space="preserve">, S., Bosi, L., Falloon, P., Palin, E. J., </w:t>
            </w:r>
            <w:proofErr w:type="spellStart"/>
            <w:r>
              <w:rPr>
                <w:rFonts w:asciiTheme="majorHAnsi" w:hAnsiTheme="majorHAnsi" w:cs="Times-Roman"/>
                <w:sz w:val="20"/>
                <w:szCs w:val="20"/>
                <w:lang w:val="en-US"/>
              </w:rPr>
              <w:t>Vanvyve</w:t>
            </w:r>
            <w:proofErr w:type="spellEnd"/>
            <w:r>
              <w:rPr>
                <w:rFonts w:asciiTheme="majorHAnsi" w:hAnsiTheme="majorHAnsi" w:cs="Times-Roman"/>
                <w:sz w:val="20"/>
                <w:szCs w:val="20"/>
                <w:lang w:val="en-US"/>
              </w:rPr>
              <w:t>, E., Torralba, V., González-</w:t>
            </w:r>
            <w:proofErr w:type="spellStart"/>
            <w:r>
              <w:rPr>
                <w:rFonts w:asciiTheme="majorHAnsi" w:hAnsiTheme="majorHAnsi" w:cs="Times-Roman"/>
                <w:sz w:val="20"/>
                <w:szCs w:val="20"/>
                <w:lang w:val="en-US"/>
              </w:rPr>
              <w:t>Reviriego</w:t>
            </w:r>
            <w:proofErr w:type="spellEnd"/>
            <w:r>
              <w:rPr>
                <w:rFonts w:asciiTheme="majorHAnsi" w:hAnsiTheme="majorHAnsi" w:cs="Times-Roman"/>
                <w:sz w:val="20"/>
                <w:szCs w:val="20"/>
                <w:lang w:val="en-US"/>
              </w:rPr>
              <w:t xml:space="preserve">, N., </w:t>
            </w:r>
            <w:proofErr w:type="spellStart"/>
            <w:r>
              <w:rPr>
                <w:rFonts w:asciiTheme="majorHAnsi" w:hAnsiTheme="majorHAnsi" w:cs="Times-Roman"/>
                <w:sz w:val="20"/>
                <w:szCs w:val="20"/>
                <w:lang w:val="en-US"/>
              </w:rPr>
              <w:t>Doblas</w:t>
            </w:r>
            <w:proofErr w:type="spellEnd"/>
            <w:r>
              <w:rPr>
                <w:rFonts w:asciiTheme="majorHAnsi" w:hAnsiTheme="majorHAnsi" w:cs="Times-Roman"/>
                <w:sz w:val="20"/>
                <w:szCs w:val="20"/>
                <w:lang w:val="en-US"/>
              </w:rPr>
              <w:t xml:space="preserve">-Reyes, F., Pope, E. C. D., Newton, P., &amp; Liggins, F. (2018). What have we learnt from EUPORIAS climate service prototypes? </w:t>
            </w:r>
            <w:r>
              <w:rPr>
                <w:rFonts w:asciiTheme="majorHAnsi" w:hAnsiTheme="majorHAnsi" w:cs="Times-Italic"/>
                <w:i/>
                <w:iCs/>
                <w:sz w:val="20"/>
                <w:szCs w:val="20"/>
                <w:lang w:val="en-US"/>
              </w:rPr>
              <w:t>Climate Services, 9</w:t>
            </w:r>
            <w:r>
              <w:rPr>
                <w:rFonts w:asciiTheme="majorHAnsi" w:hAnsiTheme="majorHAnsi" w:cs="Times-Roman"/>
                <w:sz w:val="20"/>
                <w:szCs w:val="20"/>
                <w:lang w:val="en-US"/>
              </w:rPr>
              <w:t xml:space="preserve">, 21–32. </w:t>
            </w:r>
            <w:hyperlink r:id="rId9" w:history="1">
              <w:r>
                <w:rPr>
                  <w:rStyle w:val="Hyperlink"/>
                  <w:rFonts w:cs="Times-Roman"/>
                  <w:color w:val="0000E9"/>
                  <w:sz w:val="20"/>
                  <w:szCs w:val="20"/>
                  <w:lang w:val="en-US"/>
                </w:rPr>
                <w:t>https://doi.org/10.1016/j.cliser.2017.06.003</w:t>
              </w:r>
            </w:hyperlink>
          </w:p>
        </w:tc>
      </w:tr>
      <w:tr w:rsidR="004A32A2" w14:paraId="62B0A73B" w14:textId="77777777">
        <w:tc>
          <w:tcPr>
            <w:tcW w:w="966" w:type="dxa"/>
            <w:tcBorders>
              <w:top w:val="single" w:sz="4" w:space="0" w:color="auto"/>
              <w:left w:val="single" w:sz="4" w:space="0" w:color="auto"/>
              <w:bottom w:val="single" w:sz="4" w:space="0" w:color="auto"/>
              <w:right w:val="single" w:sz="4" w:space="0" w:color="auto"/>
            </w:tcBorders>
            <w:hideMark/>
          </w:tcPr>
          <w:p w14:paraId="7D673AF9"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7</w:t>
            </w:r>
          </w:p>
        </w:tc>
        <w:tc>
          <w:tcPr>
            <w:tcW w:w="8050" w:type="dxa"/>
            <w:tcBorders>
              <w:top w:val="single" w:sz="4" w:space="0" w:color="auto"/>
              <w:left w:val="single" w:sz="4" w:space="0" w:color="auto"/>
              <w:bottom w:val="single" w:sz="4" w:space="0" w:color="auto"/>
              <w:right w:val="single" w:sz="4" w:space="0" w:color="auto"/>
            </w:tcBorders>
            <w:hideMark/>
          </w:tcPr>
          <w:p w14:paraId="7C4E4B6E"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Buontempo, C., </w:t>
            </w:r>
            <w:proofErr w:type="spellStart"/>
            <w:r>
              <w:rPr>
                <w:rFonts w:asciiTheme="majorHAnsi" w:hAnsiTheme="majorHAnsi" w:cs="Times-Roman"/>
                <w:sz w:val="20"/>
                <w:szCs w:val="20"/>
                <w:lang w:val="en-US"/>
              </w:rPr>
              <w:t>Hutjes</w:t>
            </w:r>
            <w:proofErr w:type="spellEnd"/>
            <w:r>
              <w:rPr>
                <w:rFonts w:asciiTheme="majorHAnsi" w:hAnsiTheme="majorHAnsi" w:cs="Times-Roman"/>
                <w:sz w:val="20"/>
                <w:szCs w:val="20"/>
                <w:lang w:val="en-US"/>
              </w:rPr>
              <w:t xml:space="preserve">, R., Beavis, P., Berckmans, J., </w:t>
            </w:r>
            <w:proofErr w:type="spellStart"/>
            <w:r>
              <w:rPr>
                <w:rFonts w:asciiTheme="majorHAnsi" w:hAnsiTheme="majorHAnsi" w:cs="Times-Roman"/>
                <w:sz w:val="20"/>
                <w:szCs w:val="20"/>
                <w:lang w:val="en-US"/>
              </w:rPr>
              <w:t>Cagnazzo</w:t>
            </w:r>
            <w:proofErr w:type="spellEnd"/>
            <w:r>
              <w:rPr>
                <w:rFonts w:asciiTheme="majorHAnsi" w:hAnsiTheme="majorHAnsi" w:cs="Times-Roman"/>
                <w:sz w:val="20"/>
                <w:szCs w:val="20"/>
                <w:lang w:val="en-US"/>
              </w:rPr>
              <w:t xml:space="preserve">, C., </w:t>
            </w:r>
            <w:proofErr w:type="spellStart"/>
            <w:r>
              <w:rPr>
                <w:rFonts w:asciiTheme="majorHAnsi" w:hAnsiTheme="majorHAnsi" w:cs="Times-Roman"/>
                <w:sz w:val="20"/>
                <w:szCs w:val="20"/>
                <w:lang w:val="en-US"/>
              </w:rPr>
              <w:t>Vamborg</w:t>
            </w:r>
            <w:proofErr w:type="spellEnd"/>
            <w:r>
              <w:rPr>
                <w:rFonts w:asciiTheme="majorHAnsi" w:hAnsiTheme="majorHAnsi" w:cs="Times-Roman"/>
                <w:sz w:val="20"/>
                <w:szCs w:val="20"/>
                <w:lang w:val="en-US"/>
              </w:rPr>
              <w:t xml:space="preserve">, F., </w:t>
            </w:r>
            <w:proofErr w:type="spellStart"/>
            <w:r>
              <w:rPr>
                <w:rFonts w:asciiTheme="majorHAnsi" w:hAnsiTheme="majorHAnsi" w:cs="Times-Roman"/>
                <w:sz w:val="20"/>
                <w:szCs w:val="20"/>
                <w:lang w:val="en-US"/>
              </w:rPr>
              <w:t>Thépaut</w:t>
            </w:r>
            <w:proofErr w:type="spellEnd"/>
            <w:r>
              <w:rPr>
                <w:rFonts w:asciiTheme="majorHAnsi" w:hAnsiTheme="majorHAnsi" w:cs="Times-Roman"/>
                <w:sz w:val="20"/>
                <w:szCs w:val="20"/>
                <w:lang w:val="en-US"/>
              </w:rPr>
              <w:t xml:space="preserve">, J. N., Bergeron, C., Almond, S., Amici, A., Ramasamy, S., &amp; Dee, D. (2020). Fostering the development of climate services through Copernicus Climate Change Service (C3S) for agriculture applications. </w:t>
            </w:r>
            <w:r>
              <w:rPr>
                <w:rFonts w:asciiTheme="majorHAnsi" w:hAnsiTheme="majorHAnsi" w:cs="Times-Italic"/>
                <w:i/>
                <w:iCs/>
                <w:sz w:val="20"/>
                <w:szCs w:val="20"/>
                <w:lang w:val="en-US"/>
              </w:rPr>
              <w:t>Weather and Climate Extremes, 27</w:t>
            </w:r>
            <w:r>
              <w:rPr>
                <w:rFonts w:asciiTheme="majorHAnsi" w:hAnsiTheme="majorHAnsi" w:cs="Times-Roman"/>
                <w:sz w:val="20"/>
                <w:szCs w:val="20"/>
                <w:lang w:val="en-US"/>
              </w:rPr>
              <w:t xml:space="preserve">(100226). </w:t>
            </w:r>
            <w:hyperlink r:id="rId10" w:history="1">
              <w:r>
                <w:rPr>
                  <w:rStyle w:val="Hyperlink"/>
                  <w:rFonts w:cs="Times-Roman"/>
                  <w:color w:val="0000E9"/>
                  <w:sz w:val="20"/>
                  <w:szCs w:val="20"/>
                  <w:lang w:val="en-US"/>
                </w:rPr>
                <w:t>https://doi.org/10.1016/j.wace.2019.100226</w:t>
              </w:r>
            </w:hyperlink>
          </w:p>
        </w:tc>
      </w:tr>
      <w:tr w:rsidR="004A32A2" w14:paraId="1272C761" w14:textId="77777777">
        <w:tc>
          <w:tcPr>
            <w:tcW w:w="966" w:type="dxa"/>
            <w:tcBorders>
              <w:top w:val="single" w:sz="4" w:space="0" w:color="auto"/>
              <w:left w:val="single" w:sz="4" w:space="0" w:color="auto"/>
              <w:bottom w:val="single" w:sz="4" w:space="0" w:color="auto"/>
              <w:right w:val="single" w:sz="4" w:space="0" w:color="auto"/>
            </w:tcBorders>
            <w:hideMark/>
          </w:tcPr>
          <w:p w14:paraId="2E0C6E68"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8</w:t>
            </w:r>
          </w:p>
        </w:tc>
        <w:tc>
          <w:tcPr>
            <w:tcW w:w="8050" w:type="dxa"/>
            <w:tcBorders>
              <w:top w:val="single" w:sz="4" w:space="0" w:color="auto"/>
              <w:left w:val="single" w:sz="4" w:space="0" w:color="auto"/>
              <w:bottom w:val="single" w:sz="4" w:space="0" w:color="auto"/>
              <w:right w:val="single" w:sz="4" w:space="0" w:color="auto"/>
            </w:tcBorders>
            <w:hideMark/>
          </w:tcPr>
          <w:p w14:paraId="2DF45BCE"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Cantone, C., Ivars Grape, H., </w:t>
            </w:r>
            <w:proofErr w:type="spellStart"/>
            <w:r>
              <w:rPr>
                <w:rFonts w:asciiTheme="majorHAnsi" w:hAnsiTheme="majorHAnsi" w:cs="Times-Roman"/>
                <w:sz w:val="20"/>
                <w:szCs w:val="20"/>
                <w:lang w:val="en-US"/>
              </w:rPr>
              <w:t>el</w:t>
            </w:r>
            <w:proofErr w:type="spellEnd"/>
            <w:r>
              <w:rPr>
                <w:rFonts w:asciiTheme="majorHAnsi" w:hAnsiTheme="majorHAnsi" w:cs="Times-Roman"/>
                <w:sz w:val="20"/>
                <w:szCs w:val="20"/>
                <w:lang w:val="en-US"/>
              </w:rPr>
              <w:t xml:space="preserve"> Habash, S., &amp; </w:t>
            </w:r>
            <w:proofErr w:type="spellStart"/>
            <w:r>
              <w:rPr>
                <w:rFonts w:asciiTheme="majorHAnsi" w:hAnsiTheme="majorHAnsi" w:cs="Times-Roman"/>
                <w:sz w:val="20"/>
                <w:szCs w:val="20"/>
                <w:lang w:val="en-US"/>
              </w:rPr>
              <w:t>Pechlivanidis</w:t>
            </w:r>
            <w:proofErr w:type="spellEnd"/>
            <w:r>
              <w:rPr>
                <w:rFonts w:asciiTheme="majorHAnsi" w:hAnsiTheme="majorHAnsi" w:cs="Times-Roman"/>
                <w:sz w:val="20"/>
                <w:szCs w:val="20"/>
                <w:lang w:val="en-US"/>
              </w:rPr>
              <w:t xml:space="preserve">, I. G. (2023). A co-generation success story: Improving drinking water management through hydro-climate services. </w:t>
            </w:r>
            <w:r>
              <w:rPr>
                <w:rFonts w:asciiTheme="majorHAnsi" w:hAnsiTheme="majorHAnsi" w:cs="Times-Italic"/>
                <w:i/>
                <w:iCs/>
                <w:sz w:val="20"/>
                <w:szCs w:val="20"/>
                <w:lang w:val="en-US"/>
              </w:rPr>
              <w:t>Climate Services, 31</w:t>
            </w:r>
            <w:r>
              <w:rPr>
                <w:rFonts w:asciiTheme="majorHAnsi" w:hAnsiTheme="majorHAnsi" w:cs="Times-Roman"/>
                <w:sz w:val="20"/>
                <w:szCs w:val="20"/>
                <w:lang w:val="en-US"/>
              </w:rPr>
              <w:t xml:space="preserve">(100399). </w:t>
            </w:r>
            <w:hyperlink r:id="rId11" w:history="1">
              <w:r>
                <w:rPr>
                  <w:rStyle w:val="Hyperlink"/>
                  <w:rFonts w:cs="Times-Roman"/>
                  <w:color w:val="0000E9"/>
                  <w:sz w:val="20"/>
                  <w:szCs w:val="20"/>
                  <w:lang w:val="en-US"/>
                </w:rPr>
                <w:t>https://doi.org/10.1016/j.cliser.2023.100399</w:t>
              </w:r>
            </w:hyperlink>
          </w:p>
        </w:tc>
      </w:tr>
      <w:tr w:rsidR="004A32A2" w14:paraId="00D0092C" w14:textId="77777777">
        <w:tc>
          <w:tcPr>
            <w:tcW w:w="966" w:type="dxa"/>
            <w:tcBorders>
              <w:top w:val="single" w:sz="4" w:space="0" w:color="auto"/>
              <w:left w:val="single" w:sz="4" w:space="0" w:color="auto"/>
              <w:bottom w:val="single" w:sz="4" w:space="0" w:color="auto"/>
              <w:right w:val="single" w:sz="4" w:space="0" w:color="auto"/>
            </w:tcBorders>
            <w:hideMark/>
          </w:tcPr>
          <w:p w14:paraId="58578A09"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9</w:t>
            </w:r>
          </w:p>
        </w:tc>
        <w:tc>
          <w:tcPr>
            <w:tcW w:w="8050" w:type="dxa"/>
            <w:tcBorders>
              <w:top w:val="single" w:sz="4" w:space="0" w:color="auto"/>
              <w:left w:val="single" w:sz="4" w:space="0" w:color="auto"/>
              <w:bottom w:val="single" w:sz="4" w:space="0" w:color="auto"/>
              <w:right w:val="single" w:sz="4" w:space="0" w:color="auto"/>
            </w:tcBorders>
            <w:hideMark/>
          </w:tcPr>
          <w:p w14:paraId="31576525"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Carr, E. R., &amp; </w:t>
            </w:r>
            <w:proofErr w:type="spellStart"/>
            <w:r>
              <w:rPr>
                <w:rFonts w:asciiTheme="majorHAnsi" w:hAnsiTheme="majorHAnsi" w:cs="Times-Roman"/>
                <w:sz w:val="20"/>
                <w:szCs w:val="20"/>
                <w:lang w:val="en-US"/>
              </w:rPr>
              <w:t>Onzere</w:t>
            </w:r>
            <w:proofErr w:type="spellEnd"/>
            <w:r>
              <w:rPr>
                <w:rFonts w:asciiTheme="majorHAnsi" w:hAnsiTheme="majorHAnsi" w:cs="Times-Roman"/>
                <w:sz w:val="20"/>
                <w:szCs w:val="20"/>
                <w:lang w:val="en-US"/>
              </w:rPr>
              <w:t xml:space="preserve">, S. N. (2018). Really effective (for 15% of the men): Lessons in understanding and addressing user needs in climate services from Mali. </w:t>
            </w:r>
            <w:r>
              <w:rPr>
                <w:rFonts w:asciiTheme="majorHAnsi" w:hAnsiTheme="majorHAnsi" w:cs="Times-Italic"/>
                <w:i/>
                <w:iCs/>
                <w:sz w:val="20"/>
                <w:szCs w:val="20"/>
                <w:lang w:val="en-US"/>
              </w:rPr>
              <w:t>Climate Risk Management, 22</w:t>
            </w:r>
            <w:r>
              <w:rPr>
                <w:rFonts w:asciiTheme="majorHAnsi" w:hAnsiTheme="majorHAnsi" w:cs="Times-Roman"/>
                <w:sz w:val="20"/>
                <w:szCs w:val="20"/>
                <w:lang w:val="en-US"/>
              </w:rPr>
              <w:t xml:space="preserve">, 82–95. </w:t>
            </w:r>
            <w:hyperlink r:id="rId12" w:history="1">
              <w:r>
                <w:rPr>
                  <w:rStyle w:val="Hyperlink"/>
                  <w:rFonts w:cs="Times-Roman"/>
                  <w:color w:val="0000E9"/>
                  <w:sz w:val="20"/>
                  <w:szCs w:val="20"/>
                  <w:lang w:val="en-US"/>
                </w:rPr>
                <w:t>https://doi.org/10.1016/j.crm.2017.03.002</w:t>
              </w:r>
            </w:hyperlink>
          </w:p>
        </w:tc>
      </w:tr>
      <w:tr w:rsidR="004A32A2" w14:paraId="67D322FC" w14:textId="77777777">
        <w:tc>
          <w:tcPr>
            <w:tcW w:w="966" w:type="dxa"/>
            <w:tcBorders>
              <w:top w:val="single" w:sz="4" w:space="0" w:color="auto"/>
              <w:left w:val="single" w:sz="4" w:space="0" w:color="auto"/>
              <w:bottom w:val="single" w:sz="4" w:space="0" w:color="auto"/>
              <w:right w:val="single" w:sz="4" w:space="0" w:color="auto"/>
            </w:tcBorders>
            <w:hideMark/>
          </w:tcPr>
          <w:p w14:paraId="47FC907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10</w:t>
            </w:r>
          </w:p>
        </w:tc>
        <w:tc>
          <w:tcPr>
            <w:tcW w:w="8050" w:type="dxa"/>
            <w:tcBorders>
              <w:top w:val="single" w:sz="4" w:space="0" w:color="auto"/>
              <w:left w:val="single" w:sz="4" w:space="0" w:color="auto"/>
              <w:bottom w:val="single" w:sz="4" w:space="0" w:color="auto"/>
              <w:right w:val="single" w:sz="4" w:space="0" w:color="auto"/>
            </w:tcBorders>
            <w:hideMark/>
          </w:tcPr>
          <w:p w14:paraId="3F3ED08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Ceglar, A., </w:t>
            </w:r>
            <w:proofErr w:type="spellStart"/>
            <w:r>
              <w:rPr>
                <w:rFonts w:asciiTheme="majorHAnsi" w:hAnsiTheme="majorHAnsi" w:cs="Times-Roman"/>
                <w:sz w:val="20"/>
                <w:szCs w:val="20"/>
                <w:lang w:val="en-US"/>
              </w:rPr>
              <w:t>Toreti</w:t>
            </w:r>
            <w:proofErr w:type="spellEnd"/>
            <w:r>
              <w:rPr>
                <w:rFonts w:asciiTheme="majorHAnsi" w:hAnsiTheme="majorHAnsi" w:cs="Times-Roman"/>
                <w:sz w:val="20"/>
                <w:szCs w:val="20"/>
                <w:lang w:val="en-US"/>
              </w:rPr>
              <w:t xml:space="preserve">, A., Zampieri, M., </w:t>
            </w:r>
            <w:proofErr w:type="spellStart"/>
            <w:r>
              <w:rPr>
                <w:rFonts w:asciiTheme="majorHAnsi" w:hAnsiTheme="majorHAnsi" w:cs="Times-Roman"/>
                <w:sz w:val="20"/>
                <w:szCs w:val="20"/>
                <w:lang w:val="en-US"/>
              </w:rPr>
              <w:t>Manstretta</w:t>
            </w:r>
            <w:proofErr w:type="spellEnd"/>
            <w:r>
              <w:rPr>
                <w:rFonts w:asciiTheme="majorHAnsi" w:hAnsiTheme="majorHAnsi" w:cs="Times-Roman"/>
                <w:sz w:val="20"/>
                <w:szCs w:val="20"/>
                <w:lang w:val="en-US"/>
              </w:rPr>
              <w:t xml:space="preserve">, V., Bettati, T., &amp; Bratu, M. (2020). </w:t>
            </w:r>
            <w:proofErr w:type="spellStart"/>
            <w:r>
              <w:rPr>
                <w:rFonts w:asciiTheme="majorHAnsi" w:hAnsiTheme="majorHAnsi" w:cs="Times-Roman"/>
                <w:sz w:val="20"/>
                <w:szCs w:val="20"/>
                <w:lang w:val="en-US"/>
              </w:rPr>
              <w:t>Clisagri</w:t>
            </w:r>
            <w:proofErr w:type="spellEnd"/>
            <w:r>
              <w:rPr>
                <w:rFonts w:asciiTheme="majorHAnsi" w:hAnsiTheme="majorHAnsi" w:cs="Times-Roman"/>
                <w:sz w:val="20"/>
                <w:szCs w:val="20"/>
                <w:lang w:val="en-US"/>
              </w:rPr>
              <w:t xml:space="preserve">: An R package for </w:t>
            </w:r>
            <w:proofErr w:type="spellStart"/>
            <w:r>
              <w:rPr>
                <w:rFonts w:asciiTheme="majorHAnsi" w:hAnsiTheme="majorHAnsi" w:cs="Times-Roman"/>
                <w:sz w:val="20"/>
                <w:szCs w:val="20"/>
                <w:lang w:val="en-US"/>
              </w:rPr>
              <w:t>agro</w:t>
            </w:r>
            <w:proofErr w:type="spellEnd"/>
            <w:r>
              <w:rPr>
                <w:rFonts w:asciiTheme="majorHAnsi" w:hAnsiTheme="majorHAnsi" w:cs="Times-Roman"/>
                <w:sz w:val="20"/>
                <w:szCs w:val="20"/>
                <w:lang w:val="en-US"/>
              </w:rPr>
              <w:t xml:space="preserve">-climate services. </w:t>
            </w:r>
            <w:r>
              <w:rPr>
                <w:rFonts w:asciiTheme="majorHAnsi" w:hAnsiTheme="majorHAnsi" w:cs="Times-Italic"/>
                <w:i/>
                <w:iCs/>
                <w:sz w:val="20"/>
                <w:szCs w:val="20"/>
                <w:lang w:val="en-US"/>
              </w:rPr>
              <w:t>Climate Services, 20</w:t>
            </w:r>
            <w:r>
              <w:rPr>
                <w:rFonts w:asciiTheme="majorHAnsi" w:hAnsiTheme="majorHAnsi" w:cs="Times-Roman"/>
                <w:sz w:val="20"/>
                <w:szCs w:val="20"/>
                <w:lang w:val="en-US"/>
              </w:rPr>
              <w:t xml:space="preserve">(100197). </w:t>
            </w:r>
            <w:hyperlink r:id="rId13" w:history="1">
              <w:r>
                <w:rPr>
                  <w:rStyle w:val="Hyperlink"/>
                  <w:rFonts w:cs="Times-Roman"/>
                  <w:color w:val="0000E9"/>
                  <w:sz w:val="20"/>
                  <w:szCs w:val="20"/>
                  <w:lang w:val="en-US"/>
                </w:rPr>
                <w:t>https://doi.org/10.1016/j.cliser.2020.100197</w:t>
              </w:r>
            </w:hyperlink>
          </w:p>
        </w:tc>
      </w:tr>
      <w:tr w:rsidR="004A32A2" w14:paraId="1B144946" w14:textId="77777777">
        <w:tc>
          <w:tcPr>
            <w:tcW w:w="966" w:type="dxa"/>
            <w:tcBorders>
              <w:top w:val="single" w:sz="4" w:space="0" w:color="auto"/>
              <w:left w:val="single" w:sz="4" w:space="0" w:color="auto"/>
              <w:bottom w:val="single" w:sz="4" w:space="0" w:color="auto"/>
              <w:right w:val="single" w:sz="4" w:space="0" w:color="auto"/>
            </w:tcBorders>
            <w:hideMark/>
          </w:tcPr>
          <w:p w14:paraId="29F20A1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11</w:t>
            </w:r>
          </w:p>
        </w:tc>
        <w:tc>
          <w:tcPr>
            <w:tcW w:w="8050" w:type="dxa"/>
            <w:tcBorders>
              <w:top w:val="single" w:sz="4" w:space="0" w:color="auto"/>
              <w:left w:val="single" w:sz="4" w:space="0" w:color="auto"/>
              <w:bottom w:val="single" w:sz="4" w:space="0" w:color="auto"/>
              <w:right w:val="single" w:sz="4" w:space="0" w:color="auto"/>
            </w:tcBorders>
            <w:hideMark/>
          </w:tcPr>
          <w:p w14:paraId="457B024E"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Christel, I., </w:t>
            </w:r>
            <w:proofErr w:type="spellStart"/>
            <w:r>
              <w:rPr>
                <w:rFonts w:asciiTheme="majorHAnsi" w:hAnsiTheme="majorHAnsi" w:cs="Times-Roman"/>
                <w:sz w:val="20"/>
                <w:szCs w:val="20"/>
                <w:lang w:val="en-US"/>
              </w:rPr>
              <w:t>Hemment</w:t>
            </w:r>
            <w:proofErr w:type="spellEnd"/>
            <w:r>
              <w:rPr>
                <w:rFonts w:asciiTheme="majorHAnsi" w:hAnsiTheme="majorHAnsi" w:cs="Times-Roman"/>
                <w:sz w:val="20"/>
                <w:szCs w:val="20"/>
                <w:lang w:val="en-US"/>
              </w:rPr>
              <w:t xml:space="preserve">, D., Bojovic, D., </w:t>
            </w:r>
            <w:proofErr w:type="spellStart"/>
            <w:r>
              <w:rPr>
                <w:rFonts w:asciiTheme="majorHAnsi" w:hAnsiTheme="majorHAnsi" w:cs="Times-Roman"/>
                <w:sz w:val="20"/>
                <w:szCs w:val="20"/>
                <w:lang w:val="en-US"/>
              </w:rPr>
              <w:t>Cucchietti</w:t>
            </w:r>
            <w:proofErr w:type="spellEnd"/>
            <w:r>
              <w:rPr>
                <w:rFonts w:asciiTheme="majorHAnsi" w:hAnsiTheme="majorHAnsi" w:cs="Times-Roman"/>
                <w:sz w:val="20"/>
                <w:szCs w:val="20"/>
                <w:lang w:val="en-US"/>
              </w:rPr>
              <w:t xml:space="preserve">, F., Calvo, L., </w:t>
            </w:r>
            <w:proofErr w:type="spellStart"/>
            <w:r>
              <w:rPr>
                <w:rFonts w:asciiTheme="majorHAnsi" w:hAnsiTheme="majorHAnsi" w:cs="Times-Roman"/>
                <w:sz w:val="20"/>
                <w:szCs w:val="20"/>
                <w:lang w:val="en-US"/>
              </w:rPr>
              <w:t>Stefaner</w:t>
            </w:r>
            <w:proofErr w:type="spellEnd"/>
            <w:r>
              <w:rPr>
                <w:rFonts w:asciiTheme="majorHAnsi" w:hAnsiTheme="majorHAnsi" w:cs="Times-Roman"/>
                <w:sz w:val="20"/>
                <w:szCs w:val="20"/>
                <w:lang w:val="en-US"/>
              </w:rPr>
              <w:t xml:space="preserve">, M., &amp; Buontempo, C. (2018). Introducing design in the development of effective climate services. </w:t>
            </w:r>
            <w:r>
              <w:rPr>
                <w:rFonts w:asciiTheme="majorHAnsi" w:hAnsiTheme="majorHAnsi" w:cs="Times-Italic"/>
                <w:i/>
                <w:iCs/>
                <w:sz w:val="20"/>
                <w:szCs w:val="20"/>
                <w:lang w:val="en-US"/>
              </w:rPr>
              <w:t>Climate Services, 9</w:t>
            </w:r>
            <w:r>
              <w:rPr>
                <w:rFonts w:asciiTheme="majorHAnsi" w:hAnsiTheme="majorHAnsi" w:cs="Times-Roman"/>
                <w:sz w:val="20"/>
                <w:szCs w:val="20"/>
                <w:lang w:val="en-US"/>
              </w:rPr>
              <w:t xml:space="preserve">, 111–121. </w:t>
            </w:r>
            <w:hyperlink r:id="rId14" w:history="1">
              <w:r>
                <w:rPr>
                  <w:rStyle w:val="Hyperlink"/>
                  <w:rFonts w:cs="Times-Roman"/>
                  <w:color w:val="0000E9"/>
                  <w:sz w:val="20"/>
                  <w:szCs w:val="20"/>
                  <w:lang w:val="en-US"/>
                </w:rPr>
                <w:t>https://doi.org/10.1016/j.cliser.2017.06.002</w:t>
              </w:r>
            </w:hyperlink>
          </w:p>
        </w:tc>
      </w:tr>
      <w:tr w:rsidR="004A32A2" w14:paraId="60320657" w14:textId="77777777">
        <w:tc>
          <w:tcPr>
            <w:tcW w:w="966" w:type="dxa"/>
            <w:tcBorders>
              <w:top w:val="single" w:sz="4" w:space="0" w:color="auto"/>
              <w:left w:val="single" w:sz="4" w:space="0" w:color="auto"/>
              <w:bottom w:val="single" w:sz="4" w:space="0" w:color="auto"/>
              <w:right w:val="single" w:sz="4" w:space="0" w:color="auto"/>
            </w:tcBorders>
            <w:hideMark/>
          </w:tcPr>
          <w:p w14:paraId="744BBB39"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12</w:t>
            </w:r>
          </w:p>
        </w:tc>
        <w:tc>
          <w:tcPr>
            <w:tcW w:w="8050" w:type="dxa"/>
            <w:tcBorders>
              <w:top w:val="single" w:sz="4" w:space="0" w:color="auto"/>
              <w:left w:val="single" w:sz="4" w:space="0" w:color="auto"/>
              <w:bottom w:val="single" w:sz="4" w:space="0" w:color="auto"/>
              <w:right w:val="single" w:sz="4" w:space="0" w:color="auto"/>
            </w:tcBorders>
            <w:hideMark/>
          </w:tcPr>
          <w:p w14:paraId="185A6DC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Clifford, K. R., Travis, W. R., &amp; Nordgren, L. T. (2020). A climate knowledges approach to climate services. </w:t>
            </w:r>
            <w:r>
              <w:rPr>
                <w:rFonts w:asciiTheme="majorHAnsi" w:hAnsiTheme="majorHAnsi" w:cs="Times-Italic"/>
                <w:i/>
                <w:iCs/>
                <w:sz w:val="20"/>
                <w:szCs w:val="20"/>
                <w:lang w:val="en-US"/>
              </w:rPr>
              <w:t>Climate Services, 18</w:t>
            </w:r>
            <w:r>
              <w:rPr>
                <w:rFonts w:asciiTheme="majorHAnsi" w:hAnsiTheme="majorHAnsi" w:cs="Times-Roman"/>
                <w:sz w:val="20"/>
                <w:szCs w:val="20"/>
                <w:lang w:val="en-US"/>
              </w:rPr>
              <w:t xml:space="preserve">(100155). </w:t>
            </w:r>
            <w:hyperlink r:id="rId15" w:history="1">
              <w:r>
                <w:rPr>
                  <w:rStyle w:val="Hyperlink"/>
                  <w:rFonts w:cs="Times-Roman"/>
                  <w:color w:val="0000E9"/>
                  <w:sz w:val="20"/>
                  <w:szCs w:val="20"/>
                  <w:lang w:val="en-US"/>
                </w:rPr>
                <w:t>https://doi.org/10.1016/j.cliser.2020.100155</w:t>
              </w:r>
            </w:hyperlink>
          </w:p>
        </w:tc>
      </w:tr>
      <w:tr w:rsidR="004A32A2" w14:paraId="44629B6C" w14:textId="77777777">
        <w:tc>
          <w:tcPr>
            <w:tcW w:w="966" w:type="dxa"/>
            <w:tcBorders>
              <w:top w:val="single" w:sz="4" w:space="0" w:color="auto"/>
              <w:left w:val="single" w:sz="4" w:space="0" w:color="auto"/>
              <w:bottom w:val="single" w:sz="4" w:space="0" w:color="auto"/>
              <w:right w:val="single" w:sz="4" w:space="0" w:color="auto"/>
            </w:tcBorders>
            <w:hideMark/>
          </w:tcPr>
          <w:p w14:paraId="7A2A2765"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13</w:t>
            </w:r>
          </w:p>
        </w:tc>
        <w:tc>
          <w:tcPr>
            <w:tcW w:w="8050" w:type="dxa"/>
            <w:tcBorders>
              <w:top w:val="single" w:sz="4" w:space="0" w:color="auto"/>
              <w:left w:val="single" w:sz="4" w:space="0" w:color="auto"/>
              <w:bottom w:val="single" w:sz="4" w:space="0" w:color="auto"/>
              <w:right w:val="single" w:sz="4" w:space="0" w:color="auto"/>
            </w:tcBorders>
            <w:hideMark/>
          </w:tcPr>
          <w:p w14:paraId="3E364E32" w14:textId="77777777" w:rsidR="004A32A2" w:rsidRDefault="004A32A2">
            <w:pPr>
              <w:spacing w:after="0" w:line="276" w:lineRule="auto"/>
              <w:ind w:firstLine="0"/>
              <w:rPr>
                <w:rFonts w:asciiTheme="majorHAnsi" w:hAnsiTheme="majorHAnsi"/>
                <w:sz w:val="20"/>
                <w:szCs w:val="20"/>
              </w:rPr>
            </w:pPr>
            <w:proofErr w:type="spellStart"/>
            <w:r>
              <w:rPr>
                <w:rFonts w:asciiTheme="majorHAnsi" w:hAnsiTheme="majorHAnsi" w:cs="Times-Roman"/>
                <w:sz w:val="20"/>
                <w:szCs w:val="20"/>
                <w:lang w:val="en-US"/>
              </w:rPr>
              <w:t>Cortekar</w:t>
            </w:r>
            <w:proofErr w:type="spellEnd"/>
            <w:r>
              <w:rPr>
                <w:rFonts w:asciiTheme="majorHAnsi" w:hAnsiTheme="majorHAnsi" w:cs="Times-Roman"/>
                <w:sz w:val="20"/>
                <w:szCs w:val="20"/>
                <w:lang w:val="en-US"/>
              </w:rPr>
              <w:t xml:space="preserve">, J., Bender, S., Brune, M., &amp; </w:t>
            </w:r>
            <w:proofErr w:type="spellStart"/>
            <w:r>
              <w:rPr>
                <w:rFonts w:asciiTheme="majorHAnsi" w:hAnsiTheme="majorHAnsi" w:cs="Times-Roman"/>
                <w:sz w:val="20"/>
                <w:szCs w:val="20"/>
                <w:lang w:val="en-US"/>
              </w:rPr>
              <w:t>Groth</w:t>
            </w:r>
            <w:proofErr w:type="spellEnd"/>
            <w:r>
              <w:rPr>
                <w:rFonts w:asciiTheme="majorHAnsi" w:hAnsiTheme="majorHAnsi" w:cs="Times-Roman"/>
                <w:sz w:val="20"/>
                <w:szCs w:val="20"/>
                <w:lang w:val="en-US"/>
              </w:rPr>
              <w:t xml:space="preserve">, M. (2016). Why climate change adaptation in cities needs </w:t>
            </w:r>
            <w:proofErr w:type="spellStart"/>
            <w:r>
              <w:rPr>
                <w:rFonts w:asciiTheme="majorHAnsi" w:hAnsiTheme="majorHAnsi" w:cs="Times-Roman"/>
                <w:sz w:val="20"/>
                <w:szCs w:val="20"/>
                <w:lang w:val="en-US"/>
              </w:rPr>
              <w:t>customised</w:t>
            </w:r>
            <w:proofErr w:type="spellEnd"/>
            <w:r>
              <w:rPr>
                <w:rFonts w:asciiTheme="majorHAnsi" w:hAnsiTheme="majorHAnsi" w:cs="Times-Roman"/>
                <w:sz w:val="20"/>
                <w:szCs w:val="20"/>
                <w:lang w:val="en-US"/>
              </w:rPr>
              <w:t xml:space="preserve"> and flexible climate services. </w:t>
            </w:r>
            <w:r>
              <w:rPr>
                <w:rFonts w:asciiTheme="majorHAnsi" w:hAnsiTheme="majorHAnsi" w:cs="Times-Italic"/>
                <w:i/>
                <w:iCs/>
                <w:sz w:val="20"/>
                <w:szCs w:val="20"/>
                <w:lang w:val="en-US"/>
              </w:rPr>
              <w:t>Climate Services, 4</w:t>
            </w:r>
            <w:r>
              <w:rPr>
                <w:rFonts w:asciiTheme="majorHAnsi" w:hAnsiTheme="majorHAnsi" w:cs="Times-Roman"/>
                <w:sz w:val="20"/>
                <w:szCs w:val="20"/>
                <w:lang w:val="en-US"/>
              </w:rPr>
              <w:t xml:space="preserve">, 42–51. </w:t>
            </w:r>
            <w:hyperlink r:id="rId16" w:history="1">
              <w:r>
                <w:rPr>
                  <w:rStyle w:val="Hyperlink"/>
                  <w:rFonts w:cs="Times-Roman"/>
                  <w:color w:val="0000E9"/>
                  <w:sz w:val="20"/>
                  <w:szCs w:val="20"/>
                  <w:lang w:val="en-US"/>
                </w:rPr>
                <w:t>https://doi.org/10.1016/j.cliser.2016.11.002</w:t>
              </w:r>
            </w:hyperlink>
          </w:p>
        </w:tc>
      </w:tr>
      <w:tr w:rsidR="004A32A2" w14:paraId="08F0B756" w14:textId="77777777">
        <w:tc>
          <w:tcPr>
            <w:tcW w:w="966" w:type="dxa"/>
            <w:tcBorders>
              <w:top w:val="single" w:sz="4" w:space="0" w:color="auto"/>
              <w:left w:val="single" w:sz="4" w:space="0" w:color="auto"/>
              <w:bottom w:val="single" w:sz="4" w:space="0" w:color="auto"/>
              <w:right w:val="single" w:sz="4" w:space="0" w:color="auto"/>
            </w:tcBorders>
            <w:hideMark/>
          </w:tcPr>
          <w:p w14:paraId="15F14E1C"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14</w:t>
            </w:r>
          </w:p>
        </w:tc>
        <w:tc>
          <w:tcPr>
            <w:tcW w:w="8050" w:type="dxa"/>
            <w:tcBorders>
              <w:top w:val="single" w:sz="4" w:space="0" w:color="auto"/>
              <w:left w:val="single" w:sz="4" w:space="0" w:color="auto"/>
              <w:bottom w:val="single" w:sz="4" w:space="0" w:color="auto"/>
              <w:right w:val="single" w:sz="4" w:space="0" w:color="auto"/>
            </w:tcBorders>
            <w:hideMark/>
          </w:tcPr>
          <w:p w14:paraId="654E53C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Daniels, E., Bharwani, S., Gerger </w:t>
            </w:r>
            <w:proofErr w:type="gramStart"/>
            <w:r>
              <w:rPr>
                <w:rFonts w:asciiTheme="majorHAnsi" w:hAnsiTheme="majorHAnsi" w:cs="Times-Roman"/>
                <w:sz w:val="20"/>
                <w:szCs w:val="20"/>
                <w:lang w:val="en-US"/>
              </w:rPr>
              <w:t>Swartling, Å.</w:t>
            </w:r>
            <w:proofErr w:type="gramEnd"/>
            <w:r>
              <w:rPr>
                <w:rFonts w:asciiTheme="majorHAnsi" w:hAnsiTheme="majorHAnsi" w:cs="Times-Roman"/>
                <w:sz w:val="20"/>
                <w:szCs w:val="20"/>
                <w:lang w:val="en-US"/>
              </w:rPr>
              <w:t xml:space="preserve">, </w:t>
            </w:r>
            <w:proofErr w:type="spellStart"/>
            <w:r>
              <w:rPr>
                <w:rFonts w:asciiTheme="majorHAnsi" w:hAnsiTheme="majorHAnsi" w:cs="Times-Roman"/>
                <w:sz w:val="20"/>
                <w:szCs w:val="20"/>
                <w:lang w:val="en-US"/>
              </w:rPr>
              <w:t>Vulturius</w:t>
            </w:r>
            <w:proofErr w:type="spellEnd"/>
            <w:r>
              <w:rPr>
                <w:rFonts w:asciiTheme="majorHAnsi" w:hAnsiTheme="majorHAnsi" w:cs="Times-Roman"/>
                <w:sz w:val="20"/>
                <w:szCs w:val="20"/>
                <w:lang w:val="en-US"/>
              </w:rPr>
              <w:t xml:space="preserve">, G., &amp; Brandon, K. (2020). Refocusing the climate services lens: Introducing a framework for co-designing transdisciplinary knowledge integration processes to build climate resilience. </w:t>
            </w:r>
            <w:r>
              <w:rPr>
                <w:rFonts w:asciiTheme="majorHAnsi" w:hAnsiTheme="majorHAnsi" w:cs="Times-Italic"/>
                <w:i/>
                <w:iCs/>
                <w:sz w:val="20"/>
                <w:szCs w:val="20"/>
                <w:lang w:val="en-US"/>
              </w:rPr>
              <w:t>Climate Services, 19</w:t>
            </w:r>
            <w:r>
              <w:rPr>
                <w:rFonts w:asciiTheme="majorHAnsi" w:hAnsiTheme="majorHAnsi" w:cs="Times-Roman"/>
                <w:sz w:val="20"/>
                <w:szCs w:val="20"/>
                <w:lang w:val="en-US"/>
              </w:rPr>
              <w:t xml:space="preserve">(100181). </w:t>
            </w:r>
            <w:hyperlink r:id="rId17" w:history="1">
              <w:r>
                <w:rPr>
                  <w:rStyle w:val="Hyperlink"/>
                  <w:rFonts w:cs="Times-Roman"/>
                  <w:color w:val="0000E9"/>
                  <w:sz w:val="20"/>
                  <w:szCs w:val="20"/>
                  <w:lang w:val="en-US"/>
                </w:rPr>
                <w:t>https://doi.org/10.1016/j.cliser.2020.100181</w:t>
              </w:r>
            </w:hyperlink>
          </w:p>
        </w:tc>
      </w:tr>
      <w:tr w:rsidR="004A32A2" w14:paraId="7D41B009" w14:textId="77777777">
        <w:tc>
          <w:tcPr>
            <w:tcW w:w="966" w:type="dxa"/>
            <w:tcBorders>
              <w:top w:val="single" w:sz="4" w:space="0" w:color="auto"/>
              <w:left w:val="single" w:sz="4" w:space="0" w:color="auto"/>
              <w:bottom w:val="single" w:sz="4" w:space="0" w:color="auto"/>
              <w:right w:val="single" w:sz="4" w:space="0" w:color="auto"/>
            </w:tcBorders>
            <w:hideMark/>
          </w:tcPr>
          <w:p w14:paraId="15B62102"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15</w:t>
            </w:r>
          </w:p>
        </w:tc>
        <w:tc>
          <w:tcPr>
            <w:tcW w:w="8050" w:type="dxa"/>
            <w:tcBorders>
              <w:top w:val="single" w:sz="4" w:space="0" w:color="auto"/>
              <w:left w:val="single" w:sz="4" w:space="0" w:color="auto"/>
              <w:bottom w:val="single" w:sz="4" w:space="0" w:color="auto"/>
              <w:right w:val="single" w:sz="4" w:space="0" w:color="auto"/>
            </w:tcBorders>
            <w:hideMark/>
          </w:tcPr>
          <w:p w14:paraId="071CF723"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Delena, R. D., </w:t>
            </w:r>
            <w:proofErr w:type="spellStart"/>
            <w:r>
              <w:rPr>
                <w:rFonts w:asciiTheme="majorHAnsi" w:hAnsiTheme="majorHAnsi" w:cs="Times-Roman"/>
                <w:sz w:val="20"/>
                <w:szCs w:val="20"/>
                <w:lang w:val="en-US"/>
              </w:rPr>
              <w:t>Tangkeo</w:t>
            </w:r>
            <w:proofErr w:type="spellEnd"/>
            <w:r>
              <w:rPr>
                <w:rFonts w:asciiTheme="majorHAnsi" w:hAnsiTheme="majorHAnsi" w:cs="Times-Roman"/>
                <w:sz w:val="20"/>
                <w:szCs w:val="20"/>
                <w:lang w:val="en-US"/>
              </w:rPr>
              <w:t xml:space="preserve">, M. S., Ampuan, A. D., &amp; Sieras, J. C. (2023). ARP Cotabato: Exploring seasonal climate and rice production in Cotabato province through advanced data visualization and rapid analytics. </w:t>
            </w:r>
            <w:r>
              <w:rPr>
                <w:rFonts w:asciiTheme="majorHAnsi" w:hAnsiTheme="majorHAnsi" w:cs="Times-Italic"/>
                <w:i/>
                <w:iCs/>
                <w:sz w:val="20"/>
                <w:szCs w:val="20"/>
                <w:lang w:val="en-US"/>
              </w:rPr>
              <w:t>Software Impacts, 17</w:t>
            </w:r>
            <w:r>
              <w:rPr>
                <w:rFonts w:asciiTheme="majorHAnsi" w:hAnsiTheme="majorHAnsi" w:cs="Times-Roman"/>
                <w:sz w:val="20"/>
                <w:szCs w:val="20"/>
                <w:lang w:val="en-US"/>
              </w:rPr>
              <w:t xml:space="preserve">(100546). </w:t>
            </w:r>
            <w:hyperlink r:id="rId18" w:history="1">
              <w:r>
                <w:rPr>
                  <w:rStyle w:val="Hyperlink"/>
                  <w:rFonts w:cs="Times-Roman"/>
                  <w:color w:val="0000E9"/>
                  <w:sz w:val="20"/>
                  <w:szCs w:val="20"/>
                  <w:lang w:val="en-US"/>
                </w:rPr>
                <w:t>https://doi.org/10.1016/j.simpa.2023.100546</w:t>
              </w:r>
            </w:hyperlink>
          </w:p>
        </w:tc>
      </w:tr>
      <w:tr w:rsidR="004A32A2" w14:paraId="207ACD44" w14:textId="77777777">
        <w:tc>
          <w:tcPr>
            <w:tcW w:w="966" w:type="dxa"/>
            <w:tcBorders>
              <w:top w:val="single" w:sz="4" w:space="0" w:color="auto"/>
              <w:left w:val="single" w:sz="4" w:space="0" w:color="auto"/>
              <w:bottom w:val="single" w:sz="4" w:space="0" w:color="auto"/>
              <w:right w:val="single" w:sz="4" w:space="0" w:color="auto"/>
            </w:tcBorders>
            <w:hideMark/>
          </w:tcPr>
          <w:p w14:paraId="5C0B3D8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16</w:t>
            </w:r>
          </w:p>
        </w:tc>
        <w:tc>
          <w:tcPr>
            <w:tcW w:w="8050" w:type="dxa"/>
            <w:tcBorders>
              <w:top w:val="single" w:sz="4" w:space="0" w:color="auto"/>
              <w:left w:val="single" w:sz="4" w:space="0" w:color="auto"/>
              <w:bottom w:val="single" w:sz="4" w:space="0" w:color="auto"/>
              <w:right w:val="single" w:sz="4" w:space="0" w:color="auto"/>
            </w:tcBorders>
            <w:hideMark/>
          </w:tcPr>
          <w:p w14:paraId="36456D31" w14:textId="77777777" w:rsidR="004A32A2" w:rsidRDefault="004A32A2">
            <w:pPr>
              <w:spacing w:after="0" w:line="276" w:lineRule="auto"/>
              <w:ind w:firstLine="0"/>
              <w:rPr>
                <w:rFonts w:asciiTheme="majorHAnsi" w:hAnsiTheme="majorHAnsi"/>
                <w:sz w:val="20"/>
                <w:szCs w:val="20"/>
              </w:rPr>
            </w:pPr>
            <w:proofErr w:type="spellStart"/>
            <w:r>
              <w:rPr>
                <w:rFonts w:asciiTheme="majorHAnsi" w:hAnsiTheme="majorHAnsi" w:cs="Times-Roman"/>
                <w:sz w:val="20"/>
                <w:szCs w:val="20"/>
                <w:lang w:val="en-US"/>
              </w:rPr>
              <w:t>Dell’Aquila</w:t>
            </w:r>
            <w:proofErr w:type="spellEnd"/>
            <w:r>
              <w:rPr>
                <w:rFonts w:asciiTheme="majorHAnsi" w:hAnsiTheme="majorHAnsi" w:cs="Times-Roman"/>
                <w:sz w:val="20"/>
                <w:szCs w:val="20"/>
                <w:lang w:val="en-US"/>
              </w:rPr>
              <w:t>, A., Graça, A., Teixeira, M., Fontes, N., González-</w:t>
            </w:r>
            <w:proofErr w:type="spellStart"/>
            <w:r>
              <w:rPr>
                <w:rFonts w:asciiTheme="majorHAnsi" w:hAnsiTheme="majorHAnsi" w:cs="Times-Roman"/>
                <w:sz w:val="20"/>
                <w:szCs w:val="20"/>
                <w:lang w:val="en-US"/>
              </w:rPr>
              <w:t>Reviriego</w:t>
            </w:r>
            <w:proofErr w:type="spellEnd"/>
            <w:r>
              <w:rPr>
                <w:rFonts w:asciiTheme="majorHAnsi" w:hAnsiTheme="majorHAnsi" w:cs="Times-Roman"/>
                <w:sz w:val="20"/>
                <w:szCs w:val="20"/>
                <w:lang w:val="en-US"/>
              </w:rPr>
              <w:t xml:space="preserve">, N., Marcos-Matamoros, R., Chou, C., Terrado, M., Giannakopoulos, C., Varotsos, K. v., Caboni, F., Locci, R., Nanu, M., </w:t>
            </w:r>
            <w:proofErr w:type="spellStart"/>
            <w:r>
              <w:rPr>
                <w:rFonts w:asciiTheme="majorHAnsi" w:hAnsiTheme="majorHAnsi" w:cs="Times-Roman"/>
                <w:sz w:val="20"/>
                <w:szCs w:val="20"/>
                <w:lang w:val="en-US"/>
              </w:rPr>
              <w:t>Porru</w:t>
            </w:r>
            <w:proofErr w:type="spellEnd"/>
            <w:r>
              <w:rPr>
                <w:rFonts w:asciiTheme="majorHAnsi" w:hAnsiTheme="majorHAnsi" w:cs="Times-Roman"/>
                <w:sz w:val="20"/>
                <w:szCs w:val="20"/>
                <w:lang w:val="en-US"/>
              </w:rPr>
              <w:t xml:space="preserve">, S., Argiolas, G., Bruno Soares, M., &amp; Sanderson, M. (2023). Monitoring </w:t>
            </w:r>
            <w:proofErr w:type="gramStart"/>
            <w:r>
              <w:rPr>
                <w:rFonts w:asciiTheme="majorHAnsi" w:hAnsiTheme="majorHAnsi" w:cs="Times-Roman"/>
                <w:sz w:val="20"/>
                <w:szCs w:val="20"/>
                <w:lang w:val="en-US"/>
              </w:rPr>
              <w:t>climate related</w:t>
            </w:r>
            <w:proofErr w:type="gramEnd"/>
            <w:r>
              <w:rPr>
                <w:rFonts w:asciiTheme="majorHAnsi" w:hAnsiTheme="majorHAnsi" w:cs="Times-Roman"/>
                <w:sz w:val="20"/>
                <w:szCs w:val="20"/>
                <w:lang w:val="en-US"/>
              </w:rPr>
              <w:t xml:space="preserve"> </w:t>
            </w:r>
            <w:proofErr w:type="gramStart"/>
            <w:r>
              <w:rPr>
                <w:rFonts w:asciiTheme="majorHAnsi" w:hAnsiTheme="majorHAnsi" w:cs="Times-Roman"/>
                <w:sz w:val="20"/>
                <w:szCs w:val="20"/>
                <w:lang w:val="en-US"/>
              </w:rPr>
              <w:t>risk</w:t>
            </w:r>
            <w:proofErr w:type="gramEnd"/>
            <w:r>
              <w:rPr>
                <w:rFonts w:asciiTheme="majorHAnsi" w:hAnsiTheme="majorHAnsi" w:cs="Times-Roman"/>
                <w:sz w:val="20"/>
                <w:szCs w:val="20"/>
                <w:lang w:val="en-US"/>
              </w:rPr>
              <w:t xml:space="preserve"> and opportunities for the wine sector: The MED-GOLD pilot service. </w:t>
            </w:r>
            <w:r>
              <w:rPr>
                <w:rFonts w:asciiTheme="majorHAnsi" w:hAnsiTheme="majorHAnsi" w:cs="Times-Italic"/>
                <w:i/>
                <w:iCs/>
                <w:sz w:val="20"/>
                <w:szCs w:val="20"/>
                <w:lang w:val="en-US"/>
              </w:rPr>
              <w:t>Climate Services, 30</w:t>
            </w:r>
            <w:r>
              <w:rPr>
                <w:rFonts w:asciiTheme="majorHAnsi" w:hAnsiTheme="majorHAnsi" w:cs="Times-Roman"/>
                <w:sz w:val="20"/>
                <w:szCs w:val="20"/>
                <w:lang w:val="en-US"/>
              </w:rPr>
              <w:t xml:space="preserve">(100346). </w:t>
            </w:r>
            <w:hyperlink r:id="rId19" w:history="1">
              <w:r>
                <w:rPr>
                  <w:rStyle w:val="Hyperlink"/>
                  <w:rFonts w:cs="Times-Roman"/>
                  <w:color w:val="0000E9"/>
                  <w:sz w:val="20"/>
                  <w:szCs w:val="20"/>
                  <w:lang w:val="en-US"/>
                </w:rPr>
                <w:t>https://doi.org/10.1016/j.cliser.2023.100346</w:t>
              </w:r>
            </w:hyperlink>
          </w:p>
        </w:tc>
      </w:tr>
      <w:tr w:rsidR="004A32A2" w14:paraId="0F7E47E7" w14:textId="77777777">
        <w:tc>
          <w:tcPr>
            <w:tcW w:w="966" w:type="dxa"/>
            <w:tcBorders>
              <w:top w:val="single" w:sz="4" w:space="0" w:color="auto"/>
              <w:left w:val="single" w:sz="4" w:space="0" w:color="auto"/>
              <w:bottom w:val="single" w:sz="4" w:space="0" w:color="auto"/>
              <w:right w:val="single" w:sz="4" w:space="0" w:color="auto"/>
            </w:tcBorders>
            <w:hideMark/>
          </w:tcPr>
          <w:p w14:paraId="222162B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17</w:t>
            </w:r>
          </w:p>
        </w:tc>
        <w:tc>
          <w:tcPr>
            <w:tcW w:w="8050" w:type="dxa"/>
            <w:tcBorders>
              <w:top w:val="single" w:sz="4" w:space="0" w:color="auto"/>
              <w:left w:val="single" w:sz="4" w:space="0" w:color="auto"/>
              <w:bottom w:val="single" w:sz="4" w:space="0" w:color="auto"/>
              <w:right w:val="single" w:sz="4" w:space="0" w:color="auto"/>
            </w:tcBorders>
            <w:hideMark/>
          </w:tcPr>
          <w:p w14:paraId="75D535C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Eggeling, J., </w:t>
            </w:r>
            <w:proofErr w:type="spellStart"/>
            <w:r>
              <w:rPr>
                <w:rFonts w:asciiTheme="majorHAnsi" w:hAnsiTheme="majorHAnsi" w:cs="Times-Roman"/>
                <w:sz w:val="20"/>
                <w:szCs w:val="20"/>
                <w:lang w:val="en-US"/>
              </w:rPr>
              <w:t>Rydenfält</w:t>
            </w:r>
            <w:proofErr w:type="spellEnd"/>
            <w:r>
              <w:rPr>
                <w:rFonts w:asciiTheme="majorHAnsi" w:hAnsiTheme="majorHAnsi" w:cs="Times-Roman"/>
                <w:sz w:val="20"/>
                <w:szCs w:val="20"/>
                <w:lang w:val="en-US"/>
              </w:rPr>
              <w:t xml:space="preserve">, C., Kingma, B., Toftum, J., &amp; Gao, C. (2022). The usability of </w:t>
            </w:r>
            <w:proofErr w:type="spellStart"/>
            <w:r>
              <w:rPr>
                <w:rFonts w:asciiTheme="majorHAnsi" w:hAnsiTheme="majorHAnsi" w:cs="Times-Roman"/>
                <w:sz w:val="20"/>
                <w:szCs w:val="20"/>
                <w:lang w:val="en-US"/>
              </w:rPr>
              <w:t>ClimApp</w:t>
            </w:r>
            <w:proofErr w:type="spellEnd"/>
            <w:r>
              <w:rPr>
                <w:rFonts w:asciiTheme="majorHAnsi" w:hAnsiTheme="majorHAnsi" w:cs="Times-Roman"/>
                <w:sz w:val="20"/>
                <w:szCs w:val="20"/>
                <w:lang w:val="en-US"/>
              </w:rPr>
              <w:t xml:space="preserve">: A personalized thermal stress warning tool. </w:t>
            </w:r>
            <w:r>
              <w:rPr>
                <w:rFonts w:asciiTheme="majorHAnsi" w:hAnsiTheme="majorHAnsi" w:cs="Times-Italic"/>
                <w:i/>
                <w:iCs/>
                <w:sz w:val="20"/>
                <w:szCs w:val="20"/>
                <w:lang w:val="en-US"/>
              </w:rPr>
              <w:t>Climate Services, 27</w:t>
            </w:r>
            <w:r>
              <w:rPr>
                <w:rFonts w:asciiTheme="majorHAnsi" w:hAnsiTheme="majorHAnsi" w:cs="Times-Roman"/>
                <w:sz w:val="20"/>
                <w:szCs w:val="20"/>
                <w:lang w:val="en-US"/>
              </w:rPr>
              <w:t xml:space="preserve">(100310). </w:t>
            </w:r>
            <w:hyperlink r:id="rId20" w:history="1">
              <w:r>
                <w:rPr>
                  <w:rStyle w:val="Hyperlink"/>
                  <w:rFonts w:cs="Times-Roman"/>
                  <w:color w:val="0000E9"/>
                  <w:sz w:val="20"/>
                  <w:szCs w:val="20"/>
                  <w:lang w:val="en-US"/>
                </w:rPr>
                <w:t>https://doi.org/10.1016/j.cliser.2022.100310</w:t>
              </w:r>
            </w:hyperlink>
          </w:p>
        </w:tc>
      </w:tr>
      <w:tr w:rsidR="004A32A2" w14:paraId="55C6C1B5" w14:textId="77777777">
        <w:tc>
          <w:tcPr>
            <w:tcW w:w="966" w:type="dxa"/>
            <w:tcBorders>
              <w:top w:val="single" w:sz="4" w:space="0" w:color="auto"/>
              <w:left w:val="single" w:sz="4" w:space="0" w:color="auto"/>
              <w:bottom w:val="single" w:sz="4" w:space="0" w:color="auto"/>
              <w:right w:val="single" w:sz="4" w:space="0" w:color="auto"/>
            </w:tcBorders>
            <w:hideMark/>
          </w:tcPr>
          <w:p w14:paraId="7A992C93"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18</w:t>
            </w:r>
          </w:p>
        </w:tc>
        <w:tc>
          <w:tcPr>
            <w:tcW w:w="8050" w:type="dxa"/>
            <w:tcBorders>
              <w:top w:val="single" w:sz="4" w:space="0" w:color="auto"/>
              <w:left w:val="single" w:sz="4" w:space="0" w:color="auto"/>
              <w:bottom w:val="single" w:sz="4" w:space="0" w:color="auto"/>
              <w:right w:val="single" w:sz="4" w:space="0" w:color="auto"/>
            </w:tcBorders>
            <w:hideMark/>
          </w:tcPr>
          <w:p w14:paraId="6150046D"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Fleming, A., Bohensky, E., Dutra, L. X. C., Lin, B. B., Melbourne-Thomas, J., Moore, T., Stone-</w:t>
            </w:r>
            <w:proofErr w:type="spellStart"/>
            <w:r>
              <w:rPr>
                <w:rFonts w:asciiTheme="majorHAnsi" w:hAnsiTheme="majorHAnsi" w:cs="Times-Roman"/>
                <w:sz w:val="20"/>
                <w:szCs w:val="20"/>
                <w:lang w:val="en-US"/>
              </w:rPr>
              <w:t>Jovicich</w:t>
            </w:r>
            <w:proofErr w:type="spellEnd"/>
            <w:r>
              <w:rPr>
                <w:rFonts w:asciiTheme="majorHAnsi" w:hAnsiTheme="majorHAnsi" w:cs="Times-Roman"/>
                <w:sz w:val="20"/>
                <w:szCs w:val="20"/>
                <w:lang w:val="en-US"/>
              </w:rPr>
              <w:t xml:space="preserve">, S., Tozer, C., Clarke, J. M., Donegan, L., Hopkins, M., Merson, S., Remenyi, T., </w:t>
            </w:r>
            <w:proofErr w:type="spellStart"/>
            <w:r>
              <w:rPr>
                <w:rFonts w:asciiTheme="majorHAnsi" w:hAnsiTheme="majorHAnsi" w:cs="Times-Roman"/>
                <w:sz w:val="20"/>
                <w:szCs w:val="20"/>
                <w:lang w:val="en-US"/>
              </w:rPr>
              <w:t>Swirepik</w:t>
            </w:r>
            <w:proofErr w:type="spellEnd"/>
            <w:r>
              <w:rPr>
                <w:rFonts w:asciiTheme="majorHAnsi" w:hAnsiTheme="majorHAnsi" w:cs="Times-Roman"/>
                <w:sz w:val="20"/>
                <w:szCs w:val="20"/>
                <w:lang w:val="en-US"/>
              </w:rPr>
              <w:t xml:space="preserve">, A., &amp; </w:t>
            </w:r>
            <w:proofErr w:type="spellStart"/>
            <w:r>
              <w:rPr>
                <w:rFonts w:asciiTheme="majorHAnsi" w:hAnsiTheme="majorHAnsi" w:cs="Times-Roman"/>
                <w:sz w:val="20"/>
                <w:szCs w:val="20"/>
                <w:lang w:val="en-US"/>
              </w:rPr>
              <w:t>Vertigan</w:t>
            </w:r>
            <w:proofErr w:type="spellEnd"/>
            <w:r>
              <w:rPr>
                <w:rFonts w:asciiTheme="majorHAnsi" w:hAnsiTheme="majorHAnsi" w:cs="Times-Roman"/>
                <w:sz w:val="20"/>
                <w:szCs w:val="20"/>
                <w:lang w:val="en-US"/>
              </w:rPr>
              <w:t xml:space="preserve">, C. (2023). Perceptions of co-design, co-development and co-delivery (Co-3D) as part of the co-production process: Insights for climate services. </w:t>
            </w:r>
            <w:r>
              <w:rPr>
                <w:rFonts w:asciiTheme="majorHAnsi" w:hAnsiTheme="majorHAnsi" w:cs="Times-Italic"/>
                <w:i/>
                <w:iCs/>
                <w:sz w:val="20"/>
                <w:szCs w:val="20"/>
                <w:lang w:val="en-US"/>
              </w:rPr>
              <w:t>Climate Services, 30</w:t>
            </w:r>
            <w:r>
              <w:rPr>
                <w:rFonts w:asciiTheme="majorHAnsi" w:hAnsiTheme="majorHAnsi" w:cs="Times-Roman"/>
                <w:sz w:val="20"/>
                <w:szCs w:val="20"/>
                <w:lang w:val="en-US"/>
              </w:rPr>
              <w:t xml:space="preserve">(100364). </w:t>
            </w:r>
            <w:hyperlink r:id="rId21" w:history="1">
              <w:r>
                <w:rPr>
                  <w:rStyle w:val="Hyperlink"/>
                  <w:rFonts w:cs="Times-Roman"/>
                  <w:color w:val="0000E9"/>
                  <w:sz w:val="20"/>
                  <w:szCs w:val="20"/>
                  <w:lang w:val="en-US"/>
                </w:rPr>
                <w:t>https://doi.org/10.1016/j.cliser.2023.100364</w:t>
              </w:r>
            </w:hyperlink>
          </w:p>
        </w:tc>
      </w:tr>
      <w:tr w:rsidR="004A32A2" w14:paraId="5C7C7EB4" w14:textId="77777777">
        <w:tc>
          <w:tcPr>
            <w:tcW w:w="966" w:type="dxa"/>
            <w:tcBorders>
              <w:top w:val="single" w:sz="4" w:space="0" w:color="auto"/>
              <w:left w:val="single" w:sz="4" w:space="0" w:color="auto"/>
              <w:bottom w:val="single" w:sz="4" w:space="0" w:color="auto"/>
              <w:right w:val="single" w:sz="4" w:space="0" w:color="auto"/>
            </w:tcBorders>
            <w:hideMark/>
          </w:tcPr>
          <w:p w14:paraId="45021D1D"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lastRenderedPageBreak/>
              <w:t>19</w:t>
            </w:r>
          </w:p>
        </w:tc>
        <w:tc>
          <w:tcPr>
            <w:tcW w:w="8050" w:type="dxa"/>
            <w:tcBorders>
              <w:top w:val="single" w:sz="4" w:space="0" w:color="auto"/>
              <w:left w:val="single" w:sz="4" w:space="0" w:color="auto"/>
              <w:bottom w:val="single" w:sz="4" w:space="0" w:color="auto"/>
              <w:right w:val="single" w:sz="4" w:space="0" w:color="auto"/>
            </w:tcBorders>
            <w:hideMark/>
          </w:tcPr>
          <w:p w14:paraId="7D23ABA3"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Giuliani, G., Nativi, S., Obregon, A., Beniston, M., &amp; Lehmann, A. (2017). Spatially enabling the Global Framework for Climate Services: Reviewing geospatial solutions to efficiently share and integrate climate data &amp; information. </w:t>
            </w:r>
            <w:r>
              <w:rPr>
                <w:rFonts w:asciiTheme="majorHAnsi" w:hAnsiTheme="majorHAnsi" w:cs="Times-Italic"/>
                <w:i/>
                <w:iCs/>
                <w:sz w:val="20"/>
                <w:szCs w:val="20"/>
                <w:lang w:val="en-US"/>
              </w:rPr>
              <w:t>Climate Services, 8</w:t>
            </w:r>
            <w:r>
              <w:rPr>
                <w:rFonts w:asciiTheme="majorHAnsi" w:hAnsiTheme="majorHAnsi" w:cs="Times-Roman"/>
                <w:sz w:val="20"/>
                <w:szCs w:val="20"/>
                <w:lang w:val="en-US"/>
              </w:rPr>
              <w:t xml:space="preserve">, 44–58. </w:t>
            </w:r>
            <w:hyperlink r:id="rId22" w:history="1">
              <w:r>
                <w:rPr>
                  <w:rStyle w:val="Hyperlink"/>
                  <w:rFonts w:cs="Times-Roman"/>
                  <w:color w:val="0000E9"/>
                  <w:sz w:val="20"/>
                  <w:szCs w:val="20"/>
                  <w:lang w:val="en-US"/>
                </w:rPr>
                <w:t>https://doi.org/10.1016/j.cliser.2017.08.003</w:t>
              </w:r>
            </w:hyperlink>
          </w:p>
        </w:tc>
      </w:tr>
      <w:tr w:rsidR="004A32A2" w14:paraId="56F33C95" w14:textId="77777777">
        <w:tc>
          <w:tcPr>
            <w:tcW w:w="966" w:type="dxa"/>
            <w:tcBorders>
              <w:top w:val="single" w:sz="4" w:space="0" w:color="auto"/>
              <w:left w:val="single" w:sz="4" w:space="0" w:color="auto"/>
              <w:bottom w:val="single" w:sz="4" w:space="0" w:color="auto"/>
              <w:right w:val="single" w:sz="4" w:space="0" w:color="auto"/>
            </w:tcBorders>
            <w:hideMark/>
          </w:tcPr>
          <w:p w14:paraId="2F15AE3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20</w:t>
            </w:r>
          </w:p>
        </w:tc>
        <w:tc>
          <w:tcPr>
            <w:tcW w:w="8050" w:type="dxa"/>
            <w:tcBorders>
              <w:top w:val="single" w:sz="4" w:space="0" w:color="auto"/>
              <w:left w:val="single" w:sz="4" w:space="0" w:color="auto"/>
              <w:bottom w:val="single" w:sz="4" w:space="0" w:color="auto"/>
              <w:right w:val="single" w:sz="4" w:space="0" w:color="auto"/>
            </w:tcBorders>
            <w:hideMark/>
          </w:tcPr>
          <w:p w14:paraId="6DC919E4"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Gubler, S., Rossa, A., Avalos, G., Brönnimann, S., Cristobal, K., Croci-</w:t>
            </w:r>
            <w:proofErr w:type="spellStart"/>
            <w:r>
              <w:rPr>
                <w:rFonts w:asciiTheme="majorHAnsi" w:hAnsiTheme="majorHAnsi" w:cs="Times-Roman"/>
                <w:sz w:val="20"/>
                <w:szCs w:val="20"/>
                <w:lang w:val="en-US"/>
              </w:rPr>
              <w:t>Maspoli</w:t>
            </w:r>
            <w:proofErr w:type="spellEnd"/>
            <w:r>
              <w:rPr>
                <w:rFonts w:asciiTheme="majorHAnsi" w:hAnsiTheme="majorHAnsi" w:cs="Times-Roman"/>
                <w:sz w:val="20"/>
                <w:szCs w:val="20"/>
                <w:lang w:val="en-US"/>
              </w:rPr>
              <w:t xml:space="preserve">, M., Dapozzo, M., van der Elst, A., </w:t>
            </w:r>
            <w:proofErr w:type="spellStart"/>
            <w:r>
              <w:rPr>
                <w:rFonts w:asciiTheme="majorHAnsi" w:hAnsiTheme="majorHAnsi" w:cs="Times-Roman"/>
                <w:sz w:val="20"/>
                <w:szCs w:val="20"/>
                <w:lang w:val="en-US"/>
              </w:rPr>
              <w:t>Escajadillo</w:t>
            </w:r>
            <w:proofErr w:type="spellEnd"/>
            <w:r>
              <w:rPr>
                <w:rFonts w:asciiTheme="majorHAnsi" w:hAnsiTheme="majorHAnsi" w:cs="Times-Roman"/>
                <w:sz w:val="20"/>
                <w:szCs w:val="20"/>
                <w:lang w:val="en-US"/>
              </w:rPr>
              <w:t xml:space="preserve">, Y., Flubacher, M., Garcia, T., Imfeld, N., </w:t>
            </w:r>
            <w:proofErr w:type="spellStart"/>
            <w:r>
              <w:rPr>
                <w:rFonts w:asciiTheme="majorHAnsi" w:hAnsiTheme="majorHAnsi" w:cs="Times-Roman"/>
                <w:sz w:val="20"/>
                <w:szCs w:val="20"/>
                <w:lang w:val="en-US"/>
              </w:rPr>
              <w:t>Konzelmann</w:t>
            </w:r>
            <w:proofErr w:type="spellEnd"/>
            <w:r>
              <w:rPr>
                <w:rFonts w:asciiTheme="majorHAnsi" w:hAnsiTheme="majorHAnsi" w:cs="Times-Roman"/>
                <w:sz w:val="20"/>
                <w:szCs w:val="20"/>
                <w:lang w:val="en-US"/>
              </w:rPr>
              <w:t xml:space="preserve">, T., </w:t>
            </w:r>
            <w:proofErr w:type="spellStart"/>
            <w:r>
              <w:rPr>
                <w:rFonts w:asciiTheme="majorHAnsi" w:hAnsiTheme="majorHAnsi" w:cs="Times-Roman"/>
                <w:sz w:val="20"/>
                <w:szCs w:val="20"/>
                <w:lang w:val="en-US"/>
              </w:rPr>
              <w:t>Lechthaler</w:t>
            </w:r>
            <w:proofErr w:type="spellEnd"/>
            <w:r>
              <w:rPr>
                <w:rFonts w:asciiTheme="majorHAnsi" w:hAnsiTheme="majorHAnsi" w:cs="Times-Roman"/>
                <w:sz w:val="20"/>
                <w:szCs w:val="20"/>
                <w:lang w:val="en-US"/>
              </w:rPr>
              <w:t xml:space="preserve">, F., Liniger, M., Quevedo, K., Ramos, H., Rohrer, M., </w:t>
            </w:r>
            <w:proofErr w:type="spellStart"/>
            <w:r>
              <w:rPr>
                <w:rFonts w:asciiTheme="majorHAnsi" w:hAnsiTheme="majorHAnsi" w:cs="Times-Roman"/>
                <w:sz w:val="20"/>
                <w:szCs w:val="20"/>
                <w:lang w:val="en-US"/>
              </w:rPr>
              <w:t>Schwierz</w:t>
            </w:r>
            <w:proofErr w:type="spellEnd"/>
            <w:r>
              <w:rPr>
                <w:rFonts w:asciiTheme="majorHAnsi" w:hAnsiTheme="majorHAnsi" w:cs="Times-Roman"/>
                <w:sz w:val="20"/>
                <w:szCs w:val="20"/>
                <w:lang w:val="en-US"/>
              </w:rPr>
              <w:t xml:space="preserve">, C., … Wüthrich, B. (2020). Twinning SENAMHI and </w:t>
            </w:r>
            <w:proofErr w:type="spellStart"/>
            <w:r>
              <w:rPr>
                <w:rFonts w:asciiTheme="majorHAnsi" w:hAnsiTheme="majorHAnsi" w:cs="Times-Roman"/>
                <w:sz w:val="20"/>
                <w:szCs w:val="20"/>
                <w:lang w:val="en-US"/>
              </w:rPr>
              <w:t>MeteoSwiss</w:t>
            </w:r>
            <w:proofErr w:type="spellEnd"/>
            <w:r>
              <w:rPr>
                <w:rFonts w:asciiTheme="majorHAnsi" w:hAnsiTheme="majorHAnsi" w:cs="Times-Roman"/>
                <w:sz w:val="20"/>
                <w:szCs w:val="20"/>
                <w:lang w:val="en-US"/>
              </w:rPr>
              <w:t xml:space="preserve"> to co-develop climate services for the agricultural sector in Peru. </w:t>
            </w:r>
            <w:r>
              <w:rPr>
                <w:rFonts w:asciiTheme="majorHAnsi" w:hAnsiTheme="majorHAnsi" w:cs="Times-Italic"/>
                <w:i/>
                <w:iCs/>
                <w:sz w:val="20"/>
                <w:szCs w:val="20"/>
                <w:lang w:val="en-US"/>
              </w:rPr>
              <w:t>Climate Services, 20</w:t>
            </w:r>
            <w:r>
              <w:rPr>
                <w:rFonts w:asciiTheme="majorHAnsi" w:hAnsiTheme="majorHAnsi" w:cs="Times-Roman"/>
                <w:sz w:val="20"/>
                <w:szCs w:val="20"/>
                <w:lang w:val="en-US"/>
              </w:rPr>
              <w:t xml:space="preserve">(100195). </w:t>
            </w:r>
            <w:hyperlink r:id="rId23" w:history="1">
              <w:r>
                <w:rPr>
                  <w:rStyle w:val="Hyperlink"/>
                  <w:rFonts w:cs="Times-Roman"/>
                  <w:color w:val="0000E9"/>
                  <w:sz w:val="20"/>
                  <w:szCs w:val="20"/>
                  <w:lang w:val="en-US"/>
                </w:rPr>
                <w:t>https://doi.org/10.1016/j.cliser.2020.100195</w:t>
              </w:r>
            </w:hyperlink>
          </w:p>
        </w:tc>
      </w:tr>
      <w:tr w:rsidR="004A32A2" w14:paraId="101BBC53" w14:textId="77777777">
        <w:tc>
          <w:tcPr>
            <w:tcW w:w="966" w:type="dxa"/>
            <w:tcBorders>
              <w:top w:val="single" w:sz="4" w:space="0" w:color="auto"/>
              <w:left w:val="single" w:sz="4" w:space="0" w:color="auto"/>
              <w:bottom w:val="single" w:sz="4" w:space="0" w:color="auto"/>
              <w:right w:val="single" w:sz="4" w:space="0" w:color="auto"/>
            </w:tcBorders>
            <w:hideMark/>
          </w:tcPr>
          <w:p w14:paraId="4C680A9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21</w:t>
            </w:r>
          </w:p>
        </w:tc>
        <w:tc>
          <w:tcPr>
            <w:tcW w:w="8050" w:type="dxa"/>
            <w:tcBorders>
              <w:top w:val="single" w:sz="4" w:space="0" w:color="auto"/>
              <w:left w:val="single" w:sz="4" w:space="0" w:color="auto"/>
              <w:bottom w:val="single" w:sz="4" w:space="0" w:color="auto"/>
              <w:right w:val="single" w:sz="4" w:space="0" w:color="auto"/>
            </w:tcBorders>
            <w:hideMark/>
          </w:tcPr>
          <w:p w14:paraId="4E6B940E"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Hinkel, J., Garcin, M., Gussmann, G., Amores, A., Barbier, C., </w:t>
            </w:r>
            <w:proofErr w:type="spellStart"/>
            <w:r>
              <w:rPr>
                <w:rFonts w:asciiTheme="majorHAnsi" w:hAnsiTheme="majorHAnsi" w:cs="Times-Roman"/>
                <w:sz w:val="20"/>
                <w:szCs w:val="20"/>
                <w:lang w:val="en-US"/>
              </w:rPr>
              <w:t>Bisaro</w:t>
            </w:r>
            <w:proofErr w:type="spellEnd"/>
            <w:r>
              <w:rPr>
                <w:rFonts w:asciiTheme="majorHAnsi" w:hAnsiTheme="majorHAnsi" w:cs="Times-Roman"/>
                <w:sz w:val="20"/>
                <w:szCs w:val="20"/>
                <w:lang w:val="en-US"/>
              </w:rPr>
              <w:t xml:space="preserve">, A., le </w:t>
            </w:r>
            <w:proofErr w:type="spellStart"/>
            <w:r>
              <w:rPr>
                <w:rFonts w:asciiTheme="majorHAnsi" w:hAnsiTheme="majorHAnsi" w:cs="Times-Roman"/>
                <w:sz w:val="20"/>
                <w:szCs w:val="20"/>
                <w:lang w:val="en-US"/>
              </w:rPr>
              <w:t>Cozannet</w:t>
            </w:r>
            <w:proofErr w:type="spellEnd"/>
            <w:r>
              <w:rPr>
                <w:rFonts w:asciiTheme="majorHAnsi" w:hAnsiTheme="majorHAnsi" w:cs="Times-Roman"/>
                <w:sz w:val="20"/>
                <w:szCs w:val="20"/>
                <w:lang w:val="en-US"/>
              </w:rPr>
              <w:t xml:space="preserve">, G., Duvat, V., Imad, M., Khaleel, Z., Marcos, M., </w:t>
            </w:r>
            <w:proofErr w:type="spellStart"/>
            <w:r>
              <w:rPr>
                <w:rFonts w:asciiTheme="majorHAnsi" w:hAnsiTheme="majorHAnsi" w:cs="Times-Roman"/>
                <w:sz w:val="20"/>
                <w:szCs w:val="20"/>
                <w:lang w:val="en-US"/>
              </w:rPr>
              <w:t>Pedreros</w:t>
            </w:r>
            <w:proofErr w:type="spellEnd"/>
            <w:r>
              <w:rPr>
                <w:rFonts w:asciiTheme="majorHAnsi" w:hAnsiTheme="majorHAnsi" w:cs="Times-Roman"/>
                <w:sz w:val="20"/>
                <w:szCs w:val="20"/>
                <w:lang w:val="en-US"/>
              </w:rPr>
              <w:t xml:space="preserve">, R., Shareef, A., &amp; Waheed, A. (2023). Co-creating a coastal climate service to </w:t>
            </w:r>
            <w:proofErr w:type="spellStart"/>
            <w:r>
              <w:rPr>
                <w:rFonts w:asciiTheme="majorHAnsi" w:hAnsiTheme="majorHAnsi" w:cs="Times-Roman"/>
                <w:sz w:val="20"/>
                <w:szCs w:val="20"/>
                <w:lang w:val="en-US"/>
              </w:rPr>
              <w:t>prioritise</w:t>
            </w:r>
            <w:proofErr w:type="spellEnd"/>
            <w:r>
              <w:rPr>
                <w:rFonts w:asciiTheme="majorHAnsi" w:hAnsiTheme="majorHAnsi" w:cs="Times-Roman"/>
                <w:sz w:val="20"/>
                <w:szCs w:val="20"/>
                <w:lang w:val="en-US"/>
              </w:rPr>
              <w:t xml:space="preserve"> investments in erosion prevention and sea-level rise adaptation in the Maldives. </w:t>
            </w:r>
            <w:r>
              <w:rPr>
                <w:rFonts w:asciiTheme="majorHAnsi" w:hAnsiTheme="majorHAnsi" w:cs="Times-Italic"/>
                <w:i/>
                <w:iCs/>
                <w:sz w:val="20"/>
                <w:szCs w:val="20"/>
                <w:lang w:val="en-US"/>
              </w:rPr>
              <w:t>Climate Services, 31</w:t>
            </w:r>
            <w:r>
              <w:rPr>
                <w:rFonts w:asciiTheme="majorHAnsi" w:hAnsiTheme="majorHAnsi" w:cs="Times-Roman"/>
                <w:sz w:val="20"/>
                <w:szCs w:val="20"/>
                <w:lang w:val="en-US"/>
              </w:rPr>
              <w:t xml:space="preserve">(100401). </w:t>
            </w:r>
            <w:hyperlink r:id="rId24" w:history="1">
              <w:r>
                <w:rPr>
                  <w:rStyle w:val="Hyperlink"/>
                  <w:rFonts w:cs="Times-Roman"/>
                  <w:color w:val="0000E9"/>
                  <w:sz w:val="20"/>
                  <w:szCs w:val="20"/>
                  <w:lang w:val="en-US"/>
                </w:rPr>
                <w:t>https://doi.org/10.1016/j.cliser.2023.100401</w:t>
              </w:r>
            </w:hyperlink>
          </w:p>
        </w:tc>
      </w:tr>
      <w:tr w:rsidR="004A32A2" w14:paraId="1C6E84D5" w14:textId="77777777">
        <w:tc>
          <w:tcPr>
            <w:tcW w:w="966" w:type="dxa"/>
            <w:tcBorders>
              <w:top w:val="single" w:sz="4" w:space="0" w:color="auto"/>
              <w:left w:val="single" w:sz="4" w:space="0" w:color="auto"/>
              <w:bottom w:val="single" w:sz="4" w:space="0" w:color="auto"/>
              <w:right w:val="single" w:sz="4" w:space="0" w:color="auto"/>
            </w:tcBorders>
            <w:hideMark/>
          </w:tcPr>
          <w:p w14:paraId="13146A7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22</w:t>
            </w:r>
          </w:p>
        </w:tc>
        <w:tc>
          <w:tcPr>
            <w:tcW w:w="8050" w:type="dxa"/>
            <w:tcBorders>
              <w:top w:val="single" w:sz="4" w:space="0" w:color="auto"/>
              <w:left w:val="single" w:sz="4" w:space="0" w:color="auto"/>
              <w:bottom w:val="single" w:sz="4" w:space="0" w:color="auto"/>
              <w:right w:val="single" w:sz="4" w:space="0" w:color="auto"/>
            </w:tcBorders>
            <w:hideMark/>
          </w:tcPr>
          <w:p w14:paraId="1144EE1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Hoffmann, J., Bauer, P., Sandu, I., Wedi, N., Geenen, T., &amp; </w:t>
            </w:r>
            <w:proofErr w:type="spellStart"/>
            <w:r>
              <w:rPr>
                <w:rFonts w:asciiTheme="majorHAnsi" w:hAnsiTheme="majorHAnsi" w:cs="Times-Roman"/>
                <w:sz w:val="20"/>
                <w:szCs w:val="20"/>
                <w:lang w:val="en-US"/>
              </w:rPr>
              <w:t>Thiemert</w:t>
            </w:r>
            <w:proofErr w:type="spellEnd"/>
            <w:r>
              <w:rPr>
                <w:rFonts w:asciiTheme="majorHAnsi" w:hAnsiTheme="majorHAnsi" w:cs="Times-Roman"/>
                <w:sz w:val="20"/>
                <w:szCs w:val="20"/>
                <w:lang w:val="en-US"/>
              </w:rPr>
              <w:t xml:space="preserve">, D. (2023). Destination Earth – A digital twin in support of climate services. </w:t>
            </w:r>
            <w:r>
              <w:rPr>
                <w:rFonts w:asciiTheme="majorHAnsi" w:hAnsiTheme="majorHAnsi" w:cs="Times-Italic"/>
                <w:i/>
                <w:iCs/>
                <w:sz w:val="20"/>
                <w:szCs w:val="20"/>
                <w:lang w:val="en-US"/>
              </w:rPr>
              <w:t>Climate Services, 30</w:t>
            </w:r>
            <w:r>
              <w:rPr>
                <w:rFonts w:asciiTheme="majorHAnsi" w:hAnsiTheme="majorHAnsi" w:cs="Times-Roman"/>
                <w:sz w:val="20"/>
                <w:szCs w:val="20"/>
                <w:lang w:val="en-US"/>
              </w:rPr>
              <w:t xml:space="preserve">(100394), 100394. </w:t>
            </w:r>
            <w:hyperlink r:id="rId25" w:history="1">
              <w:r>
                <w:rPr>
                  <w:rStyle w:val="Hyperlink"/>
                  <w:rFonts w:cs="Times-Roman"/>
                  <w:color w:val="0000E9"/>
                  <w:sz w:val="20"/>
                  <w:szCs w:val="20"/>
                  <w:lang w:val="en-US"/>
                </w:rPr>
                <w:t>https://doi.org/10.1016/j.cliser.2023.100394</w:t>
              </w:r>
            </w:hyperlink>
          </w:p>
        </w:tc>
      </w:tr>
      <w:tr w:rsidR="004A32A2" w14:paraId="461F8083" w14:textId="77777777">
        <w:tc>
          <w:tcPr>
            <w:tcW w:w="966" w:type="dxa"/>
            <w:tcBorders>
              <w:top w:val="single" w:sz="4" w:space="0" w:color="auto"/>
              <w:left w:val="single" w:sz="4" w:space="0" w:color="auto"/>
              <w:bottom w:val="single" w:sz="4" w:space="0" w:color="auto"/>
              <w:right w:val="single" w:sz="4" w:space="0" w:color="auto"/>
            </w:tcBorders>
            <w:hideMark/>
          </w:tcPr>
          <w:p w14:paraId="56EA93C1"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23</w:t>
            </w:r>
          </w:p>
        </w:tc>
        <w:tc>
          <w:tcPr>
            <w:tcW w:w="8050" w:type="dxa"/>
            <w:tcBorders>
              <w:top w:val="single" w:sz="4" w:space="0" w:color="auto"/>
              <w:left w:val="single" w:sz="4" w:space="0" w:color="auto"/>
              <w:bottom w:val="single" w:sz="4" w:space="0" w:color="auto"/>
              <w:right w:val="single" w:sz="4" w:space="0" w:color="auto"/>
            </w:tcBorders>
            <w:hideMark/>
          </w:tcPr>
          <w:p w14:paraId="00332BA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ISO Standard 14091 Adaptation to climate change — Guidelines on vulnerability, impacts and risk assessment. (2021).</w:t>
            </w:r>
          </w:p>
        </w:tc>
      </w:tr>
      <w:tr w:rsidR="004A32A2" w14:paraId="6B2BC7CC" w14:textId="77777777">
        <w:tc>
          <w:tcPr>
            <w:tcW w:w="966" w:type="dxa"/>
            <w:tcBorders>
              <w:top w:val="single" w:sz="4" w:space="0" w:color="auto"/>
              <w:left w:val="single" w:sz="4" w:space="0" w:color="auto"/>
              <w:bottom w:val="single" w:sz="4" w:space="0" w:color="auto"/>
              <w:right w:val="single" w:sz="4" w:space="0" w:color="auto"/>
            </w:tcBorders>
            <w:hideMark/>
          </w:tcPr>
          <w:p w14:paraId="4191F45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24</w:t>
            </w:r>
          </w:p>
        </w:tc>
        <w:tc>
          <w:tcPr>
            <w:tcW w:w="8050" w:type="dxa"/>
            <w:tcBorders>
              <w:top w:val="single" w:sz="4" w:space="0" w:color="auto"/>
              <w:left w:val="single" w:sz="4" w:space="0" w:color="auto"/>
              <w:bottom w:val="single" w:sz="4" w:space="0" w:color="auto"/>
              <w:right w:val="single" w:sz="4" w:space="0" w:color="auto"/>
            </w:tcBorders>
            <w:hideMark/>
          </w:tcPr>
          <w:p w14:paraId="1756774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Jevne, F. L., Hauge, Å. L., &amp; Thomassen, M. K. (2023). User evaluation of a national web portal for climate change adaptation – A qualitative case study of the Knowledge Bank. </w:t>
            </w:r>
            <w:r>
              <w:rPr>
                <w:rFonts w:asciiTheme="majorHAnsi" w:hAnsiTheme="majorHAnsi" w:cs="Times-Italic"/>
                <w:i/>
                <w:iCs/>
                <w:sz w:val="20"/>
                <w:szCs w:val="20"/>
                <w:lang w:val="en-US"/>
              </w:rPr>
              <w:t>Climate Services, 30</w:t>
            </w:r>
            <w:r>
              <w:rPr>
                <w:rFonts w:asciiTheme="majorHAnsi" w:hAnsiTheme="majorHAnsi" w:cs="Times-Roman"/>
                <w:sz w:val="20"/>
                <w:szCs w:val="20"/>
                <w:lang w:val="en-US"/>
              </w:rPr>
              <w:t xml:space="preserve">(100367). </w:t>
            </w:r>
            <w:hyperlink r:id="rId26" w:history="1">
              <w:r>
                <w:rPr>
                  <w:rStyle w:val="Hyperlink"/>
                  <w:rFonts w:cs="Times-Roman"/>
                  <w:color w:val="0000E9"/>
                  <w:sz w:val="20"/>
                  <w:szCs w:val="20"/>
                  <w:lang w:val="en-US"/>
                </w:rPr>
                <w:t>https://doi.org/10.1016/j.cliser.2023.100367</w:t>
              </w:r>
            </w:hyperlink>
          </w:p>
        </w:tc>
      </w:tr>
      <w:tr w:rsidR="004A32A2" w14:paraId="339C1473" w14:textId="77777777">
        <w:tc>
          <w:tcPr>
            <w:tcW w:w="966" w:type="dxa"/>
            <w:tcBorders>
              <w:top w:val="single" w:sz="4" w:space="0" w:color="auto"/>
              <w:left w:val="single" w:sz="4" w:space="0" w:color="auto"/>
              <w:bottom w:val="single" w:sz="4" w:space="0" w:color="auto"/>
              <w:right w:val="single" w:sz="4" w:space="0" w:color="auto"/>
            </w:tcBorders>
            <w:hideMark/>
          </w:tcPr>
          <w:p w14:paraId="099CBC7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25</w:t>
            </w:r>
          </w:p>
        </w:tc>
        <w:tc>
          <w:tcPr>
            <w:tcW w:w="8050" w:type="dxa"/>
            <w:tcBorders>
              <w:top w:val="single" w:sz="4" w:space="0" w:color="auto"/>
              <w:left w:val="single" w:sz="4" w:space="0" w:color="auto"/>
              <w:bottom w:val="single" w:sz="4" w:space="0" w:color="auto"/>
              <w:right w:val="single" w:sz="4" w:space="0" w:color="auto"/>
            </w:tcBorders>
            <w:hideMark/>
          </w:tcPr>
          <w:p w14:paraId="5CF81074"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Kumar, U., Werners, S. E., Paparrizos, S., Datta, D. K., &amp; Ludwig, F. (2021). Co-producing climate information services with smallholder farmers in the Lower Bengal Delta: How forecast visualization and communication support farmers’ decision-making. </w:t>
            </w:r>
            <w:r>
              <w:rPr>
                <w:rFonts w:asciiTheme="majorHAnsi" w:hAnsiTheme="majorHAnsi" w:cs="Times-Italic"/>
                <w:i/>
                <w:iCs/>
                <w:sz w:val="20"/>
                <w:szCs w:val="20"/>
                <w:lang w:val="en-US"/>
              </w:rPr>
              <w:t>Climate Risk Management, 33</w:t>
            </w:r>
            <w:r>
              <w:rPr>
                <w:rFonts w:asciiTheme="majorHAnsi" w:hAnsiTheme="majorHAnsi" w:cs="Times-Roman"/>
                <w:sz w:val="20"/>
                <w:szCs w:val="20"/>
                <w:lang w:val="en-US"/>
              </w:rPr>
              <w:t xml:space="preserve">(100346). </w:t>
            </w:r>
            <w:hyperlink r:id="rId27" w:history="1">
              <w:r>
                <w:rPr>
                  <w:rStyle w:val="Hyperlink"/>
                  <w:rFonts w:cs="Times-Roman"/>
                  <w:color w:val="0000E9"/>
                  <w:sz w:val="20"/>
                  <w:szCs w:val="20"/>
                  <w:lang w:val="en-US"/>
                </w:rPr>
                <w:t>https://doi.org/10.1016/j.crm.2021.100346</w:t>
              </w:r>
            </w:hyperlink>
          </w:p>
        </w:tc>
      </w:tr>
      <w:tr w:rsidR="004A32A2" w14:paraId="5A25F66A" w14:textId="77777777">
        <w:tc>
          <w:tcPr>
            <w:tcW w:w="966" w:type="dxa"/>
            <w:tcBorders>
              <w:top w:val="single" w:sz="4" w:space="0" w:color="auto"/>
              <w:left w:val="single" w:sz="4" w:space="0" w:color="auto"/>
              <w:bottom w:val="single" w:sz="4" w:space="0" w:color="auto"/>
              <w:right w:val="single" w:sz="4" w:space="0" w:color="auto"/>
            </w:tcBorders>
            <w:hideMark/>
          </w:tcPr>
          <w:p w14:paraId="05C93F3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26</w:t>
            </w:r>
          </w:p>
        </w:tc>
        <w:tc>
          <w:tcPr>
            <w:tcW w:w="8050" w:type="dxa"/>
            <w:tcBorders>
              <w:top w:val="single" w:sz="4" w:space="0" w:color="auto"/>
              <w:left w:val="single" w:sz="4" w:space="0" w:color="auto"/>
              <w:bottom w:val="single" w:sz="4" w:space="0" w:color="auto"/>
              <w:right w:val="single" w:sz="4" w:space="0" w:color="auto"/>
            </w:tcBorders>
            <w:hideMark/>
          </w:tcPr>
          <w:p w14:paraId="148C0199" w14:textId="77777777" w:rsidR="004A32A2" w:rsidRDefault="004A32A2">
            <w:pPr>
              <w:spacing w:after="0" w:line="276" w:lineRule="auto"/>
              <w:ind w:firstLine="0"/>
              <w:rPr>
                <w:rFonts w:asciiTheme="majorHAnsi" w:hAnsiTheme="majorHAnsi"/>
                <w:sz w:val="20"/>
                <w:szCs w:val="20"/>
              </w:rPr>
            </w:pPr>
            <w:proofErr w:type="spellStart"/>
            <w:r>
              <w:rPr>
                <w:rFonts w:asciiTheme="majorHAnsi" w:hAnsiTheme="majorHAnsi" w:cs="Times-Roman"/>
                <w:sz w:val="20"/>
                <w:szCs w:val="20"/>
                <w:lang w:val="en-US"/>
              </w:rPr>
              <w:t>Labonnote</w:t>
            </w:r>
            <w:proofErr w:type="spellEnd"/>
            <w:r>
              <w:rPr>
                <w:rFonts w:asciiTheme="majorHAnsi" w:hAnsiTheme="majorHAnsi" w:cs="Times-Roman"/>
                <w:sz w:val="20"/>
                <w:szCs w:val="20"/>
                <w:lang w:val="en-US"/>
              </w:rPr>
              <w:t xml:space="preserve">, N., </w:t>
            </w:r>
            <w:proofErr w:type="spellStart"/>
            <w:r>
              <w:rPr>
                <w:rFonts w:asciiTheme="majorHAnsi" w:hAnsiTheme="majorHAnsi" w:cs="Times-Roman"/>
                <w:sz w:val="20"/>
                <w:szCs w:val="20"/>
                <w:lang w:val="en-US"/>
              </w:rPr>
              <w:t>Lappegård</w:t>
            </w:r>
            <w:proofErr w:type="spellEnd"/>
            <w:r>
              <w:rPr>
                <w:rFonts w:asciiTheme="majorHAnsi" w:hAnsiTheme="majorHAnsi" w:cs="Times-Roman"/>
                <w:sz w:val="20"/>
                <w:szCs w:val="20"/>
                <w:lang w:val="en-US"/>
              </w:rPr>
              <w:t xml:space="preserve"> Hauge, Å., &amp; Sivertsen, E. (2019). A climate services perspective on Norwegian stormwater-related databases. </w:t>
            </w:r>
            <w:r>
              <w:rPr>
                <w:rFonts w:asciiTheme="majorHAnsi" w:hAnsiTheme="majorHAnsi" w:cs="Times-Italic"/>
                <w:i/>
                <w:iCs/>
                <w:sz w:val="20"/>
                <w:szCs w:val="20"/>
                <w:lang w:val="en-US"/>
              </w:rPr>
              <w:t>Climate Services, 13</w:t>
            </w:r>
            <w:r>
              <w:rPr>
                <w:rFonts w:asciiTheme="majorHAnsi" w:hAnsiTheme="majorHAnsi" w:cs="Times-Roman"/>
                <w:sz w:val="20"/>
                <w:szCs w:val="20"/>
                <w:lang w:val="en-US"/>
              </w:rPr>
              <w:t xml:space="preserve">, 33–41. </w:t>
            </w:r>
            <w:hyperlink r:id="rId28" w:history="1">
              <w:r>
                <w:rPr>
                  <w:rStyle w:val="Hyperlink"/>
                  <w:rFonts w:cs="Times-Roman"/>
                  <w:color w:val="0000E9"/>
                  <w:sz w:val="20"/>
                  <w:szCs w:val="20"/>
                  <w:lang w:val="en-US"/>
                </w:rPr>
                <w:t>https://doi.org/10.1016/j.cliser.2019.01.006</w:t>
              </w:r>
            </w:hyperlink>
          </w:p>
        </w:tc>
      </w:tr>
      <w:tr w:rsidR="004A32A2" w14:paraId="115BF54A" w14:textId="77777777">
        <w:tc>
          <w:tcPr>
            <w:tcW w:w="966" w:type="dxa"/>
            <w:tcBorders>
              <w:top w:val="single" w:sz="4" w:space="0" w:color="auto"/>
              <w:left w:val="single" w:sz="4" w:space="0" w:color="auto"/>
              <w:bottom w:val="single" w:sz="4" w:space="0" w:color="auto"/>
              <w:right w:val="single" w:sz="4" w:space="0" w:color="auto"/>
            </w:tcBorders>
            <w:hideMark/>
          </w:tcPr>
          <w:p w14:paraId="7D6B244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27</w:t>
            </w:r>
          </w:p>
        </w:tc>
        <w:tc>
          <w:tcPr>
            <w:tcW w:w="8050" w:type="dxa"/>
            <w:tcBorders>
              <w:top w:val="single" w:sz="4" w:space="0" w:color="auto"/>
              <w:left w:val="single" w:sz="4" w:space="0" w:color="auto"/>
              <w:bottom w:val="single" w:sz="4" w:space="0" w:color="auto"/>
              <w:right w:val="single" w:sz="4" w:space="0" w:color="auto"/>
            </w:tcBorders>
            <w:hideMark/>
          </w:tcPr>
          <w:p w14:paraId="125CE8C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Martinez, G., Celliers, L., Collard, M., de Jong, F., Huang-Lachmann, J. T., </w:t>
            </w:r>
            <w:proofErr w:type="spellStart"/>
            <w:r>
              <w:rPr>
                <w:rFonts w:asciiTheme="majorHAnsi" w:hAnsiTheme="majorHAnsi" w:cs="Times-Roman"/>
                <w:sz w:val="20"/>
                <w:szCs w:val="20"/>
                <w:lang w:val="en-US"/>
              </w:rPr>
              <w:t>Mañez</w:t>
            </w:r>
            <w:proofErr w:type="spellEnd"/>
            <w:r>
              <w:rPr>
                <w:rFonts w:asciiTheme="majorHAnsi" w:hAnsiTheme="majorHAnsi" w:cs="Times-Roman"/>
                <w:sz w:val="20"/>
                <w:szCs w:val="20"/>
                <w:lang w:val="en-US"/>
              </w:rPr>
              <w:t xml:space="preserve"> Costa, M., Rubio-Martin, A., Ozier-Lafontaine, H., Garcia Prats, A., Stelljes, N., Swart, R., Wimmermann, T., </w:t>
            </w:r>
            <w:proofErr w:type="spellStart"/>
            <w:r>
              <w:rPr>
                <w:rFonts w:asciiTheme="majorHAnsi" w:hAnsiTheme="majorHAnsi" w:cs="Times-Roman"/>
                <w:sz w:val="20"/>
                <w:szCs w:val="20"/>
                <w:lang w:val="en-US"/>
              </w:rPr>
              <w:t>Llario</w:t>
            </w:r>
            <w:proofErr w:type="spellEnd"/>
            <w:r>
              <w:rPr>
                <w:rFonts w:asciiTheme="majorHAnsi" w:hAnsiTheme="majorHAnsi" w:cs="Times-Roman"/>
                <w:sz w:val="20"/>
                <w:szCs w:val="20"/>
                <w:lang w:val="en-US"/>
              </w:rPr>
              <w:t xml:space="preserve">, F., &amp; Pulido-Velazquez, M. (2022). Societal local and regional resiliency spurred by contextualized climate services: The role of culture in co-production. </w:t>
            </w:r>
            <w:r>
              <w:rPr>
                <w:rFonts w:asciiTheme="majorHAnsi" w:hAnsiTheme="majorHAnsi" w:cs="Times-Italic"/>
                <w:i/>
                <w:iCs/>
                <w:sz w:val="20"/>
                <w:szCs w:val="20"/>
                <w:lang w:val="en-US"/>
              </w:rPr>
              <w:t>Climate Services, 26</w:t>
            </w:r>
            <w:r>
              <w:rPr>
                <w:rFonts w:asciiTheme="majorHAnsi" w:hAnsiTheme="majorHAnsi" w:cs="Times-Roman"/>
                <w:sz w:val="20"/>
                <w:szCs w:val="20"/>
                <w:lang w:val="en-US"/>
              </w:rPr>
              <w:t xml:space="preserve">(100300). </w:t>
            </w:r>
            <w:hyperlink r:id="rId29" w:history="1">
              <w:r>
                <w:rPr>
                  <w:rStyle w:val="Hyperlink"/>
                  <w:rFonts w:cs="Times-Roman"/>
                  <w:color w:val="0000E9"/>
                  <w:sz w:val="20"/>
                  <w:szCs w:val="20"/>
                  <w:lang w:val="en-US"/>
                </w:rPr>
                <w:t>https://doi.org/10.1016/j.cliser.2022.100300</w:t>
              </w:r>
            </w:hyperlink>
          </w:p>
        </w:tc>
      </w:tr>
      <w:tr w:rsidR="004A32A2" w14:paraId="42C7C829" w14:textId="77777777">
        <w:tc>
          <w:tcPr>
            <w:tcW w:w="966" w:type="dxa"/>
            <w:tcBorders>
              <w:top w:val="single" w:sz="4" w:space="0" w:color="auto"/>
              <w:left w:val="single" w:sz="4" w:space="0" w:color="auto"/>
              <w:bottom w:val="single" w:sz="4" w:space="0" w:color="auto"/>
              <w:right w:val="single" w:sz="4" w:space="0" w:color="auto"/>
            </w:tcBorders>
            <w:hideMark/>
          </w:tcPr>
          <w:p w14:paraId="0FDDD22E"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28</w:t>
            </w:r>
          </w:p>
        </w:tc>
        <w:tc>
          <w:tcPr>
            <w:tcW w:w="8050" w:type="dxa"/>
            <w:tcBorders>
              <w:top w:val="single" w:sz="4" w:space="0" w:color="auto"/>
              <w:left w:val="single" w:sz="4" w:space="0" w:color="auto"/>
              <w:bottom w:val="single" w:sz="4" w:space="0" w:color="auto"/>
              <w:right w:val="single" w:sz="4" w:space="0" w:color="auto"/>
            </w:tcBorders>
            <w:hideMark/>
          </w:tcPr>
          <w:p w14:paraId="4BD4EE53"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McGinnis, S., &amp; Mearns, L. (2021). Building a climate service for North America based on the NA-CORDEX data archive. </w:t>
            </w:r>
            <w:r>
              <w:rPr>
                <w:rFonts w:asciiTheme="majorHAnsi" w:hAnsiTheme="majorHAnsi" w:cs="Times-Italic"/>
                <w:i/>
                <w:iCs/>
                <w:sz w:val="20"/>
                <w:szCs w:val="20"/>
                <w:lang w:val="en-US"/>
              </w:rPr>
              <w:t>Climate Services, 22</w:t>
            </w:r>
            <w:r>
              <w:rPr>
                <w:rFonts w:asciiTheme="majorHAnsi" w:hAnsiTheme="majorHAnsi" w:cs="Times-Roman"/>
                <w:sz w:val="20"/>
                <w:szCs w:val="20"/>
                <w:lang w:val="en-US"/>
              </w:rPr>
              <w:t xml:space="preserve">(100233). </w:t>
            </w:r>
            <w:hyperlink r:id="rId30" w:history="1">
              <w:r>
                <w:rPr>
                  <w:rStyle w:val="Hyperlink"/>
                  <w:rFonts w:cs="Times-Roman"/>
                  <w:color w:val="0000E9"/>
                  <w:sz w:val="20"/>
                  <w:szCs w:val="20"/>
                  <w:lang w:val="en-US"/>
                </w:rPr>
                <w:t>https://doi.org/10.1016/j.cliser.2021.100233</w:t>
              </w:r>
            </w:hyperlink>
          </w:p>
        </w:tc>
      </w:tr>
      <w:tr w:rsidR="004A32A2" w14:paraId="3FEA91AA" w14:textId="77777777">
        <w:tc>
          <w:tcPr>
            <w:tcW w:w="966" w:type="dxa"/>
            <w:tcBorders>
              <w:top w:val="single" w:sz="4" w:space="0" w:color="auto"/>
              <w:left w:val="single" w:sz="4" w:space="0" w:color="auto"/>
              <w:bottom w:val="single" w:sz="4" w:space="0" w:color="auto"/>
              <w:right w:val="single" w:sz="4" w:space="0" w:color="auto"/>
            </w:tcBorders>
            <w:hideMark/>
          </w:tcPr>
          <w:p w14:paraId="055696D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29</w:t>
            </w:r>
          </w:p>
        </w:tc>
        <w:tc>
          <w:tcPr>
            <w:tcW w:w="8050" w:type="dxa"/>
            <w:tcBorders>
              <w:top w:val="single" w:sz="4" w:space="0" w:color="auto"/>
              <w:left w:val="single" w:sz="4" w:space="0" w:color="auto"/>
              <w:bottom w:val="single" w:sz="4" w:space="0" w:color="auto"/>
              <w:right w:val="single" w:sz="4" w:space="0" w:color="auto"/>
            </w:tcBorders>
            <w:hideMark/>
          </w:tcPr>
          <w:p w14:paraId="65E5E762" w14:textId="77777777" w:rsidR="004A32A2" w:rsidRDefault="004A32A2">
            <w:pPr>
              <w:spacing w:after="0" w:line="276" w:lineRule="auto"/>
              <w:ind w:firstLine="0"/>
              <w:rPr>
                <w:rFonts w:asciiTheme="majorHAnsi" w:hAnsiTheme="majorHAnsi"/>
                <w:sz w:val="20"/>
                <w:szCs w:val="20"/>
              </w:rPr>
            </w:pPr>
            <w:proofErr w:type="spellStart"/>
            <w:r>
              <w:rPr>
                <w:rFonts w:asciiTheme="majorHAnsi" w:hAnsiTheme="majorHAnsi" w:cs="Times-Roman"/>
                <w:sz w:val="20"/>
                <w:szCs w:val="20"/>
                <w:lang w:val="en-US"/>
              </w:rPr>
              <w:t>Myllynpää</w:t>
            </w:r>
            <w:proofErr w:type="spellEnd"/>
            <w:r>
              <w:rPr>
                <w:rFonts w:asciiTheme="majorHAnsi" w:hAnsiTheme="majorHAnsi" w:cs="Times-Roman"/>
                <w:sz w:val="20"/>
                <w:szCs w:val="20"/>
                <w:lang w:val="en-US"/>
              </w:rPr>
              <w:t xml:space="preserve">, V., Haakana, J., Virtanen, J., &amp; Sutinen, E. (2020, April 25). Holistic model for designing a climate service application on the </w:t>
            </w:r>
            <w:proofErr w:type="spellStart"/>
            <w:r>
              <w:rPr>
                <w:rFonts w:asciiTheme="majorHAnsi" w:hAnsiTheme="majorHAnsi" w:cs="Times-Roman"/>
                <w:sz w:val="20"/>
                <w:szCs w:val="20"/>
                <w:lang w:val="en-US"/>
              </w:rPr>
              <w:t>KaiOS</w:t>
            </w:r>
            <w:proofErr w:type="spellEnd"/>
            <w:r>
              <w:rPr>
                <w:rFonts w:asciiTheme="majorHAnsi" w:hAnsiTheme="majorHAnsi" w:cs="Times-Roman"/>
                <w:sz w:val="20"/>
                <w:szCs w:val="20"/>
                <w:lang w:val="en-US"/>
              </w:rPr>
              <w:t xml:space="preserve"> platform. Conference on Human Factors in Computing Systems. </w:t>
            </w:r>
            <w:hyperlink r:id="rId31" w:history="1">
              <w:r>
                <w:rPr>
                  <w:rStyle w:val="Hyperlink"/>
                  <w:rFonts w:cs="Times-Roman"/>
                  <w:color w:val="0000E9"/>
                  <w:sz w:val="20"/>
                  <w:szCs w:val="20"/>
                  <w:lang w:val="en-US"/>
                </w:rPr>
                <w:t>https://doi.org/10.1145/3334480.3383084</w:t>
              </w:r>
            </w:hyperlink>
          </w:p>
        </w:tc>
      </w:tr>
      <w:tr w:rsidR="004A32A2" w14:paraId="0C1EF8E4" w14:textId="77777777">
        <w:tc>
          <w:tcPr>
            <w:tcW w:w="966" w:type="dxa"/>
            <w:tcBorders>
              <w:top w:val="single" w:sz="4" w:space="0" w:color="auto"/>
              <w:left w:val="single" w:sz="4" w:space="0" w:color="auto"/>
              <w:bottom w:val="single" w:sz="4" w:space="0" w:color="auto"/>
              <w:right w:val="single" w:sz="4" w:space="0" w:color="auto"/>
            </w:tcBorders>
            <w:hideMark/>
          </w:tcPr>
          <w:p w14:paraId="24E2F24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30</w:t>
            </w:r>
          </w:p>
        </w:tc>
        <w:tc>
          <w:tcPr>
            <w:tcW w:w="8050" w:type="dxa"/>
            <w:tcBorders>
              <w:top w:val="single" w:sz="4" w:space="0" w:color="auto"/>
              <w:left w:val="single" w:sz="4" w:space="0" w:color="auto"/>
              <w:bottom w:val="single" w:sz="4" w:space="0" w:color="auto"/>
              <w:right w:val="single" w:sz="4" w:space="0" w:color="auto"/>
            </w:tcBorders>
            <w:hideMark/>
          </w:tcPr>
          <w:p w14:paraId="3175B7F5"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Neset, T. S., Navarra, C., Graça, M., </w:t>
            </w:r>
            <w:proofErr w:type="spellStart"/>
            <w:r>
              <w:rPr>
                <w:rFonts w:asciiTheme="majorHAnsi" w:hAnsiTheme="majorHAnsi" w:cs="Times-Roman"/>
                <w:sz w:val="20"/>
                <w:szCs w:val="20"/>
                <w:lang w:val="en-US"/>
              </w:rPr>
              <w:t>Opach</w:t>
            </w:r>
            <w:proofErr w:type="spellEnd"/>
            <w:r>
              <w:rPr>
                <w:rFonts w:asciiTheme="majorHAnsi" w:hAnsiTheme="majorHAnsi" w:cs="Times-Roman"/>
                <w:sz w:val="20"/>
                <w:szCs w:val="20"/>
                <w:lang w:val="en-US"/>
              </w:rPr>
              <w:t xml:space="preserve">, T., Wilk, J., Wallin, P., Andersson, L., Santos Cruz, S., Monteiro, A., &amp; Rød, J. K. (2022). Navigating urban heat – Assessing the potential of a pedestrian routing tool. </w:t>
            </w:r>
            <w:r>
              <w:rPr>
                <w:rFonts w:asciiTheme="majorHAnsi" w:hAnsiTheme="majorHAnsi" w:cs="Times-Italic"/>
                <w:i/>
                <w:iCs/>
                <w:sz w:val="20"/>
                <w:szCs w:val="20"/>
                <w:lang w:val="en-US"/>
              </w:rPr>
              <w:t>Urban Climate, 46</w:t>
            </w:r>
            <w:r>
              <w:rPr>
                <w:rFonts w:asciiTheme="majorHAnsi" w:hAnsiTheme="majorHAnsi" w:cs="Times-Roman"/>
                <w:sz w:val="20"/>
                <w:szCs w:val="20"/>
                <w:lang w:val="en-US"/>
              </w:rPr>
              <w:t xml:space="preserve">(101333). </w:t>
            </w:r>
            <w:hyperlink r:id="rId32" w:history="1">
              <w:r>
                <w:rPr>
                  <w:rStyle w:val="Hyperlink"/>
                  <w:rFonts w:cs="Times-Roman"/>
                  <w:color w:val="0000E9"/>
                  <w:sz w:val="20"/>
                  <w:szCs w:val="20"/>
                  <w:lang w:val="en-US"/>
                </w:rPr>
                <w:t>https://doi.org/10.1016/j.uclim.2022.101333</w:t>
              </w:r>
            </w:hyperlink>
          </w:p>
        </w:tc>
      </w:tr>
      <w:tr w:rsidR="004A32A2" w14:paraId="74A5F384" w14:textId="77777777">
        <w:tc>
          <w:tcPr>
            <w:tcW w:w="966" w:type="dxa"/>
            <w:tcBorders>
              <w:top w:val="single" w:sz="4" w:space="0" w:color="auto"/>
              <w:left w:val="single" w:sz="4" w:space="0" w:color="auto"/>
              <w:bottom w:val="single" w:sz="4" w:space="0" w:color="auto"/>
              <w:right w:val="single" w:sz="4" w:space="0" w:color="auto"/>
            </w:tcBorders>
            <w:hideMark/>
          </w:tcPr>
          <w:p w14:paraId="1B3EEFDD"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31</w:t>
            </w:r>
          </w:p>
        </w:tc>
        <w:tc>
          <w:tcPr>
            <w:tcW w:w="8050" w:type="dxa"/>
            <w:tcBorders>
              <w:top w:val="single" w:sz="4" w:space="0" w:color="auto"/>
              <w:left w:val="single" w:sz="4" w:space="0" w:color="auto"/>
              <w:bottom w:val="single" w:sz="4" w:space="0" w:color="auto"/>
              <w:right w:val="single" w:sz="4" w:space="0" w:color="auto"/>
            </w:tcBorders>
            <w:hideMark/>
          </w:tcPr>
          <w:p w14:paraId="5884AB21"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Neset, T. S., Wilk, J., Cruz, S., Graça, M., Rød, J. K., </w:t>
            </w:r>
            <w:proofErr w:type="spellStart"/>
            <w:r>
              <w:rPr>
                <w:rFonts w:asciiTheme="majorHAnsi" w:hAnsiTheme="majorHAnsi" w:cs="Times-Roman"/>
                <w:sz w:val="20"/>
                <w:szCs w:val="20"/>
                <w:lang w:val="en-US"/>
              </w:rPr>
              <w:t>Maarse</w:t>
            </w:r>
            <w:proofErr w:type="spellEnd"/>
            <w:r>
              <w:rPr>
                <w:rFonts w:asciiTheme="majorHAnsi" w:hAnsiTheme="majorHAnsi" w:cs="Times-Roman"/>
                <w:sz w:val="20"/>
                <w:szCs w:val="20"/>
                <w:lang w:val="en-US"/>
              </w:rPr>
              <w:t xml:space="preserve">, M. J., Wallin, P., &amp; Andersson, L. (2021). Co-designing a citizen science climate service. </w:t>
            </w:r>
            <w:r>
              <w:rPr>
                <w:rFonts w:asciiTheme="majorHAnsi" w:hAnsiTheme="majorHAnsi" w:cs="Times-Italic"/>
                <w:i/>
                <w:iCs/>
                <w:sz w:val="20"/>
                <w:szCs w:val="20"/>
                <w:lang w:val="en-US"/>
              </w:rPr>
              <w:t>Climate Services, 24</w:t>
            </w:r>
            <w:r>
              <w:rPr>
                <w:rFonts w:asciiTheme="majorHAnsi" w:hAnsiTheme="majorHAnsi" w:cs="Times-Roman"/>
                <w:sz w:val="20"/>
                <w:szCs w:val="20"/>
                <w:lang w:val="en-US"/>
              </w:rPr>
              <w:t xml:space="preserve">(100273). </w:t>
            </w:r>
            <w:hyperlink r:id="rId33" w:history="1">
              <w:r>
                <w:rPr>
                  <w:rStyle w:val="Hyperlink"/>
                  <w:rFonts w:cs="Times-Roman"/>
                  <w:color w:val="0000E9"/>
                  <w:sz w:val="20"/>
                  <w:szCs w:val="20"/>
                  <w:lang w:val="en-US"/>
                </w:rPr>
                <w:t>https://doi.org/10.1016/j.cliser.2021.100273</w:t>
              </w:r>
            </w:hyperlink>
          </w:p>
        </w:tc>
      </w:tr>
      <w:tr w:rsidR="004A32A2" w14:paraId="38368901" w14:textId="77777777">
        <w:tc>
          <w:tcPr>
            <w:tcW w:w="966" w:type="dxa"/>
            <w:tcBorders>
              <w:top w:val="single" w:sz="4" w:space="0" w:color="auto"/>
              <w:left w:val="single" w:sz="4" w:space="0" w:color="auto"/>
              <w:bottom w:val="single" w:sz="4" w:space="0" w:color="auto"/>
              <w:right w:val="single" w:sz="4" w:space="0" w:color="auto"/>
            </w:tcBorders>
            <w:hideMark/>
          </w:tcPr>
          <w:p w14:paraId="1D7C09B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32</w:t>
            </w:r>
          </w:p>
        </w:tc>
        <w:tc>
          <w:tcPr>
            <w:tcW w:w="8050" w:type="dxa"/>
            <w:tcBorders>
              <w:top w:val="single" w:sz="4" w:space="0" w:color="auto"/>
              <w:left w:val="single" w:sz="4" w:space="0" w:color="auto"/>
              <w:bottom w:val="single" w:sz="4" w:space="0" w:color="auto"/>
              <w:right w:val="single" w:sz="4" w:space="0" w:color="auto"/>
            </w:tcBorders>
            <w:hideMark/>
          </w:tcPr>
          <w:p w14:paraId="3A8C6CCB"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Paparrizos, S., </w:t>
            </w:r>
            <w:proofErr w:type="spellStart"/>
            <w:r>
              <w:rPr>
                <w:rFonts w:asciiTheme="majorHAnsi" w:hAnsiTheme="majorHAnsi" w:cs="Times-Roman"/>
                <w:sz w:val="20"/>
                <w:szCs w:val="20"/>
                <w:lang w:val="en-US"/>
              </w:rPr>
              <w:t>Dogbey</w:t>
            </w:r>
            <w:proofErr w:type="spellEnd"/>
            <w:r>
              <w:rPr>
                <w:rFonts w:asciiTheme="majorHAnsi" w:hAnsiTheme="majorHAnsi" w:cs="Times-Roman"/>
                <w:sz w:val="20"/>
                <w:szCs w:val="20"/>
                <w:lang w:val="en-US"/>
              </w:rPr>
              <w:t xml:space="preserve">, R. K., Sutanto, S. J., </w:t>
            </w:r>
            <w:proofErr w:type="spellStart"/>
            <w:r>
              <w:rPr>
                <w:rFonts w:asciiTheme="majorHAnsi" w:hAnsiTheme="majorHAnsi" w:cs="Times-Roman"/>
                <w:sz w:val="20"/>
                <w:szCs w:val="20"/>
                <w:lang w:val="en-US"/>
              </w:rPr>
              <w:t>Gbangou</w:t>
            </w:r>
            <w:proofErr w:type="spellEnd"/>
            <w:r>
              <w:rPr>
                <w:rFonts w:asciiTheme="majorHAnsi" w:hAnsiTheme="majorHAnsi" w:cs="Times-Roman"/>
                <w:sz w:val="20"/>
                <w:szCs w:val="20"/>
                <w:lang w:val="en-US"/>
              </w:rPr>
              <w:t xml:space="preserve">, T., </w:t>
            </w:r>
            <w:proofErr w:type="spellStart"/>
            <w:r>
              <w:rPr>
                <w:rFonts w:asciiTheme="majorHAnsi" w:hAnsiTheme="majorHAnsi" w:cs="Times-Roman"/>
                <w:sz w:val="20"/>
                <w:szCs w:val="20"/>
                <w:lang w:val="en-US"/>
              </w:rPr>
              <w:t>Kranjac-Berisavljevic</w:t>
            </w:r>
            <w:proofErr w:type="spellEnd"/>
            <w:r>
              <w:rPr>
                <w:rFonts w:asciiTheme="majorHAnsi" w:hAnsiTheme="majorHAnsi" w:cs="Times-Roman"/>
                <w:sz w:val="20"/>
                <w:szCs w:val="20"/>
                <w:lang w:val="en-US"/>
              </w:rPr>
              <w:t xml:space="preserve">, G., </w:t>
            </w:r>
            <w:proofErr w:type="spellStart"/>
            <w:r>
              <w:rPr>
                <w:rFonts w:asciiTheme="majorHAnsi" w:hAnsiTheme="majorHAnsi" w:cs="Times-Roman"/>
                <w:sz w:val="20"/>
                <w:szCs w:val="20"/>
                <w:lang w:val="en-US"/>
              </w:rPr>
              <w:t>Gandaa</w:t>
            </w:r>
            <w:proofErr w:type="spellEnd"/>
            <w:r>
              <w:rPr>
                <w:rFonts w:asciiTheme="majorHAnsi" w:hAnsiTheme="majorHAnsi" w:cs="Times-Roman"/>
                <w:sz w:val="20"/>
                <w:szCs w:val="20"/>
                <w:lang w:val="en-US"/>
              </w:rPr>
              <w:t xml:space="preserve">, B. Z., Ludwig, F., &amp; van </w:t>
            </w:r>
            <w:proofErr w:type="spellStart"/>
            <w:r>
              <w:rPr>
                <w:rFonts w:asciiTheme="majorHAnsi" w:hAnsiTheme="majorHAnsi" w:cs="Times-Roman"/>
                <w:sz w:val="20"/>
                <w:szCs w:val="20"/>
                <w:lang w:val="en-US"/>
              </w:rPr>
              <w:t>Slobbe</w:t>
            </w:r>
            <w:proofErr w:type="spellEnd"/>
            <w:r>
              <w:rPr>
                <w:rFonts w:asciiTheme="majorHAnsi" w:hAnsiTheme="majorHAnsi" w:cs="Times-Roman"/>
                <w:sz w:val="20"/>
                <w:szCs w:val="20"/>
                <w:lang w:val="en-US"/>
              </w:rPr>
              <w:t xml:space="preserve">, E. (2023). Hydro-climate information services for smallholder farmers: </w:t>
            </w:r>
            <w:proofErr w:type="spellStart"/>
            <w:r>
              <w:rPr>
                <w:rFonts w:asciiTheme="majorHAnsi" w:hAnsiTheme="majorHAnsi" w:cs="Times-Roman"/>
                <w:sz w:val="20"/>
                <w:szCs w:val="20"/>
                <w:lang w:val="en-US"/>
              </w:rPr>
              <w:lastRenderedPageBreak/>
              <w:t>FarmerSupport</w:t>
            </w:r>
            <w:proofErr w:type="spellEnd"/>
            <w:r>
              <w:rPr>
                <w:rFonts w:asciiTheme="majorHAnsi" w:hAnsiTheme="majorHAnsi" w:cs="Times-Roman"/>
                <w:sz w:val="20"/>
                <w:szCs w:val="20"/>
                <w:lang w:val="en-US"/>
              </w:rPr>
              <w:t xml:space="preserve"> app principles, implementation, and evaluation. </w:t>
            </w:r>
            <w:r>
              <w:rPr>
                <w:rFonts w:asciiTheme="majorHAnsi" w:hAnsiTheme="majorHAnsi" w:cs="Times-Italic"/>
                <w:i/>
                <w:iCs/>
                <w:sz w:val="20"/>
                <w:szCs w:val="20"/>
                <w:lang w:val="en-US"/>
              </w:rPr>
              <w:t>Climate Services, 30</w:t>
            </w:r>
            <w:r>
              <w:rPr>
                <w:rFonts w:asciiTheme="majorHAnsi" w:hAnsiTheme="majorHAnsi" w:cs="Times-Roman"/>
                <w:sz w:val="20"/>
                <w:szCs w:val="20"/>
                <w:lang w:val="en-US"/>
              </w:rPr>
              <w:t xml:space="preserve">(100387). </w:t>
            </w:r>
            <w:hyperlink r:id="rId34" w:history="1">
              <w:r>
                <w:rPr>
                  <w:rStyle w:val="Hyperlink"/>
                  <w:rFonts w:cs="Times-Roman"/>
                  <w:color w:val="0000E9"/>
                  <w:sz w:val="20"/>
                  <w:szCs w:val="20"/>
                  <w:lang w:val="en-US"/>
                </w:rPr>
                <w:t>https://doi.org/10.1016/j.cliser.2023.100387</w:t>
              </w:r>
            </w:hyperlink>
          </w:p>
        </w:tc>
      </w:tr>
      <w:tr w:rsidR="004A32A2" w14:paraId="219FF79B" w14:textId="77777777">
        <w:tc>
          <w:tcPr>
            <w:tcW w:w="966" w:type="dxa"/>
            <w:tcBorders>
              <w:top w:val="single" w:sz="4" w:space="0" w:color="auto"/>
              <w:left w:val="single" w:sz="4" w:space="0" w:color="auto"/>
              <w:bottom w:val="single" w:sz="4" w:space="0" w:color="auto"/>
              <w:right w:val="single" w:sz="4" w:space="0" w:color="auto"/>
            </w:tcBorders>
            <w:hideMark/>
          </w:tcPr>
          <w:p w14:paraId="1F32BC5D"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lastRenderedPageBreak/>
              <w:t>33</w:t>
            </w:r>
          </w:p>
        </w:tc>
        <w:tc>
          <w:tcPr>
            <w:tcW w:w="8050" w:type="dxa"/>
            <w:tcBorders>
              <w:top w:val="single" w:sz="4" w:space="0" w:color="auto"/>
              <w:left w:val="single" w:sz="4" w:space="0" w:color="auto"/>
              <w:bottom w:val="single" w:sz="4" w:space="0" w:color="auto"/>
              <w:right w:val="single" w:sz="4" w:space="0" w:color="auto"/>
            </w:tcBorders>
            <w:hideMark/>
          </w:tcPr>
          <w:p w14:paraId="7870FCD2"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Pimentel, R., </w:t>
            </w:r>
            <w:proofErr w:type="spellStart"/>
            <w:r>
              <w:rPr>
                <w:rFonts w:asciiTheme="majorHAnsi" w:hAnsiTheme="majorHAnsi" w:cs="Times-Roman"/>
                <w:sz w:val="20"/>
                <w:szCs w:val="20"/>
                <w:lang w:val="en-US"/>
              </w:rPr>
              <w:t>Photiadou</w:t>
            </w:r>
            <w:proofErr w:type="spellEnd"/>
            <w:r>
              <w:rPr>
                <w:rFonts w:asciiTheme="majorHAnsi" w:hAnsiTheme="majorHAnsi" w:cs="Times-Roman"/>
                <w:sz w:val="20"/>
                <w:szCs w:val="20"/>
                <w:lang w:val="en-US"/>
              </w:rPr>
              <w:t xml:space="preserve">, C., Little, L., Huber, A., Lemoine, A., Leidinger, D., Lira-Loarca, A., </w:t>
            </w:r>
            <w:proofErr w:type="spellStart"/>
            <w:r>
              <w:rPr>
                <w:rFonts w:asciiTheme="majorHAnsi" w:hAnsiTheme="majorHAnsi" w:cs="Times-Roman"/>
                <w:sz w:val="20"/>
                <w:szCs w:val="20"/>
                <w:lang w:val="en-US"/>
              </w:rPr>
              <w:t>Lückenkötter</w:t>
            </w:r>
            <w:proofErr w:type="spellEnd"/>
            <w:r>
              <w:rPr>
                <w:rFonts w:asciiTheme="majorHAnsi" w:hAnsiTheme="majorHAnsi" w:cs="Times-Roman"/>
                <w:sz w:val="20"/>
                <w:szCs w:val="20"/>
                <w:lang w:val="en-US"/>
              </w:rPr>
              <w:t xml:space="preserve">, J., &amp; Pasten-Zapata, E. (2022). Improving the usability of climate services for the water sector: The AQUACLEW experience. </w:t>
            </w:r>
            <w:r>
              <w:rPr>
                <w:rFonts w:asciiTheme="majorHAnsi" w:hAnsiTheme="majorHAnsi" w:cs="Times-Italic"/>
                <w:i/>
                <w:iCs/>
                <w:sz w:val="20"/>
                <w:szCs w:val="20"/>
                <w:lang w:val="en-US"/>
              </w:rPr>
              <w:t>Climate Services, 28</w:t>
            </w:r>
            <w:r>
              <w:rPr>
                <w:rFonts w:asciiTheme="majorHAnsi" w:hAnsiTheme="majorHAnsi" w:cs="Times-Roman"/>
                <w:sz w:val="20"/>
                <w:szCs w:val="20"/>
                <w:lang w:val="en-US"/>
              </w:rPr>
              <w:t xml:space="preserve">(100329). </w:t>
            </w:r>
            <w:hyperlink r:id="rId35" w:history="1">
              <w:r>
                <w:rPr>
                  <w:rStyle w:val="Hyperlink"/>
                  <w:rFonts w:cs="Times-Roman"/>
                  <w:color w:val="0000E9"/>
                  <w:sz w:val="20"/>
                  <w:szCs w:val="20"/>
                  <w:lang w:val="en-US"/>
                </w:rPr>
                <w:t>https://doi.org/10.1016/j.cliser.2022.100329</w:t>
              </w:r>
            </w:hyperlink>
          </w:p>
        </w:tc>
      </w:tr>
      <w:tr w:rsidR="004A32A2" w14:paraId="54AA4913" w14:textId="77777777">
        <w:tc>
          <w:tcPr>
            <w:tcW w:w="966" w:type="dxa"/>
            <w:tcBorders>
              <w:top w:val="single" w:sz="4" w:space="0" w:color="auto"/>
              <w:left w:val="single" w:sz="4" w:space="0" w:color="auto"/>
              <w:bottom w:val="single" w:sz="4" w:space="0" w:color="auto"/>
              <w:right w:val="single" w:sz="4" w:space="0" w:color="auto"/>
            </w:tcBorders>
            <w:hideMark/>
          </w:tcPr>
          <w:p w14:paraId="10EABDC4"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34</w:t>
            </w:r>
          </w:p>
        </w:tc>
        <w:tc>
          <w:tcPr>
            <w:tcW w:w="8050" w:type="dxa"/>
            <w:tcBorders>
              <w:top w:val="single" w:sz="4" w:space="0" w:color="auto"/>
              <w:left w:val="single" w:sz="4" w:space="0" w:color="auto"/>
              <w:bottom w:val="single" w:sz="4" w:space="0" w:color="auto"/>
              <w:right w:val="single" w:sz="4" w:space="0" w:color="auto"/>
            </w:tcBorders>
            <w:hideMark/>
          </w:tcPr>
          <w:p w14:paraId="187ED47C"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Sánchez-García, E., Rodríguez-Camino, E., </w:t>
            </w:r>
            <w:proofErr w:type="spellStart"/>
            <w:r>
              <w:rPr>
                <w:rFonts w:asciiTheme="majorHAnsi" w:hAnsiTheme="majorHAnsi" w:cs="Times-Roman"/>
                <w:sz w:val="20"/>
                <w:szCs w:val="20"/>
                <w:lang w:val="en-US"/>
              </w:rPr>
              <w:t>Bacciu</w:t>
            </w:r>
            <w:proofErr w:type="spellEnd"/>
            <w:r>
              <w:rPr>
                <w:rFonts w:asciiTheme="majorHAnsi" w:hAnsiTheme="majorHAnsi" w:cs="Times-Roman"/>
                <w:sz w:val="20"/>
                <w:szCs w:val="20"/>
                <w:lang w:val="en-US"/>
              </w:rPr>
              <w:t xml:space="preserve">, V., Chiarle, M., Costa-Saura, J., Garrido, M. N., Lledó, L., </w:t>
            </w:r>
            <w:proofErr w:type="spellStart"/>
            <w:r>
              <w:rPr>
                <w:rFonts w:asciiTheme="majorHAnsi" w:hAnsiTheme="majorHAnsi" w:cs="Times-Roman"/>
                <w:sz w:val="20"/>
                <w:szCs w:val="20"/>
                <w:lang w:val="en-US"/>
              </w:rPr>
              <w:t>Navascués</w:t>
            </w:r>
            <w:proofErr w:type="spellEnd"/>
            <w:r>
              <w:rPr>
                <w:rFonts w:asciiTheme="majorHAnsi" w:hAnsiTheme="majorHAnsi" w:cs="Times-Roman"/>
                <w:sz w:val="20"/>
                <w:szCs w:val="20"/>
                <w:lang w:val="en-US"/>
              </w:rPr>
              <w:t xml:space="preserve">, B., </w:t>
            </w:r>
            <w:proofErr w:type="spellStart"/>
            <w:r>
              <w:rPr>
                <w:rFonts w:asciiTheme="majorHAnsi" w:hAnsiTheme="majorHAnsi" w:cs="Times-Roman"/>
                <w:sz w:val="20"/>
                <w:szCs w:val="20"/>
                <w:lang w:val="en-US"/>
              </w:rPr>
              <w:t>Paranunzio</w:t>
            </w:r>
            <w:proofErr w:type="spellEnd"/>
            <w:r>
              <w:rPr>
                <w:rFonts w:asciiTheme="majorHAnsi" w:hAnsiTheme="majorHAnsi" w:cs="Times-Roman"/>
                <w:sz w:val="20"/>
                <w:szCs w:val="20"/>
                <w:lang w:val="en-US"/>
              </w:rPr>
              <w:t xml:space="preserve">, R., </w:t>
            </w:r>
            <w:proofErr w:type="spellStart"/>
            <w:r>
              <w:rPr>
                <w:rFonts w:asciiTheme="majorHAnsi" w:hAnsiTheme="majorHAnsi" w:cs="Times-Roman"/>
                <w:sz w:val="20"/>
                <w:szCs w:val="20"/>
                <w:lang w:val="en-US"/>
              </w:rPr>
              <w:t>Terzago</w:t>
            </w:r>
            <w:proofErr w:type="spellEnd"/>
            <w:r>
              <w:rPr>
                <w:rFonts w:asciiTheme="majorHAnsi" w:hAnsiTheme="majorHAnsi" w:cs="Times-Roman"/>
                <w:sz w:val="20"/>
                <w:szCs w:val="20"/>
                <w:lang w:val="en-US"/>
              </w:rPr>
              <w:t xml:space="preserve">, S., Bongiovanni, G., Mereu, V., Nigrelli, G., Santini, M., </w:t>
            </w:r>
            <w:proofErr w:type="spellStart"/>
            <w:r>
              <w:rPr>
                <w:rFonts w:asciiTheme="majorHAnsi" w:hAnsiTheme="majorHAnsi" w:cs="Times-Roman"/>
                <w:sz w:val="20"/>
                <w:szCs w:val="20"/>
                <w:lang w:val="en-US"/>
              </w:rPr>
              <w:t>Soret</w:t>
            </w:r>
            <w:proofErr w:type="spellEnd"/>
            <w:r>
              <w:rPr>
                <w:rFonts w:asciiTheme="majorHAnsi" w:hAnsiTheme="majorHAnsi" w:cs="Times-Roman"/>
                <w:sz w:val="20"/>
                <w:szCs w:val="20"/>
                <w:lang w:val="en-US"/>
              </w:rPr>
              <w:t xml:space="preserve">, A., &amp; von Hardenberg, J. (2022). Co-design of sectoral climate services based on seasonal prediction information in the Mediterranean. </w:t>
            </w:r>
            <w:r>
              <w:rPr>
                <w:rFonts w:asciiTheme="majorHAnsi" w:hAnsiTheme="majorHAnsi" w:cs="Times-Italic"/>
                <w:i/>
                <w:iCs/>
                <w:sz w:val="20"/>
                <w:szCs w:val="20"/>
                <w:lang w:val="en-US"/>
              </w:rPr>
              <w:t>Climate Services, 28</w:t>
            </w:r>
            <w:r>
              <w:rPr>
                <w:rFonts w:asciiTheme="majorHAnsi" w:hAnsiTheme="majorHAnsi" w:cs="Times-Roman"/>
                <w:sz w:val="20"/>
                <w:szCs w:val="20"/>
                <w:lang w:val="en-US"/>
              </w:rPr>
              <w:t xml:space="preserve">(100337). </w:t>
            </w:r>
            <w:hyperlink r:id="rId36" w:history="1">
              <w:r>
                <w:rPr>
                  <w:rStyle w:val="Hyperlink"/>
                  <w:rFonts w:cs="Times-Roman"/>
                  <w:color w:val="0000E9"/>
                  <w:sz w:val="20"/>
                  <w:szCs w:val="20"/>
                  <w:lang w:val="en-US"/>
                </w:rPr>
                <w:t>https://doi.org/10.1016/j.cliser.2022.100337</w:t>
              </w:r>
            </w:hyperlink>
          </w:p>
        </w:tc>
      </w:tr>
      <w:tr w:rsidR="004A32A2" w14:paraId="4C0500E4" w14:textId="77777777">
        <w:tc>
          <w:tcPr>
            <w:tcW w:w="966" w:type="dxa"/>
            <w:tcBorders>
              <w:top w:val="single" w:sz="4" w:space="0" w:color="auto"/>
              <w:left w:val="single" w:sz="4" w:space="0" w:color="auto"/>
              <w:bottom w:val="single" w:sz="4" w:space="0" w:color="auto"/>
              <w:right w:val="single" w:sz="4" w:space="0" w:color="auto"/>
            </w:tcBorders>
            <w:hideMark/>
          </w:tcPr>
          <w:p w14:paraId="23C2484D"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35</w:t>
            </w:r>
          </w:p>
        </w:tc>
        <w:tc>
          <w:tcPr>
            <w:tcW w:w="8050" w:type="dxa"/>
            <w:tcBorders>
              <w:top w:val="single" w:sz="4" w:space="0" w:color="auto"/>
              <w:left w:val="single" w:sz="4" w:space="0" w:color="auto"/>
              <w:bottom w:val="single" w:sz="4" w:space="0" w:color="auto"/>
              <w:right w:val="single" w:sz="4" w:space="0" w:color="auto"/>
            </w:tcBorders>
            <w:hideMark/>
          </w:tcPr>
          <w:p w14:paraId="6F5C891D"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Sarku, R., van </w:t>
            </w:r>
            <w:proofErr w:type="spellStart"/>
            <w:r>
              <w:rPr>
                <w:rFonts w:asciiTheme="majorHAnsi" w:hAnsiTheme="majorHAnsi" w:cs="Times-Roman"/>
                <w:sz w:val="20"/>
                <w:szCs w:val="20"/>
                <w:lang w:val="en-US"/>
              </w:rPr>
              <w:t>Slobbe</w:t>
            </w:r>
            <w:proofErr w:type="spellEnd"/>
            <w:r>
              <w:rPr>
                <w:rFonts w:asciiTheme="majorHAnsi" w:hAnsiTheme="majorHAnsi" w:cs="Times-Roman"/>
                <w:sz w:val="20"/>
                <w:szCs w:val="20"/>
                <w:lang w:val="en-US"/>
              </w:rPr>
              <w:t xml:space="preserve">, E., Termeer, K., </w:t>
            </w:r>
            <w:proofErr w:type="spellStart"/>
            <w:r>
              <w:rPr>
                <w:rFonts w:asciiTheme="majorHAnsi" w:hAnsiTheme="majorHAnsi" w:cs="Times-Roman"/>
                <w:sz w:val="20"/>
                <w:szCs w:val="20"/>
                <w:lang w:val="en-US"/>
              </w:rPr>
              <w:t>Kranjac-Berisavljevic</w:t>
            </w:r>
            <w:proofErr w:type="spellEnd"/>
            <w:r>
              <w:rPr>
                <w:rFonts w:asciiTheme="majorHAnsi" w:hAnsiTheme="majorHAnsi" w:cs="Times-Roman"/>
                <w:sz w:val="20"/>
                <w:szCs w:val="20"/>
                <w:lang w:val="en-US"/>
              </w:rPr>
              <w:t xml:space="preserve">, G., &amp; Dewulf, A. (2022). Usability of weather information services for decision-making in farming: Evidence from the Ada East District, Ghana. </w:t>
            </w:r>
            <w:r>
              <w:rPr>
                <w:rFonts w:asciiTheme="majorHAnsi" w:hAnsiTheme="majorHAnsi" w:cs="Times-Italic"/>
                <w:i/>
                <w:iCs/>
                <w:sz w:val="20"/>
                <w:szCs w:val="20"/>
                <w:lang w:val="en-US"/>
              </w:rPr>
              <w:t>Climate Services, 25</w:t>
            </w:r>
            <w:r>
              <w:rPr>
                <w:rFonts w:asciiTheme="majorHAnsi" w:hAnsiTheme="majorHAnsi" w:cs="Times-Roman"/>
                <w:sz w:val="20"/>
                <w:szCs w:val="20"/>
                <w:lang w:val="en-US"/>
              </w:rPr>
              <w:t xml:space="preserve">(100275). </w:t>
            </w:r>
            <w:hyperlink r:id="rId37" w:history="1">
              <w:r>
                <w:rPr>
                  <w:rStyle w:val="Hyperlink"/>
                  <w:rFonts w:cs="Times-Roman"/>
                  <w:color w:val="0000E9"/>
                  <w:sz w:val="20"/>
                  <w:szCs w:val="20"/>
                  <w:lang w:val="en-US"/>
                </w:rPr>
                <w:t>https://doi.org/10.1016/j.cliser.2021.100275</w:t>
              </w:r>
            </w:hyperlink>
          </w:p>
        </w:tc>
      </w:tr>
      <w:tr w:rsidR="004A32A2" w14:paraId="1711AE29" w14:textId="77777777">
        <w:tc>
          <w:tcPr>
            <w:tcW w:w="966" w:type="dxa"/>
            <w:tcBorders>
              <w:top w:val="single" w:sz="4" w:space="0" w:color="auto"/>
              <w:left w:val="single" w:sz="4" w:space="0" w:color="auto"/>
              <w:bottom w:val="single" w:sz="4" w:space="0" w:color="auto"/>
              <w:right w:val="single" w:sz="4" w:space="0" w:color="auto"/>
            </w:tcBorders>
            <w:hideMark/>
          </w:tcPr>
          <w:p w14:paraId="76FFFF45"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36</w:t>
            </w:r>
          </w:p>
        </w:tc>
        <w:tc>
          <w:tcPr>
            <w:tcW w:w="8050" w:type="dxa"/>
            <w:tcBorders>
              <w:top w:val="single" w:sz="4" w:space="0" w:color="auto"/>
              <w:left w:val="single" w:sz="4" w:space="0" w:color="auto"/>
              <w:bottom w:val="single" w:sz="4" w:space="0" w:color="auto"/>
              <w:right w:val="single" w:sz="4" w:space="0" w:color="auto"/>
            </w:tcBorders>
            <w:hideMark/>
          </w:tcPr>
          <w:p w14:paraId="55F0EF1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Sesser, A. L., Westlake, S. M., Schafer, C., Roberts, J., </w:t>
            </w:r>
            <w:proofErr w:type="spellStart"/>
            <w:r>
              <w:rPr>
                <w:rFonts w:asciiTheme="majorHAnsi" w:hAnsiTheme="majorHAnsi" w:cs="Times-Roman"/>
                <w:sz w:val="20"/>
                <w:szCs w:val="20"/>
                <w:lang w:val="en-US"/>
              </w:rPr>
              <w:t>Samiappan</w:t>
            </w:r>
            <w:proofErr w:type="spellEnd"/>
            <w:r>
              <w:rPr>
                <w:rFonts w:asciiTheme="majorHAnsi" w:hAnsiTheme="majorHAnsi" w:cs="Times-Roman"/>
                <w:sz w:val="20"/>
                <w:szCs w:val="20"/>
                <w:lang w:val="en-US"/>
              </w:rPr>
              <w:t xml:space="preserve">, S., Allen, Y., </w:t>
            </w:r>
            <w:proofErr w:type="spellStart"/>
            <w:r>
              <w:rPr>
                <w:rFonts w:asciiTheme="majorHAnsi" w:hAnsiTheme="majorHAnsi" w:cs="Times-Roman"/>
                <w:sz w:val="20"/>
                <w:szCs w:val="20"/>
                <w:lang w:val="en-US"/>
              </w:rPr>
              <w:t>Linhoss</w:t>
            </w:r>
            <w:proofErr w:type="spellEnd"/>
            <w:r>
              <w:rPr>
                <w:rFonts w:asciiTheme="majorHAnsi" w:hAnsiTheme="majorHAnsi" w:cs="Times-Roman"/>
                <w:sz w:val="20"/>
                <w:szCs w:val="20"/>
                <w:lang w:val="en-US"/>
              </w:rPr>
              <w:t xml:space="preserve">, A., Hopkins, T. E., Liu, J., </w:t>
            </w:r>
            <w:proofErr w:type="spellStart"/>
            <w:r>
              <w:rPr>
                <w:rFonts w:asciiTheme="majorHAnsi" w:hAnsiTheme="majorHAnsi" w:cs="Times-Roman"/>
                <w:sz w:val="20"/>
                <w:szCs w:val="20"/>
                <w:lang w:val="en-US"/>
              </w:rPr>
              <w:t>Shamaskin</w:t>
            </w:r>
            <w:proofErr w:type="spellEnd"/>
            <w:r>
              <w:rPr>
                <w:rFonts w:asciiTheme="majorHAnsi" w:hAnsiTheme="majorHAnsi" w:cs="Times-Roman"/>
                <w:sz w:val="20"/>
                <w:szCs w:val="20"/>
                <w:lang w:val="en-US"/>
              </w:rPr>
              <w:t xml:space="preserve">, A., Tirpak, J., Smith, R. N., &amp; Evans, K. O. (2022). Co-producing decision support tools for strategic conservation of Gulf Coast Landscapes. </w:t>
            </w:r>
            <w:r>
              <w:rPr>
                <w:rFonts w:asciiTheme="majorHAnsi" w:hAnsiTheme="majorHAnsi" w:cs="Times-Italic"/>
                <w:i/>
                <w:iCs/>
                <w:sz w:val="20"/>
                <w:szCs w:val="20"/>
                <w:lang w:val="en-US"/>
              </w:rPr>
              <w:t>Current Research in Environmental Sustainability, 4</w:t>
            </w:r>
            <w:r>
              <w:rPr>
                <w:rFonts w:asciiTheme="majorHAnsi" w:hAnsiTheme="majorHAnsi" w:cs="Times-Roman"/>
                <w:sz w:val="20"/>
                <w:szCs w:val="20"/>
                <w:lang w:val="en-US"/>
              </w:rPr>
              <w:t xml:space="preserve">(100156). </w:t>
            </w:r>
            <w:hyperlink r:id="rId38" w:history="1">
              <w:r>
                <w:rPr>
                  <w:rStyle w:val="Hyperlink"/>
                  <w:rFonts w:cs="Times-Roman"/>
                  <w:color w:val="0000E9"/>
                  <w:sz w:val="20"/>
                  <w:szCs w:val="20"/>
                  <w:lang w:val="en-US"/>
                </w:rPr>
                <w:t>https://doi.org/10.1016/j.crsust.2022.100156</w:t>
              </w:r>
            </w:hyperlink>
          </w:p>
        </w:tc>
      </w:tr>
      <w:tr w:rsidR="004A32A2" w14:paraId="4CDDAA74" w14:textId="77777777">
        <w:tc>
          <w:tcPr>
            <w:tcW w:w="966" w:type="dxa"/>
            <w:tcBorders>
              <w:top w:val="single" w:sz="4" w:space="0" w:color="auto"/>
              <w:left w:val="single" w:sz="4" w:space="0" w:color="auto"/>
              <w:bottom w:val="single" w:sz="4" w:space="0" w:color="auto"/>
              <w:right w:val="single" w:sz="4" w:space="0" w:color="auto"/>
            </w:tcBorders>
            <w:hideMark/>
          </w:tcPr>
          <w:p w14:paraId="1C531C1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37</w:t>
            </w:r>
          </w:p>
        </w:tc>
        <w:tc>
          <w:tcPr>
            <w:tcW w:w="8050" w:type="dxa"/>
            <w:tcBorders>
              <w:top w:val="single" w:sz="4" w:space="0" w:color="auto"/>
              <w:left w:val="single" w:sz="4" w:space="0" w:color="auto"/>
              <w:bottom w:val="single" w:sz="4" w:space="0" w:color="auto"/>
              <w:right w:val="single" w:sz="4" w:space="0" w:color="auto"/>
            </w:tcBorders>
            <w:hideMark/>
          </w:tcPr>
          <w:p w14:paraId="3B692C84" w14:textId="77777777" w:rsidR="004A32A2" w:rsidRDefault="004A32A2">
            <w:pPr>
              <w:spacing w:after="0" w:line="276" w:lineRule="auto"/>
              <w:ind w:firstLine="0"/>
              <w:rPr>
                <w:rFonts w:asciiTheme="majorHAnsi" w:hAnsiTheme="majorHAnsi"/>
                <w:sz w:val="20"/>
                <w:szCs w:val="20"/>
              </w:rPr>
            </w:pPr>
            <w:proofErr w:type="spellStart"/>
            <w:r>
              <w:rPr>
                <w:rFonts w:asciiTheme="majorHAnsi" w:hAnsiTheme="majorHAnsi" w:cs="Times-Roman"/>
                <w:sz w:val="20"/>
                <w:szCs w:val="20"/>
                <w:lang w:val="en-US"/>
              </w:rPr>
              <w:t>Suhari</w:t>
            </w:r>
            <w:proofErr w:type="spellEnd"/>
            <w:r>
              <w:rPr>
                <w:rFonts w:asciiTheme="majorHAnsi" w:hAnsiTheme="majorHAnsi" w:cs="Times-Roman"/>
                <w:sz w:val="20"/>
                <w:szCs w:val="20"/>
                <w:lang w:val="en-US"/>
              </w:rPr>
              <w:t xml:space="preserve">, M., Dressel, M., &amp; Schuck-Zöller, S. (2022). Challenges and </w:t>
            </w:r>
            <w:proofErr w:type="gramStart"/>
            <w:r>
              <w:rPr>
                <w:rFonts w:asciiTheme="majorHAnsi" w:hAnsiTheme="majorHAnsi" w:cs="Times-Roman"/>
                <w:sz w:val="20"/>
                <w:szCs w:val="20"/>
                <w:lang w:val="en-US"/>
              </w:rPr>
              <w:t>best-practices</w:t>
            </w:r>
            <w:proofErr w:type="gramEnd"/>
            <w:r>
              <w:rPr>
                <w:rFonts w:asciiTheme="majorHAnsi" w:hAnsiTheme="majorHAnsi" w:cs="Times-Roman"/>
                <w:sz w:val="20"/>
                <w:szCs w:val="20"/>
                <w:lang w:val="en-US"/>
              </w:rPr>
              <w:t xml:space="preserve"> of co-creation: A qualitative interview study in the field of climate services. </w:t>
            </w:r>
            <w:r>
              <w:rPr>
                <w:rFonts w:asciiTheme="majorHAnsi" w:hAnsiTheme="majorHAnsi" w:cs="Times-Italic"/>
                <w:i/>
                <w:iCs/>
                <w:sz w:val="20"/>
                <w:szCs w:val="20"/>
                <w:lang w:val="en-US"/>
              </w:rPr>
              <w:t>Climate Services, 25</w:t>
            </w:r>
            <w:r>
              <w:rPr>
                <w:rFonts w:asciiTheme="majorHAnsi" w:hAnsiTheme="majorHAnsi" w:cs="Times-Roman"/>
                <w:sz w:val="20"/>
                <w:szCs w:val="20"/>
                <w:lang w:val="en-US"/>
              </w:rPr>
              <w:t xml:space="preserve">(100282). </w:t>
            </w:r>
            <w:hyperlink r:id="rId39" w:history="1">
              <w:r>
                <w:rPr>
                  <w:rStyle w:val="Hyperlink"/>
                  <w:rFonts w:cs="Times-Roman"/>
                  <w:color w:val="0000E9"/>
                  <w:sz w:val="20"/>
                  <w:szCs w:val="20"/>
                  <w:lang w:val="en-US"/>
                </w:rPr>
                <w:t>https://doi.org/10.1016/j.cliser.2021.100282</w:t>
              </w:r>
            </w:hyperlink>
          </w:p>
        </w:tc>
      </w:tr>
      <w:tr w:rsidR="004A32A2" w14:paraId="3979DAFC" w14:textId="77777777">
        <w:tc>
          <w:tcPr>
            <w:tcW w:w="966" w:type="dxa"/>
            <w:tcBorders>
              <w:top w:val="single" w:sz="4" w:space="0" w:color="auto"/>
              <w:left w:val="single" w:sz="4" w:space="0" w:color="auto"/>
              <w:bottom w:val="single" w:sz="4" w:space="0" w:color="auto"/>
              <w:right w:val="single" w:sz="4" w:space="0" w:color="auto"/>
            </w:tcBorders>
            <w:hideMark/>
          </w:tcPr>
          <w:p w14:paraId="6EE1108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38</w:t>
            </w:r>
          </w:p>
        </w:tc>
        <w:tc>
          <w:tcPr>
            <w:tcW w:w="8050" w:type="dxa"/>
            <w:tcBorders>
              <w:top w:val="single" w:sz="4" w:space="0" w:color="auto"/>
              <w:left w:val="single" w:sz="4" w:space="0" w:color="auto"/>
              <w:bottom w:val="single" w:sz="4" w:space="0" w:color="auto"/>
              <w:right w:val="single" w:sz="4" w:space="0" w:color="auto"/>
            </w:tcBorders>
            <w:hideMark/>
          </w:tcPr>
          <w:p w14:paraId="4B4537C8"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Swart, R. J., de Bruin, K., </w:t>
            </w:r>
            <w:proofErr w:type="spellStart"/>
            <w:r>
              <w:rPr>
                <w:rFonts w:asciiTheme="majorHAnsi" w:hAnsiTheme="majorHAnsi" w:cs="Times-Roman"/>
                <w:sz w:val="20"/>
                <w:szCs w:val="20"/>
                <w:lang w:val="en-US"/>
              </w:rPr>
              <w:t>Dhenain</w:t>
            </w:r>
            <w:proofErr w:type="spellEnd"/>
            <w:r>
              <w:rPr>
                <w:rFonts w:asciiTheme="majorHAnsi" w:hAnsiTheme="majorHAnsi" w:cs="Times-Roman"/>
                <w:sz w:val="20"/>
                <w:szCs w:val="20"/>
                <w:lang w:val="en-US"/>
              </w:rPr>
              <w:t xml:space="preserve">, S., Dubois, G., Groot, A., &amp; von der Forst, E. (2017). Developing climate information portals with users: Promises and pitfalls. </w:t>
            </w:r>
            <w:r>
              <w:rPr>
                <w:rFonts w:asciiTheme="majorHAnsi" w:hAnsiTheme="majorHAnsi" w:cs="Times-Italic"/>
                <w:i/>
                <w:iCs/>
                <w:sz w:val="20"/>
                <w:szCs w:val="20"/>
                <w:lang w:val="en-US"/>
              </w:rPr>
              <w:t>Climate Services, 6</w:t>
            </w:r>
            <w:r>
              <w:rPr>
                <w:rFonts w:asciiTheme="majorHAnsi" w:hAnsiTheme="majorHAnsi" w:cs="Times-Roman"/>
                <w:sz w:val="20"/>
                <w:szCs w:val="20"/>
                <w:lang w:val="en-US"/>
              </w:rPr>
              <w:t xml:space="preserve">, 12–22. </w:t>
            </w:r>
            <w:hyperlink r:id="rId40" w:history="1">
              <w:r>
                <w:rPr>
                  <w:rStyle w:val="Hyperlink"/>
                  <w:rFonts w:cs="Times-Roman"/>
                  <w:color w:val="0000E9"/>
                  <w:sz w:val="20"/>
                  <w:szCs w:val="20"/>
                  <w:lang w:val="en-US"/>
                </w:rPr>
                <w:t>https://doi.org/10.1016/j.cliser.2017.06.008</w:t>
              </w:r>
            </w:hyperlink>
          </w:p>
        </w:tc>
      </w:tr>
      <w:tr w:rsidR="004A32A2" w14:paraId="436EDB94" w14:textId="77777777">
        <w:tc>
          <w:tcPr>
            <w:tcW w:w="966" w:type="dxa"/>
            <w:tcBorders>
              <w:top w:val="single" w:sz="4" w:space="0" w:color="auto"/>
              <w:left w:val="single" w:sz="4" w:space="0" w:color="auto"/>
              <w:bottom w:val="single" w:sz="4" w:space="0" w:color="auto"/>
              <w:right w:val="single" w:sz="4" w:space="0" w:color="auto"/>
            </w:tcBorders>
            <w:hideMark/>
          </w:tcPr>
          <w:p w14:paraId="12D2BB88"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39</w:t>
            </w:r>
          </w:p>
        </w:tc>
        <w:tc>
          <w:tcPr>
            <w:tcW w:w="8050" w:type="dxa"/>
            <w:tcBorders>
              <w:top w:val="single" w:sz="4" w:space="0" w:color="auto"/>
              <w:left w:val="single" w:sz="4" w:space="0" w:color="auto"/>
              <w:bottom w:val="single" w:sz="4" w:space="0" w:color="auto"/>
              <w:right w:val="single" w:sz="4" w:space="0" w:color="auto"/>
            </w:tcBorders>
            <w:hideMark/>
          </w:tcPr>
          <w:p w14:paraId="39711CE9"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Terrado, M., Marcos, R., González-</w:t>
            </w:r>
            <w:proofErr w:type="spellStart"/>
            <w:r>
              <w:rPr>
                <w:rFonts w:asciiTheme="majorHAnsi" w:hAnsiTheme="majorHAnsi" w:cs="Times-Roman"/>
                <w:sz w:val="20"/>
                <w:szCs w:val="20"/>
                <w:lang w:val="en-US"/>
              </w:rPr>
              <w:t>Reviriego</w:t>
            </w:r>
            <w:proofErr w:type="spellEnd"/>
            <w:r>
              <w:rPr>
                <w:rFonts w:asciiTheme="majorHAnsi" w:hAnsiTheme="majorHAnsi" w:cs="Times-Roman"/>
                <w:sz w:val="20"/>
                <w:szCs w:val="20"/>
                <w:lang w:val="en-US"/>
              </w:rPr>
              <w:t xml:space="preserve">, N., Vigo, I., Nicodemou, A., Graça, A., Teixeira, M., Fontes, N., Silva, S., </w:t>
            </w:r>
            <w:proofErr w:type="spellStart"/>
            <w:r>
              <w:rPr>
                <w:rFonts w:asciiTheme="majorHAnsi" w:hAnsiTheme="majorHAnsi" w:cs="Times-Roman"/>
                <w:sz w:val="20"/>
                <w:szCs w:val="20"/>
                <w:lang w:val="en-US"/>
              </w:rPr>
              <w:t>Dell’Aquila</w:t>
            </w:r>
            <w:proofErr w:type="spellEnd"/>
            <w:r>
              <w:rPr>
                <w:rFonts w:asciiTheme="majorHAnsi" w:hAnsiTheme="majorHAnsi" w:cs="Times-Roman"/>
                <w:sz w:val="20"/>
                <w:szCs w:val="20"/>
                <w:lang w:val="en-US"/>
              </w:rPr>
              <w:t xml:space="preserve">, A., Ponti, L., </w:t>
            </w:r>
            <w:proofErr w:type="spellStart"/>
            <w:r>
              <w:rPr>
                <w:rFonts w:asciiTheme="majorHAnsi" w:hAnsiTheme="majorHAnsi" w:cs="Times-Roman"/>
                <w:sz w:val="20"/>
                <w:szCs w:val="20"/>
                <w:lang w:val="en-US"/>
              </w:rPr>
              <w:t>Calmanti</w:t>
            </w:r>
            <w:proofErr w:type="spellEnd"/>
            <w:r>
              <w:rPr>
                <w:rFonts w:asciiTheme="majorHAnsi" w:hAnsiTheme="majorHAnsi" w:cs="Times-Roman"/>
                <w:sz w:val="20"/>
                <w:szCs w:val="20"/>
                <w:lang w:val="en-US"/>
              </w:rPr>
              <w:t xml:space="preserve">, S., Bruno Soares, M., Khosravi, M., &amp; Caboni, F. (2023). Co-production pathway of an end-to-end climate service for improved decision-making in the wine sector. </w:t>
            </w:r>
            <w:r>
              <w:rPr>
                <w:rFonts w:asciiTheme="majorHAnsi" w:hAnsiTheme="majorHAnsi" w:cs="Times-Italic"/>
                <w:i/>
                <w:iCs/>
                <w:sz w:val="20"/>
                <w:szCs w:val="20"/>
                <w:lang w:val="en-US"/>
              </w:rPr>
              <w:t>Climate Services, 30</w:t>
            </w:r>
            <w:r>
              <w:rPr>
                <w:rFonts w:asciiTheme="majorHAnsi" w:hAnsiTheme="majorHAnsi" w:cs="Times-Roman"/>
                <w:sz w:val="20"/>
                <w:szCs w:val="20"/>
                <w:lang w:val="en-US"/>
              </w:rPr>
              <w:t xml:space="preserve">(100347). </w:t>
            </w:r>
            <w:hyperlink r:id="rId41" w:history="1">
              <w:r>
                <w:rPr>
                  <w:rStyle w:val="Hyperlink"/>
                  <w:rFonts w:cs="Times-Roman"/>
                  <w:color w:val="0000E9"/>
                  <w:sz w:val="20"/>
                  <w:szCs w:val="20"/>
                  <w:lang w:val="en-US"/>
                </w:rPr>
                <w:t>https://doi.org/10.1016/j.cliser.2023.100347</w:t>
              </w:r>
            </w:hyperlink>
          </w:p>
        </w:tc>
      </w:tr>
      <w:tr w:rsidR="004A32A2" w14:paraId="41416573" w14:textId="77777777">
        <w:tc>
          <w:tcPr>
            <w:tcW w:w="966" w:type="dxa"/>
            <w:tcBorders>
              <w:top w:val="single" w:sz="4" w:space="0" w:color="auto"/>
              <w:left w:val="single" w:sz="4" w:space="0" w:color="auto"/>
              <w:bottom w:val="single" w:sz="4" w:space="0" w:color="auto"/>
              <w:right w:val="single" w:sz="4" w:space="0" w:color="auto"/>
            </w:tcBorders>
            <w:hideMark/>
          </w:tcPr>
          <w:p w14:paraId="0EEA9ACE"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40</w:t>
            </w:r>
          </w:p>
        </w:tc>
        <w:tc>
          <w:tcPr>
            <w:tcW w:w="8050" w:type="dxa"/>
            <w:tcBorders>
              <w:top w:val="single" w:sz="4" w:space="0" w:color="auto"/>
              <w:left w:val="single" w:sz="4" w:space="0" w:color="auto"/>
              <w:bottom w:val="single" w:sz="4" w:space="0" w:color="auto"/>
              <w:right w:val="single" w:sz="4" w:space="0" w:color="auto"/>
            </w:tcBorders>
            <w:hideMark/>
          </w:tcPr>
          <w:p w14:paraId="594182BD"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Vano, J. A., Arnold, J. R., </w:t>
            </w:r>
            <w:proofErr w:type="spellStart"/>
            <w:r>
              <w:rPr>
                <w:rFonts w:asciiTheme="majorHAnsi" w:hAnsiTheme="majorHAnsi" w:cs="Times-Roman"/>
                <w:sz w:val="20"/>
                <w:szCs w:val="20"/>
                <w:lang w:val="en-US"/>
              </w:rPr>
              <w:t>Nijssen</w:t>
            </w:r>
            <w:proofErr w:type="spellEnd"/>
            <w:r>
              <w:rPr>
                <w:rFonts w:asciiTheme="majorHAnsi" w:hAnsiTheme="majorHAnsi" w:cs="Times-Roman"/>
                <w:sz w:val="20"/>
                <w:szCs w:val="20"/>
                <w:lang w:val="en-US"/>
              </w:rPr>
              <w:t xml:space="preserve">, B., Clark, M. P., Wood, A. W., Gutmann, E. D., </w:t>
            </w:r>
            <w:proofErr w:type="spellStart"/>
            <w:r>
              <w:rPr>
                <w:rFonts w:asciiTheme="majorHAnsi" w:hAnsiTheme="majorHAnsi" w:cs="Times-Roman"/>
                <w:sz w:val="20"/>
                <w:szCs w:val="20"/>
                <w:lang w:val="en-US"/>
              </w:rPr>
              <w:t>Addor</w:t>
            </w:r>
            <w:proofErr w:type="spellEnd"/>
            <w:r>
              <w:rPr>
                <w:rFonts w:asciiTheme="majorHAnsi" w:hAnsiTheme="majorHAnsi" w:cs="Times-Roman"/>
                <w:sz w:val="20"/>
                <w:szCs w:val="20"/>
                <w:lang w:val="en-US"/>
              </w:rPr>
              <w:t xml:space="preserve">, N., Hamman, J., &amp; Lehner, F. (2018). DOs and DON’Ts for using climate change information for water resource planning and management: guidelines for study design. </w:t>
            </w:r>
            <w:r>
              <w:rPr>
                <w:rFonts w:asciiTheme="majorHAnsi" w:hAnsiTheme="majorHAnsi" w:cs="Times-Italic"/>
                <w:i/>
                <w:iCs/>
                <w:sz w:val="20"/>
                <w:szCs w:val="20"/>
                <w:lang w:val="en-US"/>
              </w:rPr>
              <w:t>Climate Services, 12</w:t>
            </w:r>
            <w:r>
              <w:rPr>
                <w:rFonts w:asciiTheme="majorHAnsi" w:hAnsiTheme="majorHAnsi" w:cs="Times-Roman"/>
                <w:sz w:val="20"/>
                <w:szCs w:val="20"/>
                <w:lang w:val="en-US"/>
              </w:rPr>
              <w:t xml:space="preserve">, 1–13. </w:t>
            </w:r>
            <w:hyperlink r:id="rId42" w:history="1">
              <w:r>
                <w:rPr>
                  <w:rStyle w:val="Hyperlink"/>
                  <w:rFonts w:cs="Times-Roman"/>
                  <w:color w:val="0000E9"/>
                  <w:sz w:val="20"/>
                  <w:szCs w:val="20"/>
                  <w:lang w:val="en-US"/>
                </w:rPr>
                <w:t>https://doi.org/10.1016/j.cliser.2018.07.002</w:t>
              </w:r>
            </w:hyperlink>
          </w:p>
        </w:tc>
      </w:tr>
      <w:tr w:rsidR="004A32A2" w14:paraId="01DBD944" w14:textId="77777777">
        <w:tc>
          <w:tcPr>
            <w:tcW w:w="966" w:type="dxa"/>
            <w:tcBorders>
              <w:top w:val="single" w:sz="4" w:space="0" w:color="auto"/>
              <w:left w:val="single" w:sz="4" w:space="0" w:color="auto"/>
              <w:bottom w:val="single" w:sz="4" w:space="0" w:color="auto"/>
              <w:right w:val="single" w:sz="4" w:space="0" w:color="auto"/>
            </w:tcBorders>
            <w:hideMark/>
          </w:tcPr>
          <w:p w14:paraId="04DDCFFD"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41</w:t>
            </w:r>
          </w:p>
        </w:tc>
        <w:tc>
          <w:tcPr>
            <w:tcW w:w="8050" w:type="dxa"/>
            <w:tcBorders>
              <w:top w:val="single" w:sz="4" w:space="0" w:color="auto"/>
              <w:left w:val="single" w:sz="4" w:space="0" w:color="auto"/>
              <w:bottom w:val="single" w:sz="4" w:space="0" w:color="auto"/>
              <w:right w:val="single" w:sz="4" w:space="0" w:color="auto"/>
            </w:tcBorders>
            <w:hideMark/>
          </w:tcPr>
          <w:p w14:paraId="4C80BCE7"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Vincent, K., Daly, M., Scannell, C., &amp; </w:t>
            </w:r>
            <w:proofErr w:type="spellStart"/>
            <w:r>
              <w:rPr>
                <w:rFonts w:asciiTheme="majorHAnsi" w:hAnsiTheme="majorHAnsi" w:cs="Times-Roman"/>
                <w:sz w:val="20"/>
                <w:szCs w:val="20"/>
                <w:lang w:val="en-US"/>
              </w:rPr>
              <w:t>Leathes</w:t>
            </w:r>
            <w:proofErr w:type="spellEnd"/>
            <w:r>
              <w:rPr>
                <w:rFonts w:asciiTheme="majorHAnsi" w:hAnsiTheme="majorHAnsi" w:cs="Times-Roman"/>
                <w:sz w:val="20"/>
                <w:szCs w:val="20"/>
                <w:lang w:val="en-US"/>
              </w:rPr>
              <w:t xml:space="preserve">, B. (2018). What can climate services learn from theory and practice of co-production? </w:t>
            </w:r>
            <w:r>
              <w:rPr>
                <w:rFonts w:asciiTheme="majorHAnsi" w:hAnsiTheme="majorHAnsi" w:cs="Times-Italic"/>
                <w:i/>
                <w:iCs/>
                <w:sz w:val="20"/>
                <w:szCs w:val="20"/>
                <w:lang w:val="en-US"/>
              </w:rPr>
              <w:t>Climate Services, 12</w:t>
            </w:r>
            <w:r>
              <w:rPr>
                <w:rFonts w:asciiTheme="majorHAnsi" w:hAnsiTheme="majorHAnsi" w:cs="Times-Roman"/>
                <w:sz w:val="20"/>
                <w:szCs w:val="20"/>
                <w:lang w:val="en-US"/>
              </w:rPr>
              <w:t xml:space="preserve">, 48–58. </w:t>
            </w:r>
            <w:hyperlink r:id="rId43" w:history="1">
              <w:r>
                <w:rPr>
                  <w:rStyle w:val="Hyperlink"/>
                  <w:rFonts w:cs="Times-Roman"/>
                  <w:color w:val="0000E9"/>
                  <w:sz w:val="20"/>
                  <w:szCs w:val="20"/>
                  <w:lang w:val="en-US"/>
                </w:rPr>
                <w:t>https://doi.org/10.1016/j.cliser.2018.11.001</w:t>
              </w:r>
            </w:hyperlink>
          </w:p>
        </w:tc>
      </w:tr>
      <w:tr w:rsidR="004A32A2" w14:paraId="33DB9F96" w14:textId="77777777">
        <w:tc>
          <w:tcPr>
            <w:tcW w:w="966" w:type="dxa"/>
            <w:tcBorders>
              <w:top w:val="single" w:sz="4" w:space="0" w:color="auto"/>
              <w:left w:val="single" w:sz="4" w:space="0" w:color="auto"/>
              <w:bottom w:val="single" w:sz="4" w:space="0" w:color="auto"/>
              <w:right w:val="single" w:sz="4" w:space="0" w:color="auto"/>
            </w:tcBorders>
            <w:hideMark/>
          </w:tcPr>
          <w:p w14:paraId="6A2AB608"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42</w:t>
            </w:r>
          </w:p>
        </w:tc>
        <w:tc>
          <w:tcPr>
            <w:tcW w:w="8050" w:type="dxa"/>
            <w:tcBorders>
              <w:top w:val="single" w:sz="4" w:space="0" w:color="auto"/>
              <w:left w:val="single" w:sz="4" w:space="0" w:color="auto"/>
              <w:bottom w:val="single" w:sz="4" w:space="0" w:color="auto"/>
              <w:right w:val="single" w:sz="4" w:space="0" w:color="auto"/>
            </w:tcBorders>
            <w:hideMark/>
          </w:tcPr>
          <w:p w14:paraId="039630D2"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Visman, E., Vincent, K., </w:t>
            </w:r>
            <w:proofErr w:type="spellStart"/>
            <w:r>
              <w:rPr>
                <w:rFonts w:asciiTheme="majorHAnsi" w:hAnsiTheme="majorHAnsi" w:cs="Times-Roman"/>
                <w:sz w:val="20"/>
                <w:szCs w:val="20"/>
                <w:lang w:val="en-US"/>
              </w:rPr>
              <w:t>Steynor</w:t>
            </w:r>
            <w:proofErr w:type="spellEnd"/>
            <w:r>
              <w:rPr>
                <w:rFonts w:asciiTheme="majorHAnsi" w:hAnsiTheme="majorHAnsi" w:cs="Times-Roman"/>
                <w:sz w:val="20"/>
                <w:szCs w:val="20"/>
                <w:lang w:val="en-US"/>
              </w:rPr>
              <w:t xml:space="preserve">, A., Karani, I., &amp; Mwangi, E. (2022). Defining metrics for monitoring and evaluating the impact of co-production in climate services. </w:t>
            </w:r>
            <w:r>
              <w:rPr>
                <w:rFonts w:asciiTheme="majorHAnsi" w:hAnsiTheme="majorHAnsi" w:cs="Times-Italic"/>
                <w:i/>
                <w:iCs/>
                <w:sz w:val="20"/>
                <w:szCs w:val="20"/>
                <w:lang w:val="en-US"/>
              </w:rPr>
              <w:t>Climate Services, 26</w:t>
            </w:r>
            <w:r>
              <w:rPr>
                <w:rFonts w:asciiTheme="majorHAnsi" w:hAnsiTheme="majorHAnsi" w:cs="Times-Roman"/>
                <w:sz w:val="20"/>
                <w:szCs w:val="20"/>
                <w:lang w:val="en-US"/>
              </w:rPr>
              <w:t xml:space="preserve">(100297). </w:t>
            </w:r>
            <w:hyperlink r:id="rId44" w:history="1">
              <w:r>
                <w:rPr>
                  <w:rStyle w:val="Hyperlink"/>
                  <w:rFonts w:cs="Times-Roman"/>
                  <w:color w:val="0000E9"/>
                  <w:sz w:val="20"/>
                  <w:szCs w:val="20"/>
                  <w:lang w:val="en-US"/>
                </w:rPr>
                <w:t>https://doi.org/10.1016/j.cliser.2022.100297</w:t>
              </w:r>
            </w:hyperlink>
          </w:p>
        </w:tc>
      </w:tr>
      <w:tr w:rsidR="004A32A2" w14:paraId="25E860C5" w14:textId="77777777">
        <w:tc>
          <w:tcPr>
            <w:tcW w:w="966" w:type="dxa"/>
            <w:tcBorders>
              <w:top w:val="single" w:sz="4" w:space="0" w:color="auto"/>
              <w:left w:val="single" w:sz="4" w:space="0" w:color="auto"/>
              <w:bottom w:val="single" w:sz="4" w:space="0" w:color="auto"/>
              <w:right w:val="single" w:sz="4" w:space="0" w:color="auto"/>
            </w:tcBorders>
            <w:hideMark/>
          </w:tcPr>
          <w:p w14:paraId="0B861948"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43</w:t>
            </w:r>
          </w:p>
        </w:tc>
        <w:tc>
          <w:tcPr>
            <w:tcW w:w="8050" w:type="dxa"/>
            <w:tcBorders>
              <w:top w:val="single" w:sz="4" w:space="0" w:color="auto"/>
              <w:left w:val="single" w:sz="4" w:space="0" w:color="auto"/>
              <w:bottom w:val="single" w:sz="4" w:space="0" w:color="auto"/>
              <w:right w:val="single" w:sz="4" w:space="0" w:color="auto"/>
            </w:tcBorders>
            <w:hideMark/>
          </w:tcPr>
          <w:p w14:paraId="3284A63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Vogel, J., Letson, D., &amp; Herrick, C. (2017). A framework for climate services evaluation and its application to the Caribbean Agrometeorological Initiative. </w:t>
            </w:r>
            <w:r>
              <w:rPr>
                <w:rFonts w:asciiTheme="majorHAnsi" w:hAnsiTheme="majorHAnsi" w:cs="Times-Italic"/>
                <w:i/>
                <w:iCs/>
                <w:sz w:val="20"/>
                <w:szCs w:val="20"/>
                <w:lang w:val="en-US"/>
              </w:rPr>
              <w:t>Climate Services, 6</w:t>
            </w:r>
            <w:r>
              <w:rPr>
                <w:rFonts w:asciiTheme="majorHAnsi" w:hAnsiTheme="majorHAnsi" w:cs="Times-Roman"/>
                <w:sz w:val="20"/>
                <w:szCs w:val="20"/>
                <w:lang w:val="en-US"/>
              </w:rPr>
              <w:t xml:space="preserve">, 65–76. </w:t>
            </w:r>
            <w:hyperlink r:id="rId45" w:history="1">
              <w:r>
                <w:rPr>
                  <w:rStyle w:val="Hyperlink"/>
                  <w:rFonts w:cs="Times-Roman"/>
                  <w:color w:val="0000E9"/>
                  <w:sz w:val="20"/>
                  <w:szCs w:val="20"/>
                  <w:lang w:val="en-US"/>
                </w:rPr>
                <w:t>https://doi.org/10.1016/j.cliser.2017.07.003</w:t>
              </w:r>
            </w:hyperlink>
          </w:p>
        </w:tc>
      </w:tr>
      <w:tr w:rsidR="004A32A2" w14:paraId="4CCAC643" w14:textId="77777777">
        <w:tc>
          <w:tcPr>
            <w:tcW w:w="966" w:type="dxa"/>
            <w:tcBorders>
              <w:top w:val="single" w:sz="4" w:space="0" w:color="auto"/>
              <w:left w:val="single" w:sz="4" w:space="0" w:color="auto"/>
              <w:bottom w:val="single" w:sz="4" w:space="0" w:color="auto"/>
              <w:right w:val="single" w:sz="4" w:space="0" w:color="auto"/>
            </w:tcBorders>
            <w:hideMark/>
          </w:tcPr>
          <w:p w14:paraId="5ED53D88"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44</w:t>
            </w:r>
          </w:p>
        </w:tc>
        <w:tc>
          <w:tcPr>
            <w:tcW w:w="8050" w:type="dxa"/>
            <w:tcBorders>
              <w:top w:val="single" w:sz="4" w:space="0" w:color="auto"/>
              <w:left w:val="single" w:sz="4" w:space="0" w:color="auto"/>
              <w:bottom w:val="single" w:sz="4" w:space="0" w:color="auto"/>
              <w:right w:val="single" w:sz="4" w:space="0" w:color="auto"/>
            </w:tcBorders>
            <w:hideMark/>
          </w:tcPr>
          <w:p w14:paraId="35A66DB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Vollstedt, B., Koerth, J., Tsakiris, M., Nieskens, N., &amp; </w:t>
            </w:r>
            <w:proofErr w:type="spellStart"/>
            <w:r>
              <w:rPr>
                <w:rFonts w:asciiTheme="majorHAnsi" w:hAnsiTheme="majorHAnsi" w:cs="Times-Roman"/>
                <w:sz w:val="20"/>
                <w:szCs w:val="20"/>
                <w:lang w:val="en-US"/>
              </w:rPr>
              <w:t>Vafeidis</w:t>
            </w:r>
            <w:proofErr w:type="spellEnd"/>
            <w:r>
              <w:rPr>
                <w:rFonts w:asciiTheme="majorHAnsi" w:hAnsiTheme="majorHAnsi" w:cs="Times-Roman"/>
                <w:sz w:val="20"/>
                <w:szCs w:val="20"/>
                <w:lang w:val="en-US"/>
              </w:rPr>
              <w:t xml:space="preserve">, A. T. (2021). Co-production of climate services: A story map for future coastal flooding for the city of Flensburg. </w:t>
            </w:r>
            <w:r>
              <w:rPr>
                <w:rFonts w:asciiTheme="majorHAnsi" w:hAnsiTheme="majorHAnsi" w:cs="Times-Italic"/>
                <w:i/>
                <w:iCs/>
                <w:sz w:val="20"/>
                <w:szCs w:val="20"/>
                <w:lang w:val="en-US"/>
              </w:rPr>
              <w:t>Climate Services, 22</w:t>
            </w:r>
            <w:r>
              <w:rPr>
                <w:rFonts w:asciiTheme="majorHAnsi" w:hAnsiTheme="majorHAnsi" w:cs="Times-Roman"/>
                <w:sz w:val="20"/>
                <w:szCs w:val="20"/>
                <w:lang w:val="en-US"/>
              </w:rPr>
              <w:t xml:space="preserve">(100225). </w:t>
            </w:r>
            <w:hyperlink r:id="rId46" w:history="1">
              <w:r>
                <w:rPr>
                  <w:rStyle w:val="Hyperlink"/>
                  <w:rFonts w:cs="Times-Roman"/>
                  <w:color w:val="0000E9"/>
                  <w:sz w:val="20"/>
                  <w:szCs w:val="20"/>
                  <w:lang w:val="en-US"/>
                </w:rPr>
                <w:t>https://doi.org/10.1016/j.cliser.2021.100225</w:t>
              </w:r>
            </w:hyperlink>
          </w:p>
        </w:tc>
      </w:tr>
      <w:tr w:rsidR="004A32A2" w14:paraId="320B7FA0" w14:textId="77777777">
        <w:tc>
          <w:tcPr>
            <w:tcW w:w="966" w:type="dxa"/>
            <w:tcBorders>
              <w:top w:val="single" w:sz="4" w:space="0" w:color="auto"/>
              <w:left w:val="single" w:sz="4" w:space="0" w:color="auto"/>
              <w:bottom w:val="single" w:sz="4" w:space="0" w:color="auto"/>
              <w:right w:val="single" w:sz="4" w:space="0" w:color="auto"/>
            </w:tcBorders>
            <w:hideMark/>
          </w:tcPr>
          <w:p w14:paraId="1A24E391"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45</w:t>
            </w:r>
          </w:p>
        </w:tc>
        <w:tc>
          <w:tcPr>
            <w:tcW w:w="8050" w:type="dxa"/>
            <w:tcBorders>
              <w:top w:val="single" w:sz="4" w:space="0" w:color="auto"/>
              <w:left w:val="single" w:sz="4" w:space="0" w:color="auto"/>
              <w:bottom w:val="single" w:sz="4" w:space="0" w:color="auto"/>
              <w:right w:val="single" w:sz="4" w:space="0" w:color="auto"/>
            </w:tcBorders>
            <w:hideMark/>
          </w:tcPr>
          <w:p w14:paraId="143AE262"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Williams, D. S., &amp; Jacob, D. (2021). From participatory to inclusive climate services for enhancing societal uptake. </w:t>
            </w:r>
            <w:r>
              <w:rPr>
                <w:rFonts w:asciiTheme="majorHAnsi" w:hAnsiTheme="majorHAnsi" w:cs="Times-Italic"/>
                <w:i/>
                <w:iCs/>
                <w:sz w:val="20"/>
                <w:szCs w:val="20"/>
                <w:lang w:val="en-US"/>
              </w:rPr>
              <w:t>Climate Services, 24</w:t>
            </w:r>
            <w:r>
              <w:rPr>
                <w:rFonts w:asciiTheme="majorHAnsi" w:hAnsiTheme="majorHAnsi" w:cs="Times-Roman"/>
                <w:sz w:val="20"/>
                <w:szCs w:val="20"/>
                <w:lang w:val="en-US"/>
              </w:rPr>
              <w:t xml:space="preserve">(100266). </w:t>
            </w:r>
            <w:hyperlink r:id="rId47" w:history="1">
              <w:r>
                <w:rPr>
                  <w:rStyle w:val="Hyperlink"/>
                  <w:rFonts w:cs="Times-Roman"/>
                  <w:color w:val="0000E9"/>
                  <w:sz w:val="20"/>
                  <w:szCs w:val="20"/>
                  <w:lang w:val="en-US"/>
                </w:rPr>
                <w:t>https://doi.org/10.1016/j.cliser.2021.100266</w:t>
              </w:r>
            </w:hyperlink>
          </w:p>
        </w:tc>
      </w:tr>
    </w:tbl>
    <w:p w14:paraId="7E2BF589" w14:textId="77777777" w:rsidR="004A32A2" w:rsidRDefault="004A32A2" w:rsidP="004A32A2">
      <w:pPr>
        <w:spacing w:after="0" w:line="276" w:lineRule="auto"/>
        <w:ind w:firstLine="0"/>
        <w:rPr>
          <w:rFonts w:asciiTheme="majorHAnsi" w:hAnsiTheme="majorHAnsi"/>
        </w:rPr>
      </w:pPr>
      <w:r>
        <w:rPr>
          <w:rFonts w:asciiTheme="majorHAnsi" w:hAnsiTheme="majorHAnsi"/>
          <w:i/>
          <w:iCs/>
        </w:rPr>
        <w:t>Notes:</w:t>
      </w:r>
      <w:r>
        <w:rPr>
          <w:rFonts w:asciiTheme="majorHAnsi" w:hAnsiTheme="majorHAnsi"/>
        </w:rPr>
        <w:t xml:space="preserve"> References listed are the final set of co-production literature included in the review after screening and eligibility assessment (for further details, see Methods and Methods Fig. 1).</w:t>
      </w:r>
    </w:p>
    <w:p w14:paraId="777795DB" w14:textId="77777777" w:rsidR="004A32A2" w:rsidRDefault="004A32A2" w:rsidP="004A32A2">
      <w:pPr>
        <w:spacing w:after="0" w:line="276" w:lineRule="auto"/>
        <w:ind w:firstLine="0"/>
        <w:rPr>
          <w:rFonts w:asciiTheme="majorHAnsi" w:hAnsiTheme="majorHAnsi"/>
        </w:rPr>
      </w:pPr>
    </w:p>
    <w:p w14:paraId="41BCF3F6" w14:textId="77777777" w:rsidR="004A32A2" w:rsidRDefault="004A32A2" w:rsidP="004A32A2">
      <w:pPr>
        <w:spacing w:after="0" w:line="276" w:lineRule="auto"/>
        <w:ind w:firstLine="0"/>
        <w:rPr>
          <w:rFonts w:asciiTheme="majorHAnsi" w:hAnsiTheme="majorHAnsi"/>
          <w:b/>
          <w:bCs/>
          <w:lang w:val="en-US"/>
        </w:rPr>
      </w:pPr>
      <w:r>
        <w:rPr>
          <w:rFonts w:asciiTheme="majorHAnsi" w:hAnsiTheme="majorHAnsi"/>
          <w:b/>
          <w:bCs/>
          <w:lang w:val="en-US"/>
        </w:rPr>
        <w:t>Extended Data Table 6 | User-centered design literature reviewed</w:t>
      </w:r>
    </w:p>
    <w:tbl>
      <w:tblPr>
        <w:tblStyle w:val="TableGrid"/>
        <w:tblW w:w="0" w:type="auto"/>
        <w:tblInd w:w="0" w:type="dxa"/>
        <w:tblLook w:val="04A0" w:firstRow="1" w:lastRow="0" w:firstColumn="1" w:lastColumn="0" w:noHBand="0" w:noVBand="1"/>
      </w:tblPr>
      <w:tblGrid>
        <w:gridCol w:w="966"/>
        <w:gridCol w:w="8050"/>
      </w:tblGrid>
      <w:tr w:rsidR="004A32A2" w14:paraId="1A4ABE8C" w14:textId="77777777">
        <w:tc>
          <w:tcPr>
            <w:tcW w:w="966" w:type="dxa"/>
            <w:tcBorders>
              <w:top w:val="single" w:sz="4" w:space="0" w:color="auto"/>
              <w:left w:val="single" w:sz="4" w:space="0" w:color="auto"/>
              <w:bottom w:val="single" w:sz="18" w:space="0" w:color="auto"/>
              <w:right w:val="single" w:sz="4" w:space="0" w:color="auto"/>
            </w:tcBorders>
            <w:hideMark/>
          </w:tcPr>
          <w:p w14:paraId="08E7F285" w14:textId="77777777" w:rsidR="004A32A2" w:rsidRDefault="004A32A2">
            <w:pPr>
              <w:spacing w:after="0" w:line="276" w:lineRule="auto"/>
              <w:ind w:firstLine="0"/>
              <w:rPr>
                <w:rFonts w:asciiTheme="majorHAnsi" w:hAnsiTheme="majorHAnsi"/>
                <w:b/>
                <w:bCs/>
                <w:sz w:val="20"/>
                <w:szCs w:val="20"/>
              </w:rPr>
            </w:pPr>
            <w:r>
              <w:rPr>
                <w:rFonts w:asciiTheme="majorHAnsi" w:hAnsiTheme="majorHAnsi" w:cs="Times-Bold"/>
                <w:b/>
                <w:bCs/>
                <w:sz w:val="20"/>
                <w:szCs w:val="20"/>
                <w:lang w:val="en-US"/>
              </w:rPr>
              <w:t>Number</w:t>
            </w:r>
          </w:p>
        </w:tc>
        <w:tc>
          <w:tcPr>
            <w:tcW w:w="8050" w:type="dxa"/>
            <w:tcBorders>
              <w:top w:val="single" w:sz="4" w:space="0" w:color="auto"/>
              <w:left w:val="single" w:sz="4" w:space="0" w:color="auto"/>
              <w:bottom w:val="single" w:sz="18" w:space="0" w:color="auto"/>
              <w:right w:val="single" w:sz="4" w:space="0" w:color="auto"/>
            </w:tcBorders>
            <w:hideMark/>
          </w:tcPr>
          <w:p w14:paraId="454F9D1A" w14:textId="77777777" w:rsidR="004A32A2" w:rsidRDefault="004A32A2">
            <w:pPr>
              <w:spacing w:after="0" w:line="276" w:lineRule="auto"/>
              <w:ind w:firstLine="0"/>
              <w:rPr>
                <w:rFonts w:asciiTheme="majorHAnsi" w:hAnsiTheme="majorHAnsi"/>
                <w:b/>
                <w:bCs/>
                <w:sz w:val="20"/>
                <w:szCs w:val="20"/>
              </w:rPr>
            </w:pPr>
            <w:r>
              <w:rPr>
                <w:rFonts w:asciiTheme="majorHAnsi" w:hAnsiTheme="majorHAnsi" w:cs="Times-Bold"/>
                <w:b/>
                <w:bCs/>
                <w:sz w:val="20"/>
                <w:szCs w:val="20"/>
                <w:lang w:val="en-US"/>
              </w:rPr>
              <w:t>Article</w:t>
            </w:r>
          </w:p>
        </w:tc>
      </w:tr>
      <w:tr w:rsidR="004A32A2" w14:paraId="198672AB" w14:textId="77777777">
        <w:tc>
          <w:tcPr>
            <w:tcW w:w="966" w:type="dxa"/>
            <w:tcBorders>
              <w:top w:val="single" w:sz="18" w:space="0" w:color="auto"/>
              <w:left w:val="single" w:sz="4" w:space="0" w:color="auto"/>
              <w:bottom w:val="single" w:sz="4" w:space="0" w:color="auto"/>
              <w:right w:val="single" w:sz="4" w:space="0" w:color="auto"/>
            </w:tcBorders>
            <w:hideMark/>
          </w:tcPr>
          <w:p w14:paraId="407CBB01"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w:t>
            </w:r>
          </w:p>
        </w:tc>
        <w:tc>
          <w:tcPr>
            <w:tcW w:w="8050" w:type="dxa"/>
            <w:tcBorders>
              <w:top w:val="single" w:sz="18" w:space="0" w:color="auto"/>
              <w:left w:val="single" w:sz="4" w:space="0" w:color="auto"/>
              <w:bottom w:val="single" w:sz="4" w:space="0" w:color="auto"/>
              <w:right w:val="single" w:sz="4" w:space="0" w:color="auto"/>
            </w:tcBorders>
            <w:hideMark/>
          </w:tcPr>
          <w:p w14:paraId="0C1EED68"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Almeida, L. D. A., &amp; Baranauskas, M. C. C. (2010). Universal Design Principles Combined with Web Accessibility Guidelines: A Case Study. </w:t>
            </w:r>
            <w:r>
              <w:rPr>
                <w:rFonts w:asciiTheme="majorHAnsi" w:hAnsiTheme="majorHAnsi" w:cs="Times-Italic"/>
                <w:i/>
                <w:iCs/>
                <w:sz w:val="20"/>
                <w:szCs w:val="20"/>
                <w:lang w:val="en-US"/>
              </w:rPr>
              <w:t>Proceedings of the IX Symposium on Human Factors in Computing Systems</w:t>
            </w:r>
            <w:r>
              <w:rPr>
                <w:rFonts w:asciiTheme="majorHAnsi" w:hAnsiTheme="majorHAnsi" w:cs="Times-Roman"/>
                <w:sz w:val="20"/>
                <w:szCs w:val="20"/>
                <w:lang w:val="en-US"/>
              </w:rPr>
              <w:t xml:space="preserve">, 169–178. </w:t>
            </w:r>
            <w:hyperlink r:id="rId48" w:history="1">
              <w:r>
                <w:rPr>
                  <w:rStyle w:val="Hyperlink"/>
                  <w:rFonts w:cs="Times-Roman"/>
                  <w:color w:val="0000E9"/>
                  <w:sz w:val="20"/>
                  <w:szCs w:val="20"/>
                  <w:lang w:val="en-US"/>
                </w:rPr>
                <w:t>https://doi.org/10.5555/1999593.1999612</w:t>
              </w:r>
            </w:hyperlink>
          </w:p>
        </w:tc>
      </w:tr>
      <w:tr w:rsidR="004A32A2" w14:paraId="393F534C" w14:textId="77777777">
        <w:tc>
          <w:tcPr>
            <w:tcW w:w="966" w:type="dxa"/>
            <w:tcBorders>
              <w:top w:val="single" w:sz="4" w:space="0" w:color="auto"/>
              <w:left w:val="single" w:sz="4" w:space="0" w:color="auto"/>
              <w:bottom w:val="single" w:sz="4" w:space="0" w:color="auto"/>
              <w:right w:val="single" w:sz="4" w:space="0" w:color="auto"/>
            </w:tcBorders>
            <w:hideMark/>
          </w:tcPr>
          <w:p w14:paraId="55E9D353"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w:t>
            </w:r>
          </w:p>
        </w:tc>
        <w:tc>
          <w:tcPr>
            <w:tcW w:w="8050" w:type="dxa"/>
            <w:tcBorders>
              <w:top w:val="single" w:sz="4" w:space="0" w:color="auto"/>
              <w:left w:val="single" w:sz="4" w:space="0" w:color="auto"/>
              <w:bottom w:val="single" w:sz="4" w:space="0" w:color="auto"/>
              <w:right w:val="single" w:sz="4" w:space="0" w:color="auto"/>
            </w:tcBorders>
            <w:hideMark/>
          </w:tcPr>
          <w:p w14:paraId="065D02C1"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Angelaki, M. E., </w:t>
            </w:r>
            <w:proofErr w:type="spellStart"/>
            <w:r>
              <w:rPr>
                <w:rFonts w:asciiTheme="majorHAnsi" w:hAnsiTheme="majorHAnsi" w:cs="Times-Roman"/>
                <w:sz w:val="20"/>
                <w:szCs w:val="20"/>
                <w:lang w:val="en-US"/>
              </w:rPr>
              <w:t>Karvounidis</w:t>
            </w:r>
            <w:proofErr w:type="spellEnd"/>
            <w:r>
              <w:rPr>
                <w:rFonts w:asciiTheme="majorHAnsi" w:hAnsiTheme="majorHAnsi" w:cs="Times-Roman"/>
                <w:sz w:val="20"/>
                <w:szCs w:val="20"/>
                <w:lang w:val="en-US"/>
              </w:rPr>
              <w:t xml:space="preserve">, T., &amp; </w:t>
            </w:r>
            <w:proofErr w:type="spellStart"/>
            <w:r>
              <w:rPr>
                <w:rFonts w:asciiTheme="majorHAnsi" w:hAnsiTheme="majorHAnsi" w:cs="Times-Roman"/>
                <w:sz w:val="20"/>
                <w:szCs w:val="20"/>
                <w:lang w:val="en-US"/>
              </w:rPr>
              <w:t>Douligeris</w:t>
            </w:r>
            <w:proofErr w:type="spellEnd"/>
            <w:r>
              <w:rPr>
                <w:rFonts w:asciiTheme="majorHAnsi" w:hAnsiTheme="majorHAnsi" w:cs="Times-Roman"/>
                <w:sz w:val="20"/>
                <w:szCs w:val="20"/>
                <w:lang w:val="en-US"/>
              </w:rPr>
              <w:t xml:space="preserve">, C. (2020). Educating Adolescents </w:t>
            </w:r>
            <w:proofErr w:type="gramStart"/>
            <w:r>
              <w:rPr>
                <w:rFonts w:asciiTheme="majorHAnsi" w:hAnsiTheme="majorHAnsi" w:cs="Times-Roman"/>
                <w:sz w:val="20"/>
                <w:szCs w:val="20"/>
                <w:lang w:val="en-US"/>
              </w:rPr>
              <w:t>In</w:t>
            </w:r>
            <w:proofErr w:type="gramEnd"/>
            <w:r>
              <w:rPr>
                <w:rFonts w:asciiTheme="majorHAnsi" w:hAnsiTheme="majorHAnsi" w:cs="Times-Roman"/>
                <w:sz w:val="20"/>
                <w:szCs w:val="20"/>
                <w:lang w:val="en-US"/>
              </w:rPr>
              <w:t xml:space="preserve"> Sustainable Travel Urban Behavior Through Mobile Applications Using Motivational Features. </w:t>
            </w:r>
            <w:r>
              <w:rPr>
                <w:rFonts w:asciiTheme="majorHAnsi" w:hAnsiTheme="majorHAnsi" w:cs="Times-Italic"/>
                <w:i/>
                <w:iCs/>
                <w:sz w:val="20"/>
                <w:szCs w:val="20"/>
                <w:lang w:val="en-US"/>
              </w:rPr>
              <w:t>2020 5th South-East Europe Design Automation, Computer Engineering, Computer Networks and Social Media Conference (SEEDA-CECNSM)</w:t>
            </w:r>
            <w:r>
              <w:rPr>
                <w:rFonts w:asciiTheme="majorHAnsi" w:hAnsiTheme="majorHAnsi" w:cs="Times-Roman"/>
                <w:sz w:val="20"/>
                <w:szCs w:val="20"/>
                <w:lang w:val="en-US"/>
              </w:rPr>
              <w:t xml:space="preserve">, 1–6. </w:t>
            </w:r>
            <w:hyperlink r:id="rId49" w:history="1">
              <w:r>
                <w:rPr>
                  <w:rStyle w:val="Hyperlink"/>
                  <w:rFonts w:cs="Times-Roman"/>
                  <w:color w:val="0000E9"/>
                  <w:sz w:val="20"/>
                  <w:szCs w:val="20"/>
                  <w:lang w:val="en-US"/>
                </w:rPr>
                <w:t>https://doi.org/10.1109/SEEDA-CECNSM49515.2020.9221777</w:t>
              </w:r>
            </w:hyperlink>
          </w:p>
        </w:tc>
      </w:tr>
      <w:tr w:rsidR="004A32A2" w14:paraId="48D2A284" w14:textId="77777777">
        <w:tc>
          <w:tcPr>
            <w:tcW w:w="966" w:type="dxa"/>
            <w:tcBorders>
              <w:top w:val="single" w:sz="4" w:space="0" w:color="auto"/>
              <w:left w:val="single" w:sz="4" w:space="0" w:color="auto"/>
              <w:bottom w:val="single" w:sz="4" w:space="0" w:color="auto"/>
              <w:right w:val="single" w:sz="4" w:space="0" w:color="auto"/>
            </w:tcBorders>
            <w:hideMark/>
          </w:tcPr>
          <w:p w14:paraId="4D6B5264"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w:t>
            </w:r>
          </w:p>
        </w:tc>
        <w:tc>
          <w:tcPr>
            <w:tcW w:w="8050" w:type="dxa"/>
            <w:tcBorders>
              <w:top w:val="single" w:sz="4" w:space="0" w:color="auto"/>
              <w:left w:val="single" w:sz="4" w:space="0" w:color="auto"/>
              <w:bottom w:val="single" w:sz="4" w:space="0" w:color="auto"/>
              <w:right w:val="single" w:sz="4" w:space="0" w:color="auto"/>
            </w:tcBorders>
            <w:hideMark/>
          </w:tcPr>
          <w:p w14:paraId="2944A09E"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Barcena-Vazquez, J., Caro, K., Bermudez, K., &amp; Zatarain-Aceves, H. (2023). Designing and evaluating Reto Global, a serious video game for supporting global warming awareness. </w:t>
            </w:r>
            <w:r>
              <w:rPr>
                <w:rFonts w:asciiTheme="majorHAnsi" w:hAnsiTheme="majorHAnsi" w:cs="Times-Italic"/>
                <w:i/>
                <w:iCs/>
                <w:sz w:val="20"/>
                <w:szCs w:val="20"/>
                <w:lang w:val="en-US"/>
              </w:rPr>
              <w:t>International Journal of Human-Computer Studies, 177</w:t>
            </w:r>
            <w:r>
              <w:rPr>
                <w:rFonts w:asciiTheme="majorHAnsi" w:hAnsiTheme="majorHAnsi" w:cs="Times-Roman"/>
                <w:sz w:val="20"/>
                <w:szCs w:val="20"/>
                <w:lang w:val="en-US"/>
              </w:rPr>
              <w:t xml:space="preserve">(103080), 103080. </w:t>
            </w:r>
            <w:hyperlink r:id="rId50" w:history="1">
              <w:r>
                <w:rPr>
                  <w:rStyle w:val="Hyperlink"/>
                  <w:rFonts w:cs="Times-Roman"/>
                  <w:color w:val="0000E9"/>
                  <w:sz w:val="20"/>
                  <w:szCs w:val="20"/>
                  <w:lang w:val="en-US"/>
                </w:rPr>
                <w:t>https://doi.org/10.1016/j.ijhcs.2023.103080</w:t>
              </w:r>
            </w:hyperlink>
          </w:p>
        </w:tc>
      </w:tr>
      <w:tr w:rsidR="004A32A2" w14:paraId="38716B05" w14:textId="77777777">
        <w:tc>
          <w:tcPr>
            <w:tcW w:w="966" w:type="dxa"/>
            <w:tcBorders>
              <w:top w:val="single" w:sz="4" w:space="0" w:color="auto"/>
              <w:left w:val="single" w:sz="4" w:space="0" w:color="auto"/>
              <w:bottom w:val="single" w:sz="4" w:space="0" w:color="auto"/>
              <w:right w:val="single" w:sz="4" w:space="0" w:color="auto"/>
            </w:tcBorders>
            <w:hideMark/>
          </w:tcPr>
          <w:p w14:paraId="53B188FB"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4</w:t>
            </w:r>
          </w:p>
        </w:tc>
        <w:tc>
          <w:tcPr>
            <w:tcW w:w="8050" w:type="dxa"/>
            <w:tcBorders>
              <w:top w:val="single" w:sz="4" w:space="0" w:color="auto"/>
              <w:left w:val="single" w:sz="4" w:space="0" w:color="auto"/>
              <w:bottom w:val="single" w:sz="4" w:space="0" w:color="auto"/>
              <w:right w:val="single" w:sz="4" w:space="0" w:color="auto"/>
            </w:tcBorders>
            <w:hideMark/>
          </w:tcPr>
          <w:p w14:paraId="5CE0D5A8"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Bhatt, U., </w:t>
            </w:r>
            <w:proofErr w:type="spellStart"/>
            <w:r>
              <w:rPr>
                <w:rFonts w:asciiTheme="majorHAnsi" w:hAnsiTheme="majorHAnsi" w:cs="Times-Roman"/>
                <w:sz w:val="20"/>
                <w:szCs w:val="20"/>
                <w:lang w:val="en-US"/>
              </w:rPr>
              <w:t>Antorán</w:t>
            </w:r>
            <w:proofErr w:type="spellEnd"/>
            <w:r>
              <w:rPr>
                <w:rFonts w:asciiTheme="majorHAnsi" w:hAnsiTheme="majorHAnsi" w:cs="Times-Roman"/>
                <w:sz w:val="20"/>
                <w:szCs w:val="20"/>
                <w:lang w:val="en-US"/>
              </w:rPr>
              <w:t xml:space="preserve">, J., Zhang, Y., Liao, Q. V., Sattigeri, P., Fogliato, R., Melançon, G., Krishnan, R., Stanley, J., Tickoo, O., Nachman, L., </w:t>
            </w:r>
            <w:proofErr w:type="spellStart"/>
            <w:r>
              <w:rPr>
                <w:rFonts w:asciiTheme="majorHAnsi" w:hAnsiTheme="majorHAnsi" w:cs="Times-Roman"/>
                <w:sz w:val="20"/>
                <w:szCs w:val="20"/>
                <w:lang w:val="en-US"/>
              </w:rPr>
              <w:t>Chunara</w:t>
            </w:r>
            <w:proofErr w:type="spellEnd"/>
            <w:r>
              <w:rPr>
                <w:rFonts w:asciiTheme="majorHAnsi" w:hAnsiTheme="majorHAnsi" w:cs="Times-Roman"/>
                <w:sz w:val="20"/>
                <w:szCs w:val="20"/>
                <w:lang w:val="en-US"/>
              </w:rPr>
              <w:t xml:space="preserve">, R., Srikumar, M., Weller, A., &amp; Xiang, A. (2021). Uncertainty as a Form of Transparency: Measuring, Communicating, and Using Uncertainty. </w:t>
            </w:r>
            <w:r>
              <w:rPr>
                <w:rFonts w:asciiTheme="majorHAnsi" w:hAnsiTheme="majorHAnsi" w:cs="Times-Italic"/>
                <w:i/>
                <w:iCs/>
                <w:sz w:val="20"/>
                <w:szCs w:val="20"/>
                <w:lang w:val="en-US"/>
              </w:rPr>
              <w:t>Proceedings of the 2021 AAAI/ACM Conference on AI, Ethics, and Society</w:t>
            </w:r>
            <w:r>
              <w:rPr>
                <w:rFonts w:asciiTheme="majorHAnsi" w:hAnsiTheme="majorHAnsi" w:cs="Times-Roman"/>
                <w:sz w:val="20"/>
                <w:szCs w:val="20"/>
                <w:lang w:val="en-US"/>
              </w:rPr>
              <w:t xml:space="preserve">, 401–413. </w:t>
            </w:r>
            <w:hyperlink r:id="rId51" w:history="1">
              <w:r>
                <w:rPr>
                  <w:rStyle w:val="Hyperlink"/>
                  <w:rFonts w:cs="Times-Roman"/>
                  <w:color w:val="0000E9"/>
                  <w:sz w:val="20"/>
                  <w:szCs w:val="20"/>
                  <w:lang w:val="en-US"/>
                </w:rPr>
                <w:t>https://doi.org/10.1145/3461702.3462571</w:t>
              </w:r>
            </w:hyperlink>
          </w:p>
        </w:tc>
      </w:tr>
      <w:tr w:rsidR="004A32A2" w14:paraId="24DCA38C" w14:textId="77777777">
        <w:tc>
          <w:tcPr>
            <w:tcW w:w="966" w:type="dxa"/>
            <w:tcBorders>
              <w:top w:val="single" w:sz="4" w:space="0" w:color="auto"/>
              <w:left w:val="single" w:sz="4" w:space="0" w:color="auto"/>
              <w:bottom w:val="single" w:sz="4" w:space="0" w:color="auto"/>
              <w:right w:val="single" w:sz="4" w:space="0" w:color="auto"/>
            </w:tcBorders>
            <w:hideMark/>
          </w:tcPr>
          <w:p w14:paraId="7223624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5</w:t>
            </w:r>
          </w:p>
        </w:tc>
        <w:tc>
          <w:tcPr>
            <w:tcW w:w="8050" w:type="dxa"/>
            <w:tcBorders>
              <w:top w:val="single" w:sz="4" w:space="0" w:color="auto"/>
              <w:left w:val="single" w:sz="4" w:space="0" w:color="auto"/>
              <w:bottom w:val="single" w:sz="4" w:space="0" w:color="auto"/>
              <w:right w:val="single" w:sz="4" w:space="0" w:color="auto"/>
            </w:tcBorders>
            <w:hideMark/>
          </w:tcPr>
          <w:p w14:paraId="527D1D5F" w14:textId="77777777" w:rsidR="004A32A2" w:rsidRDefault="004A32A2">
            <w:pPr>
              <w:spacing w:after="0" w:line="276" w:lineRule="auto"/>
              <w:ind w:firstLine="0"/>
              <w:rPr>
                <w:rFonts w:asciiTheme="majorHAnsi" w:hAnsiTheme="majorHAnsi"/>
                <w:sz w:val="20"/>
                <w:szCs w:val="20"/>
              </w:rPr>
            </w:pPr>
            <w:proofErr w:type="spellStart"/>
            <w:r>
              <w:rPr>
                <w:rFonts w:asciiTheme="majorHAnsi" w:hAnsiTheme="majorHAnsi" w:cs="Times-Roman"/>
                <w:sz w:val="20"/>
                <w:szCs w:val="20"/>
                <w:lang w:val="en-US"/>
              </w:rPr>
              <w:t>Bosello</w:t>
            </w:r>
            <w:proofErr w:type="spellEnd"/>
            <w:r>
              <w:rPr>
                <w:rFonts w:asciiTheme="majorHAnsi" w:hAnsiTheme="majorHAnsi" w:cs="Times-Roman"/>
                <w:sz w:val="20"/>
                <w:szCs w:val="20"/>
                <w:lang w:val="en-US"/>
              </w:rPr>
              <w:t xml:space="preserve">, M., </w:t>
            </w:r>
            <w:proofErr w:type="spellStart"/>
            <w:r>
              <w:rPr>
                <w:rFonts w:asciiTheme="majorHAnsi" w:hAnsiTheme="majorHAnsi" w:cs="Times-Roman"/>
                <w:sz w:val="20"/>
                <w:szCs w:val="20"/>
                <w:lang w:val="en-US"/>
              </w:rPr>
              <w:t>Delnevo</w:t>
            </w:r>
            <w:proofErr w:type="spellEnd"/>
            <w:r>
              <w:rPr>
                <w:rFonts w:asciiTheme="majorHAnsi" w:hAnsiTheme="majorHAnsi" w:cs="Times-Roman"/>
                <w:sz w:val="20"/>
                <w:szCs w:val="20"/>
                <w:lang w:val="en-US"/>
              </w:rPr>
              <w:t xml:space="preserve">, G., &amp; Mirri, S. (2020). On exploiting Gamification for the Crowdsensing of Air Pollution: A Case Study on a Bicycle-based System. </w:t>
            </w:r>
            <w:r>
              <w:rPr>
                <w:rFonts w:asciiTheme="majorHAnsi" w:hAnsiTheme="majorHAnsi" w:cs="Times-Italic"/>
                <w:i/>
                <w:iCs/>
                <w:sz w:val="20"/>
                <w:szCs w:val="20"/>
                <w:lang w:val="en-US"/>
              </w:rPr>
              <w:t>Proceedings of the 6th EAI International Conference on Smart Objects and Technologies for Social Good</w:t>
            </w:r>
            <w:r>
              <w:rPr>
                <w:rFonts w:asciiTheme="majorHAnsi" w:hAnsiTheme="majorHAnsi" w:cs="Times-Roman"/>
                <w:sz w:val="20"/>
                <w:szCs w:val="20"/>
                <w:lang w:val="en-US"/>
              </w:rPr>
              <w:t xml:space="preserve">, 205–210. </w:t>
            </w:r>
            <w:hyperlink r:id="rId52" w:history="1">
              <w:r>
                <w:rPr>
                  <w:rStyle w:val="Hyperlink"/>
                  <w:rFonts w:cs="Times-Roman"/>
                  <w:color w:val="0000E9"/>
                  <w:sz w:val="20"/>
                  <w:szCs w:val="20"/>
                  <w:lang w:val="en-US"/>
                </w:rPr>
                <w:t>https://doi.org/10.1145/3411170.3411256</w:t>
              </w:r>
            </w:hyperlink>
          </w:p>
        </w:tc>
      </w:tr>
      <w:tr w:rsidR="004A32A2" w14:paraId="32DA33B7" w14:textId="77777777">
        <w:tc>
          <w:tcPr>
            <w:tcW w:w="966" w:type="dxa"/>
            <w:tcBorders>
              <w:top w:val="single" w:sz="4" w:space="0" w:color="auto"/>
              <w:left w:val="single" w:sz="4" w:space="0" w:color="auto"/>
              <w:bottom w:val="single" w:sz="4" w:space="0" w:color="auto"/>
              <w:right w:val="single" w:sz="4" w:space="0" w:color="auto"/>
            </w:tcBorders>
            <w:hideMark/>
          </w:tcPr>
          <w:p w14:paraId="3F7B0A2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6</w:t>
            </w:r>
          </w:p>
        </w:tc>
        <w:tc>
          <w:tcPr>
            <w:tcW w:w="8050" w:type="dxa"/>
            <w:tcBorders>
              <w:top w:val="single" w:sz="4" w:space="0" w:color="auto"/>
              <w:left w:val="single" w:sz="4" w:space="0" w:color="auto"/>
              <w:bottom w:val="single" w:sz="4" w:space="0" w:color="auto"/>
              <w:right w:val="single" w:sz="4" w:space="0" w:color="auto"/>
            </w:tcBorders>
            <w:hideMark/>
          </w:tcPr>
          <w:p w14:paraId="6E40466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Brereton, M., Roe, P., Foth, M., Bunker, J. M., &amp; Buys, L. (2009). Designing participation in agile ridesharing with mobile social software. </w:t>
            </w:r>
            <w:r>
              <w:rPr>
                <w:rFonts w:asciiTheme="majorHAnsi" w:hAnsiTheme="majorHAnsi" w:cs="Times-Italic"/>
                <w:i/>
                <w:iCs/>
                <w:sz w:val="20"/>
                <w:szCs w:val="20"/>
                <w:lang w:val="en-US"/>
              </w:rPr>
              <w:t>OZCHI ’09: Proceedings of the 21st Annual Conference of the Australian Computer-Human Interaction Special Interest Group: Design: Open 24/7</w:t>
            </w:r>
            <w:r>
              <w:rPr>
                <w:rFonts w:asciiTheme="majorHAnsi" w:hAnsiTheme="majorHAnsi" w:cs="Times-Roman"/>
                <w:sz w:val="20"/>
                <w:szCs w:val="20"/>
                <w:lang w:val="en-US"/>
              </w:rPr>
              <w:t xml:space="preserve">, 257–260. </w:t>
            </w:r>
            <w:hyperlink r:id="rId53" w:history="1">
              <w:r>
                <w:rPr>
                  <w:rStyle w:val="Hyperlink"/>
                  <w:rFonts w:cs="Times-Roman"/>
                  <w:color w:val="0000E9"/>
                  <w:sz w:val="20"/>
                  <w:szCs w:val="20"/>
                  <w:lang w:val="en-US"/>
                </w:rPr>
                <w:t>https://doi.org/10.1145/1738826.1738868</w:t>
              </w:r>
            </w:hyperlink>
          </w:p>
        </w:tc>
      </w:tr>
      <w:tr w:rsidR="004A32A2" w14:paraId="7523C0D5" w14:textId="77777777">
        <w:tc>
          <w:tcPr>
            <w:tcW w:w="966" w:type="dxa"/>
            <w:tcBorders>
              <w:top w:val="single" w:sz="4" w:space="0" w:color="auto"/>
              <w:left w:val="single" w:sz="4" w:space="0" w:color="auto"/>
              <w:bottom w:val="single" w:sz="4" w:space="0" w:color="auto"/>
              <w:right w:val="single" w:sz="4" w:space="0" w:color="auto"/>
            </w:tcBorders>
            <w:hideMark/>
          </w:tcPr>
          <w:p w14:paraId="77FEB9D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7</w:t>
            </w:r>
          </w:p>
        </w:tc>
        <w:tc>
          <w:tcPr>
            <w:tcW w:w="8050" w:type="dxa"/>
            <w:tcBorders>
              <w:top w:val="single" w:sz="4" w:space="0" w:color="auto"/>
              <w:left w:val="single" w:sz="4" w:space="0" w:color="auto"/>
              <w:bottom w:val="single" w:sz="4" w:space="0" w:color="auto"/>
              <w:right w:val="single" w:sz="4" w:space="0" w:color="auto"/>
            </w:tcBorders>
            <w:hideMark/>
          </w:tcPr>
          <w:p w14:paraId="022C3617"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Brown, M., Sharples, S., Harding, J., Parker, C. J., Bearman, N., Maguire, M., Forrest, D., </w:t>
            </w:r>
            <w:proofErr w:type="spellStart"/>
            <w:r>
              <w:rPr>
                <w:rFonts w:asciiTheme="majorHAnsi" w:hAnsiTheme="majorHAnsi" w:cs="Times-Roman"/>
                <w:sz w:val="20"/>
                <w:szCs w:val="20"/>
                <w:lang w:val="en-US"/>
              </w:rPr>
              <w:t>Haklay</w:t>
            </w:r>
            <w:proofErr w:type="spellEnd"/>
            <w:r>
              <w:rPr>
                <w:rFonts w:asciiTheme="majorHAnsi" w:hAnsiTheme="majorHAnsi" w:cs="Times-Roman"/>
                <w:sz w:val="20"/>
                <w:szCs w:val="20"/>
                <w:lang w:val="en-US"/>
              </w:rPr>
              <w:t xml:space="preserve">, M., &amp; Jackson, M. (2013). Usability of Geographic Information: Current challenges and future directions. </w:t>
            </w:r>
            <w:r>
              <w:rPr>
                <w:rFonts w:asciiTheme="majorHAnsi" w:hAnsiTheme="majorHAnsi" w:cs="Times-Italic"/>
                <w:i/>
                <w:iCs/>
                <w:sz w:val="20"/>
                <w:szCs w:val="20"/>
                <w:lang w:val="en-US"/>
              </w:rPr>
              <w:t>Applied Ergonomics, 44</w:t>
            </w:r>
            <w:r>
              <w:rPr>
                <w:rFonts w:asciiTheme="majorHAnsi" w:hAnsiTheme="majorHAnsi" w:cs="Times-Roman"/>
                <w:sz w:val="20"/>
                <w:szCs w:val="20"/>
                <w:lang w:val="en-US"/>
              </w:rPr>
              <w:t xml:space="preserve">(6), 855–865. </w:t>
            </w:r>
            <w:hyperlink r:id="rId54" w:history="1">
              <w:r>
                <w:rPr>
                  <w:rStyle w:val="Hyperlink"/>
                  <w:rFonts w:cs="Times-Roman"/>
                  <w:color w:val="0000E9"/>
                  <w:sz w:val="20"/>
                  <w:szCs w:val="20"/>
                  <w:lang w:val="en-US"/>
                </w:rPr>
                <w:t>https://doi.org/10.1016/j.apergo.2012.10.013</w:t>
              </w:r>
            </w:hyperlink>
          </w:p>
        </w:tc>
      </w:tr>
      <w:tr w:rsidR="004A32A2" w14:paraId="74F646E4" w14:textId="77777777">
        <w:tc>
          <w:tcPr>
            <w:tcW w:w="966" w:type="dxa"/>
            <w:tcBorders>
              <w:top w:val="single" w:sz="4" w:space="0" w:color="auto"/>
              <w:left w:val="single" w:sz="4" w:space="0" w:color="auto"/>
              <w:bottom w:val="single" w:sz="4" w:space="0" w:color="auto"/>
              <w:right w:val="single" w:sz="4" w:space="0" w:color="auto"/>
            </w:tcBorders>
            <w:hideMark/>
          </w:tcPr>
          <w:p w14:paraId="77A99939"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8</w:t>
            </w:r>
          </w:p>
        </w:tc>
        <w:tc>
          <w:tcPr>
            <w:tcW w:w="8050" w:type="dxa"/>
            <w:tcBorders>
              <w:top w:val="single" w:sz="4" w:space="0" w:color="auto"/>
              <w:left w:val="single" w:sz="4" w:space="0" w:color="auto"/>
              <w:bottom w:val="single" w:sz="4" w:space="0" w:color="auto"/>
              <w:right w:val="single" w:sz="4" w:space="0" w:color="auto"/>
            </w:tcBorders>
            <w:hideMark/>
          </w:tcPr>
          <w:p w14:paraId="40681B9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Claes, S., Slegers, K., &amp; </w:t>
            </w:r>
            <w:proofErr w:type="spellStart"/>
            <w:r>
              <w:rPr>
                <w:rFonts w:asciiTheme="majorHAnsi" w:hAnsiTheme="majorHAnsi" w:cs="Times-Roman"/>
                <w:sz w:val="20"/>
                <w:szCs w:val="20"/>
                <w:lang w:val="en-US"/>
              </w:rPr>
              <w:t>vande</w:t>
            </w:r>
            <w:proofErr w:type="spellEnd"/>
            <w:r>
              <w:rPr>
                <w:rFonts w:asciiTheme="majorHAnsi" w:hAnsiTheme="majorHAnsi" w:cs="Times-Roman"/>
                <w:sz w:val="20"/>
                <w:szCs w:val="20"/>
                <w:lang w:val="en-US"/>
              </w:rPr>
              <w:t xml:space="preserve"> </w:t>
            </w:r>
            <w:proofErr w:type="spellStart"/>
            <w:r>
              <w:rPr>
                <w:rFonts w:asciiTheme="majorHAnsi" w:hAnsiTheme="majorHAnsi" w:cs="Times-Roman"/>
                <w:sz w:val="20"/>
                <w:szCs w:val="20"/>
                <w:lang w:val="en-US"/>
              </w:rPr>
              <w:t>Moere</w:t>
            </w:r>
            <w:proofErr w:type="spellEnd"/>
            <w:r>
              <w:rPr>
                <w:rFonts w:asciiTheme="majorHAnsi" w:hAnsiTheme="majorHAnsi" w:cs="Times-Roman"/>
                <w:sz w:val="20"/>
                <w:szCs w:val="20"/>
                <w:lang w:val="en-US"/>
              </w:rPr>
              <w:t xml:space="preserve">, A. (2016). The bicycle barometer: Design and evaluation of cyclist-specific interaction for a public display. </w:t>
            </w:r>
            <w:r>
              <w:rPr>
                <w:rFonts w:asciiTheme="majorHAnsi" w:hAnsiTheme="majorHAnsi" w:cs="Times-Italic"/>
                <w:i/>
                <w:iCs/>
                <w:sz w:val="20"/>
                <w:szCs w:val="20"/>
                <w:lang w:val="en-US"/>
              </w:rPr>
              <w:t>Proceedings of the 2016 CHI Conference on Human Factors in Computing Systems</w:t>
            </w:r>
            <w:r>
              <w:rPr>
                <w:rFonts w:asciiTheme="majorHAnsi" w:hAnsiTheme="majorHAnsi" w:cs="Times-Roman"/>
                <w:sz w:val="20"/>
                <w:szCs w:val="20"/>
                <w:lang w:val="en-US"/>
              </w:rPr>
              <w:t xml:space="preserve">, 5824–5835. </w:t>
            </w:r>
            <w:hyperlink r:id="rId55" w:history="1">
              <w:r>
                <w:rPr>
                  <w:rStyle w:val="Hyperlink"/>
                  <w:rFonts w:cs="Times-Roman"/>
                  <w:color w:val="0000E9"/>
                  <w:sz w:val="20"/>
                  <w:szCs w:val="20"/>
                  <w:lang w:val="en-US"/>
                </w:rPr>
                <w:t>https://doi.org/10.1145/2858036.2858429</w:t>
              </w:r>
            </w:hyperlink>
          </w:p>
        </w:tc>
      </w:tr>
      <w:tr w:rsidR="004A32A2" w14:paraId="66A89FB8" w14:textId="77777777">
        <w:tc>
          <w:tcPr>
            <w:tcW w:w="966" w:type="dxa"/>
            <w:tcBorders>
              <w:top w:val="single" w:sz="4" w:space="0" w:color="auto"/>
              <w:left w:val="single" w:sz="4" w:space="0" w:color="auto"/>
              <w:bottom w:val="single" w:sz="4" w:space="0" w:color="auto"/>
              <w:right w:val="single" w:sz="4" w:space="0" w:color="auto"/>
            </w:tcBorders>
            <w:hideMark/>
          </w:tcPr>
          <w:p w14:paraId="270A8207"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9</w:t>
            </w:r>
          </w:p>
        </w:tc>
        <w:tc>
          <w:tcPr>
            <w:tcW w:w="8050" w:type="dxa"/>
            <w:tcBorders>
              <w:top w:val="single" w:sz="4" w:space="0" w:color="auto"/>
              <w:left w:val="single" w:sz="4" w:space="0" w:color="auto"/>
              <w:bottom w:val="single" w:sz="4" w:space="0" w:color="auto"/>
              <w:right w:val="single" w:sz="4" w:space="0" w:color="auto"/>
            </w:tcBorders>
            <w:hideMark/>
          </w:tcPr>
          <w:p w14:paraId="592B2148"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Crosby, A., Orenstein, E. C., Poulton, S. E., Bell, K. L. C., Woodward, B., Ruhl, H., Katija, K., &amp; Forbes, A. G. (2023). Designing Ocean Vision AI: An Investigation of Community Needs for Imaging-based Ocean Conservation. </w:t>
            </w:r>
            <w:r>
              <w:rPr>
                <w:rFonts w:asciiTheme="majorHAnsi" w:hAnsiTheme="majorHAnsi" w:cs="Times-Italic"/>
                <w:i/>
                <w:iCs/>
                <w:sz w:val="20"/>
                <w:szCs w:val="20"/>
                <w:lang w:val="en-US"/>
              </w:rPr>
              <w:t>Proceedings of the 2023 CHI Conference on Human Factors in Computing Systems</w:t>
            </w:r>
            <w:r>
              <w:rPr>
                <w:rFonts w:asciiTheme="majorHAnsi" w:hAnsiTheme="majorHAnsi" w:cs="Times-Roman"/>
                <w:sz w:val="20"/>
                <w:szCs w:val="20"/>
                <w:lang w:val="en-US"/>
              </w:rPr>
              <w:t xml:space="preserve">, 1–16. </w:t>
            </w:r>
            <w:hyperlink r:id="rId56" w:history="1">
              <w:r>
                <w:rPr>
                  <w:rStyle w:val="Hyperlink"/>
                  <w:rFonts w:cs="Times-Roman"/>
                  <w:color w:val="0000E9"/>
                  <w:sz w:val="20"/>
                  <w:szCs w:val="20"/>
                  <w:lang w:val="en-US"/>
                </w:rPr>
                <w:t>https://doi.org/10.1145/3544548.3580886</w:t>
              </w:r>
            </w:hyperlink>
          </w:p>
        </w:tc>
      </w:tr>
      <w:tr w:rsidR="004A32A2" w14:paraId="035B4523" w14:textId="77777777">
        <w:tc>
          <w:tcPr>
            <w:tcW w:w="966" w:type="dxa"/>
            <w:tcBorders>
              <w:top w:val="single" w:sz="4" w:space="0" w:color="auto"/>
              <w:left w:val="single" w:sz="4" w:space="0" w:color="auto"/>
              <w:bottom w:val="single" w:sz="4" w:space="0" w:color="auto"/>
              <w:right w:val="single" w:sz="4" w:space="0" w:color="auto"/>
            </w:tcBorders>
            <w:hideMark/>
          </w:tcPr>
          <w:p w14:paraId="6E044A81"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10</w:t>
            </w:r>
          </w:p>
        </w:tc>
        <w:tc>
          <w:tcPr>
            <w:tcW w:w="8050" w:type="dxa"/>
            <w:tcBorders>
              <w:top w:val="single" w:sz="4" w:space="0" w:color="auto"/>
              <w:left w:val="single" w:sz="4" w:space="0" w:color="auto"/>
              <w:bottom w:val="single" w:sz="4" w:space="0" w:color="auto"/>
              <w:right w:val="single" w:sz="4" w:space="0" w:color="auto"/>
            </w:tcBorders>
            <w:hideMark/>
          </w:tcPr>
          <w:p w14:paraId="35AB2FF3" w14:textId="77777777" w:rsidR="004A32A2" w:rsidRDefault="004A32A2">
            <w:pPr>
              <w:spacing w:after="0" w:line="276" w:lineRule="auto"/>
              <w:ind w:firstLine="0"/>
              <w:rPr>
                <w:rFonts w:asciiTheme="majorHAnsi" w:hAnsiTheme="majorHAnsi"/>
                <w:sz w:val="20"/>
                <w:szCs w:val="20"/>
              </w:rPr>
            </w:pPr>
            <w:proofErr w:type="spellStart"/>
            <w:r>
              <w:rPr>
                <w:rFonts w:asciiTheme="majorHAnsi" w:hAnsiTheme="majorHAnsi" w:cs="Times-Roman"/>
                <w:sz w:val="20"/>
                <w:szCs w:val="20"/>
                <w:lang w:val="en-US"/>
              </w:rPr>
              <w:t>Degrossi</w:t>
            </w:r>
            <w:proofErr w:type="spellEnd"/>
            <w:r>
              <w:rPr>
                <w:rFonts w:asciiTheme="majorHAnsi" w:hAnsiTheme="majorHAnsi" w:cs="Times-Roman"/>
                <w:sz w:val="20"/>
                <w:szCs w:val="20"/>
                <w:lang w:val="en-US"/>
              </w:rPr>
              <w:t xml:space="preserve">, L. C., Abe, B. B., de Albuquerque, J. P., &amp; de Mattos Fortes, R. P. (2018). Enhancing usability of a citizen observatory based on user-centered design. </w:t>
            </w:r>
            <w:r>
              <w:rPr>
                <w:rFonts w:asciiTheme="majorHAnsi" w:hAnsiTheme="majorHAnsi" w:cs="Times-Italic"/>
                <w:i/>
                <w:iCs/>
                <w:sz w:val="20"/>
                <w:szCs w:val="20"/>
                <w:lang w:val="en-US"/>
              </w:rPr>
              <w:t>Proceedings of the 8th International Conference on Software Development and Technologies for Enhancing Accessibility and Fighting Info-Exclusion</w:t>
            </w:r>
            <w:r>
              <w:rPr>
                <w:rFonts w:asciiTheme="majorHAnsi" w:hAnsiTheme="majorHAnsi" w:cs="Times-Roman"/>
                <w:sz w:val="20"/>
                <w:szCs w:val="20"/>
                <w:lang w:val="en-US"/>
              </w:rPr>
              <w:t xml:space="preserve">, 294–301. </w:t>
            </w:r>
            <w:hyperlink r:id="rId57" w:history="1">
              <w:r>
                <w:rPr>
                  <w:rStyle w:val="Hyperlink"/>
                  <w:rFonts w:cs="Times-Roman"/>
                  <w:color w:val="0000E9"/>
                  <w:sz w:val="20"/>
                  <w:szCs w:val="20"/>
                  <w:lang w:val="en-US"/>
                </w:rPr>
                <w:t>https://doi.org/10.1145/3218585.3218674</w:t>
              </w:r>
            </w:hyperlink>
          </w:p>
        </w:tc>
      </w:tr>
      <w:tr w:rsidR="004A32A2" w14:paraId="61342E85" w14:textId="77777777">
        <w:tc>
          <w:tcPr>
            <w:tcW w:w="966" w:type="dxa"/>
            <w:tcBorders>
              <w:top w:val="single" w:sz="4" w:space="0" w:color="auto"/>
              <w:left w:val="single" w:sz="4" w:space="0" w:color="auto"/>
              <w:bottom w:val="single" w:sz="4" w:space="0" w:color="auto"/>
              <w:right w:val="single" w:sz="4" w:space="0" w:color="auto"/>
            </w:tcBorders>
            <w:hideMark/>
          </w:tcPr>
          <w:p w14:paraId="5F780A9B"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11</w:t>
            </w:r>
          </w:p>
        </w:tc>
        <w:tc>
          <w:tcPr>
            <w:tcW w:w="8050" w:type="dxa"/>
            <w:tcBorders>
              <w:top w:val="single" w:sz="4" w:space="0" w:color="auto"/>
              <w:left w:val="single" w:sz="4" w:space="0" w:color="auto"/>
              <w:bottom w:val="single" w:sz="4" w:space="0" w:color="auto"/>
              <w:right w:val="single" w:sz="4" w:space="0" w:color="auto"/>
            </w:tcBorders>
            <w:hideMark/>
          </w:tcPr>
          <w:p w14:paraId="1B3BD3AC"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Ervasti, M., Dashti, S., Reilly, J., Bray, J. D., Bayen, A., &amp; Glaser, S. (2011). </w:t>
            </w:r>
            <w:proofErr w:type="spellStart"/>
            <w:r>
              <w:rPr>
                <w:rFonts w:asciiTheme="majorHAnsi" w:hAnsiTheme="majorHAnsi" w:cs="Times-Roman"/>
                <w:sz w:val="20"/>
                <w:szCs w:val="20"/>
                <w:lang w:val="en-US"/>
              </w:rPr>
              <w:t>iShake</w:t>
            </w:r>
            <w:proofErr w:type="spellEnd"/>
            <w:r>
              <w:rPr>
                <w:rFonts w:asciiTheme="majorHAnsi" w:hAnsiTheme="majorHAnsi" w:cs="Times-Roman"/>
                <w:sz w:val="20"/>
                <w:szCs w:val="20"/>
                <w:lang w:val="en-US"/>
              </w:rPr>
              <w:t xml:space="preserve">: Mobile Phones as Seismic Sensors – User Study Findings. </w:t>
            </w:r>
            <w:r>
              <w:rPr>
                <w:rFonts w:asciiTheme="majorHAnsi" w:hAnsiTheme="majorHAnsi" w:cs="Times-Italic"/>
                <w:i/>
                <w:iCs/>
                <w:sz w:val="20"/>
                <w:szCs w:val="20"/>
                <w:lang w:val="en-US"/>
              </w:rPr>
              <w:t>Proceedings of the 10th International Conference on Mobile and Ubiquitous Multimedia</w:t>
            </w:r>
            <w:r>
              <w:rPr>
                <w:rFonts w:asciiTheme="majorHAnsi" w:hAnsiTheme="majorHAnsi" w:cs="Times-Roman"/>
                <w:sz w:val="20"/>
                <w:szCs w:val="20"/>
                <w:lang w:val="en-US"/>
              </w:rPr>
              <w:t xml:space="preserve">, 43–52. </w:t>
            </w:r>
            <w:hyperlink r:id="rId58" w:history="1">
              <w:r>
                <w:rPr>
                  <w:rStyle w:val="Hyperlink"/>
                  <w:rFonts w:cs="Times-Roman"/>
                  <w:color w:val="0000E9"/>
                  <w:sz w:val="20"/>
                  <w:szCs w:val="20"/>
                  <w:lang w:val="en-US"/>
                </w:rPr>
                <w:t>https://doi.org/10.1145/2107596.2107601</w:t>
              </w:r>
            </w:hyperlink>
          </w:p>
        </w:tc>
      </w:tr>
      <w:tr w:rsidR="004A32A2" w14:paraId="7DA8C51A" w14:textId="77777777">
        <w:tc>
          <w:tcPr>
            <w:tcW w:w="966" w:type="dxa"/>
            <w:tcBorders>
              <w:top w:val="single" w:sz="4" w:space="0" w:color="auto"/>
              <w:left w:val="single" w:sz="4" w:space="0" w:color="auto"/>
              <w:bottom w:val="single" w:sz="4" w:space="0" w:color="auto"/>
              <w:right w:val="single" w:sz="4" w:space="0" w:color="auto"/>
            </w:tcBorders>
            <w:hideMark/>
          </w:tcPr>
          <w:p w14:paraId="29E997A2"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12</w:t>
            </w:r>
          </w:p>
        </w:tc>
        <w:tc>
          <w:tcPr>
            <w:tcW w:w="8050" w:type="dxa"/>
            <w:tcBorders>
              <w:top w:val="single" w:sz="4" w:space="0" w:color="auto"/>
              <w:left w:val="single" w:sz="4" w:space="0" w:color="auto"/>
              <w:bottom w:val="single" w:sz="4" w:space="0" w:color="auto"/>
              <w:right w:val="single" w:sz="4" w:space="0" w:color="auto"/>
            </w:tcBorders>
            <w:hideMark/>
          </w:tcPr>
          <w:p w14:paraId="016AEA3D"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Ferreira, M., Nisi, V., &amp; Nunes, N. (2023). Interactions with Climate Change: a Data Humanism Design Approach. </w:t>
            </w:r>
            <w:r>
              <w:rPr>
                <w:rFonts w:asciiTheme="majorHAnsi" w:hAnsiTheme="majorHAnsi" w:cs="Times-Italic"/>
                <w:i/>
                <w:iCs/>
                <w:sz w:val="20"/>
                <w:szCs w:val="20"/>
                <w:lang w:val="en-US"/>
              </w:rPr>
              <w:t>Proceedings of the 2023 ACM Designing Interactive Systems Conference</w:t>
            </w:r>
            <w:r>
              <w:rPr>
                <w:rFonts w:asciiTheme="majorHAnsi" w:hAnsiTheme="majorHAnsi" w:cs="Times-Roman"/>
                <w:sz w:val="20"/>
                <w:szCs w:val="20"/>
                <w:lang w:val="en-US"/>
              </w:rPr>
              <w:t xml:space="preserve">, 1325–1338. </w:t>
            </w:r>
            <w:hyperlink r:id="rId59" w:history="1">
              <w:r>
                <w:rPr>
                  <w:rStyle w:val="Hyperlink"/>
                  <w:rFonts w:cs="Times-Roman"/>
                  <w:color w:val="0000E9"/>
                  <w:sz w:val="20"/>
                  <w:szCs w:val="20"/>
                  <w:lang w:val="en-US"/>
                </w:rPr>
                <w:t>https://doi.org/10.1145/3563657.3596003</w:t>
              </w:r>
            </w:hyperlink>
          </w:p>
        </w:tc>
      </w:tr>
      <w:tr w:rsidR="004A32A2" w14:paraId="33E6A850" w14:textId="77777777">
        <w:tc>
          <w:tcPr>
            <w:tcW w:w="966" w:type="dxa"/>
            <w:tcBorders>
              <w:top w:val="single" w:sz="4" w:space="0" w:color="auto"/>
              <w:left w:val="single" w:sz="4" w:space="0" w:color="auto"/>
              <w:bottom w:val="single" w:sz="4" w:space="0" w:color="auto"/>
              <w:right w:val="single" w:sz="4" w:space="0" w:color="auto"/>
            </w:tcBorders>
            <w:hideMark/>
          </w:tcPr>
          <w:p w14:paraId="4E9E7753"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lastRenderedPageBreak/>
              <w:t>13</w:t>
            </w:r>
          </w:p>
        </w:tc>
        <w:tc>
          <w:tcPr>
            <w:tcW w:w="8050" w:type="dxa"/>
            <w:tcBorders>
              <w:top w:val="single" w:sz="4" w:space="0" w:color="auto"/>
              <w:left w:val="single" w:sz="4" w:space="0" w:color="auto"/>
              <w:bottom w:val="single" w:sz="4" w:space="0" w:color="auto"/>
              <w:right w:val="single" w:sz="4" w:space="0" w:color="auto"/>
            </w:tcBorders>
            <w:hideMark/>
          </w:tcPr>
          <w:p w14:paraId="30547A5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Fuhrmann, S. (2018). User-centered design for geoinformation technologies. In </w:t>
            </w:r>
            <w:r>
              <w:rPr>
                <w:rFonts w:asciiTheme="majorHAnsi" w:hAnsiTheme="majorHAnsi" w:cs="Times-Italic"/>
                <w:i/>
                <w:iCs/>
                <w:sz w:val="20"/>
                <w:szCs w:val="20"/>
                <w:lang w:val="en-US"/>
              </w:rPr>
              <w:t>Comprehensive Geographic Information Systems</w:t>
            </w:r>
            <w:r>
              <w:rPr>
                <w:rFonts w:asciiTheme="majorHAnsi" w:hAnsiTheme="majorHAnsi" w:cs="Times-Roman"/>
                <w:sz w:val="20"/>
                <w:szCs w:val="20"/>
                <w:lang w:val="en-US"/>
              </w:rPr>
              <w:t xml:space="preserve"> (pp. 438–445). </w:t>
            </w:r>
            <w:hyperlink r:id="rId60" w:history="1">
              <w:r>
                <w:rPr>
                  <w:rStyle w:val="Hyperlink"/>
                  <w:rFonts w:cs="Times-Roman"/>
                  <w:color w:val="0000E9"/>
                  <w:sz w:val="20"/>
                  <w:szCs w:val="20"/>
                  <w:lang w:val="en-US"/>
                </w:rPr>
                <w:t>https://doi.org/10.1016/B978-0-12-409548-9.09608-1</w:t>
              </w:r>
            </w:hyperlink>
          </w:p>
        </w:tc>
      </w:tr>
      <w:tr w:rsidR="004A32A2" w14:paraId="585F9DAB" w14:textId="77777777">
        <w:tc>
          <w:tcPr>
            <w:tcW w:w="966" w:type="dxa"/>
            <w:tcBorders>
              <w:top w:val="single" w:sz="4" w:space="0" w:color="auto"/>
              <w:left w:val="single" w:sz="4" w:space="0" w:color="auto"/>
              <w:bottom w:val="single" w:sz="4" w:space="0" w:color="auto"/>
              <w:right w:val="single" w:sz="4" w:space="0" w:color="auto"/>
            </w:tcBorders>
            <w:hideMark/>
          </w:tcPr>
          <w:p w14:paraId="32D3C1D5"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14</w:t>
            </w:r>
          </w:p>
        </w:tc>
        <w:tc>
          <w:tcPr>
            <w:tcW w:w="8050" w:type="dxa"/>
            <w:tcBorders>
              <w:top w:val="single" w:sz="4" w:space="0" w:color="auto"/>
              <w:left w:val="single" w:sz="4" w:space="0" w:color="auto"/>
              <w:bottom w:val="single" w:sz="4" w:space="0" w:color="auto"/>
              <w:right w:val="single" w:sz="4" w:space="0" w:color="auto"/>
            </w:tcBorders>
            <w:hideMark/>
          </w:tcPr>
          <w:p w14:paraId="00BFC7C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Ginige, A., Romano, M., Sebillo, M., Vitiello, G., &amp; di Giovanni, P. (2012). Spatial data and mobile applications – general solutions for interface design. </w:t>
            </w:r>
            <w:r>
              <w:rPr>
                <w:rFonts w:asciiTheme="majorHAnsi" w:hAnsiTheme="majorHAnsi" w:cs="Times-Italic"/>
                <w:i/>
                <w:iCs/>
                <w:sz w:val="20"/>
                <w:szCs w:val="20"/>
                <w:lang w:val="en-US"/>
              </w:rPr>
              <w:t>Proceedings of the International Working Conference on Advanced Visual Interfaces</w:t>
            </w:r>
            <w:r>
              <w:rPr>
                <w:rFonts w:asciiTheme="majorHAnsi" w:hAnsiTheme="majorHAnsi" w:cs="Times-Roman"/>
                <w:sz w:val="20"/>
                <w:szCs w:val="20"/>
                <w:lang w:val="en-US"/>
              </w:rPr>
              <w:t xml:space="preserve">, 189–196. </w:t>
            </w:r>
            <w:hyperlink r:id="rId61" w:history="1">
              <w:r>
                <w:rPr>
                  <w:rStyle w:val="Hyperlink"/>
                  <w:rFonts w:cs="Times-Roman"/>
                  <w:color w:val="0000E9"/>
                  <w:sz w:val="20"/>
                  <w:szCs w:val="20"/>
                  <w:lang w:val="en-US"/>
                </w:rPr>
                <w:t>https://doi.org/10.1145/2254556.2254591</w:t>
              </w:r>
            </w:hyperlink>
          </w:p>
        </w:tc>
      </w:tr>
      <w:tr w:rsidR="004A32A2" w14:paraId="71EF595F" w14:textId="77777777">
        <w:tc>
          <w:tcPr>
            <w:tcW w:w="966" w:type="dxa"/>
            <w:tcBorders>
              <w:top w:val="single" w:sz="4" w:space="0" w:color="auto"/>
              <w:left w:val="single" w:sz="4" w:space="0" w:color="auto"/>
              <w:bottom w:val="single" w:sz="4" w:space="0" w:color="auto"/>
              <w:right w:val="single" w:sz="4" w:space="0" w:color="auto"/>
            </w:tcBorders>
            <w:hideMark/>
          </w:tcPr>
          <w:p w14:paraId="67307F7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15</w:t>
            </w:r>
          </w:p>
        </w:tc>
        <w:tc>
          <w:tcPr>
            <w:tcW w:w="8050" w:type="dxa"/>
            <w:tcBorders>
              <w:top w:val="single" w:sz="4" w:space="0" w:color="auto"/>
              <w:left w:val="single" w:sz="4" w:space="0" w:color="auto"/>
              <w:bottom w:val="single" w:sz="4" w:space="0" w:color="auto"/>
              <w:right w:val="single" w:sz="4" w:space="0" w:color="auto"/>
            </w:tcBorders>
            <w:hideMark/>
          </w:tcPr>
          <w:p w14:paraId="4A95DA95" w14:textId="77777777" w:rsidR="004A32A2" w:rsidRDefault="004A32A2">
            <w:pPr>
              <w:spacing w:after="0" w:line="276" w:lineRule="auto"/>
              <w:ind w:firstLine="0"/>
              <w:rPr>
                <w:rFonts w:asciiTheme="majorHAnsi" w:hAnsiTheme="majorHAnsi"/>
                <w:sz w:val="20"/>
                <w:szCs w:val="20"/>
              </w:rPr>
            </w:pPr>
            <w:proofErr w:type="spellStart"/>
            <w:r>
              <w:rPr>
                <w:rFonts w:asciiTheme="majorHAnsi" w:hAnsiTheme="majorHAnsi" w:cs="Times-Roman"/>
                <w:sz w:val="20"/>
                <w:szCs w:val="20"/>
                <w:lang w:val="en-US"/>
              </w:rPr>
              <w:t>Glogovac</w:t>
            </w:r>
            <w:proofErr w:type="spellEnd"/>
            <w:r>
              <w:rPr>
                <w:rFonts w:asciiTheme="majorHAnsi" w:hAnsiTheme="majorHAnsi" w:cs="Times-Roman"/>
                <w:sz w:val="20"/>
                <w:szCs w:val="20"/>
                <w:lang w:val="en-US"/>
              </w:rPr>
              <w:t xml:space="preserve">, B., Simonsen, M., Solberg, S. S., Löfström, E., &amp; Ahlers, D. (2016). Ducky: An online engagement platform for climate communication. </w:t>
            </w:r>
            <w:r>
              <w:rPr>
                <w:rFonts w:asciiTheme="majorHAnsi" w:hAnsiTheme="majorHAnsi" w:cs="Times-Italic"/>
                <w:i/>
                <w:iCs/>
                <w:sz w:val="20"/>
                <w:szCs w:val="20"/>
                <w:lang w:val="en-US"/>
              </w:rPr>
              <w:t>Proceedings of the 9th Nordic Conference on Human-Computer Interaction</w:t>
            </w:r>
            <w:r>
              <w:rPr>
                <w:rFonts w:asciiTheme="majorHAnsi" w:hAnsiTheme="majorHAnsi" w:cs="Times-Roman"/>
                <w:sz w:val="20"/>
                <w:szCs w:val="20"/>
                <w:lang w:val="en-US"/>
              </w:rPr>
              <w:t xml:space="preserve">, 23–27 October 2016, 1–6. </w:t>
            </w:r>
            <w:hyperlink r:id="rId62" w:history="1">
              <w:r>
                <w:rPr>
                  <w:rStyle w:val="Hyperlink"/>
                  <w:rFonts w:cs="Times-Roman"/>
                  <w:color w:val="0000E9"/>
                  <w:sz w:val="20"/>
                  <w:szCs w:val="20"/>
                  <w:lang w:val="en-US"/>
                </w:rPr>
                <w:t>https://doi.org/10.1145/2971485.2995350</w:t>
              </w:r>
            </w:hyperlink>
          </w:p>
        </w:tc>
      </w:tr>
      <w:tr w:rsidR="004A32A2" w14:paraId="2A060958" w14:textId="77777777">
        <w:tc>
          <w:tcPr>
            <w:tcW w:w="966" w:type="dxa"/>
            <w:tcBorders>
              <w:top w:val="single" w:sz="4" w:space="0" w:color="auto"/>
              <w:left w:val="single" w:sz="4" w:space="0" w:color="auto"/>
              <w:bottom w:val="single" w:sz="4" w:space="0" w:color="auto"/>
              <w:right w:val="single" w:sz="4" w:space="0" w:color="auto"/>
            </w:tcBorders>
            <w:hideMark/>
          </w:tcPr>
          <w:p w14:paraId="06448A2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16</w:t>
            </w:r>
          </w:p>
        </w:tc>
        <w:tc>
          <w:tcPr>
            <w:tcW w:w="8050" w:type="dxa"/>
            <w:tcBorders>
              <w:top w:val="single" w:sz="4" w:space="0" w:color="auto"/>
              <w:left w:val="single" w:sz="4" w:space="0" w:color="auto"/>
              <w:bottom w:val="single" w:sz="4" w:space="0" w:color="auto"/>
              <w:right w:val="single" w:sz="4" w:space="0" w:color="auto"/>
            </w:tcBorders>
            <w:hideMark/>
          </w:tcPr>
          <w:p w14:paraId="0E74985E"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Grainger, S., Mao, F., &amp; </w:t>
            </w:r>
            <w:proofErr w:type="spellStart"/>
            <w:r>
              <w:rPr>
                <w:rFonts w:asciiTheme="majorHAnsi" w:hAnsiTheme="majorHAnsi" w:cs="Times-Roman"/>
                <w:sz w:val="20"/>
                <w:szCs w:val="20"/>
                <w:lang w:val="en-US"/>
              </w:rPr>
              <w:t>Buytaert</w:t>
            </w:r>
            <w:proofErr w:type="spellEnd"/>
            <w:r>
              <w:rPr>
                <w:rFonts w:asciiTheme="majorHAnsi" w:hAnsiTheme="majorHAnsi" w:cs="Times-Roman"/>
                <w:sz w:val="20"/>
                <w:szCs w:val="20"/>
                <w:lang w:val="en-US"/>
              </w:rPr>
              <w:t xml:space="preserve">, W. (2016). Environmental data </w:t>
            </w:r>
            <w:proofErr w:type="spellStart"/>
            <w:r>
              <w:rPr>
                <w:rFonts w:asciiTheme="majorHAnsi" w:hAnsiTheme="majorHAnsi" w:cs="Times-Roman"/>
                <w:sz w:val="20"/>
                <w:szCs w:val="20"/>
                <w:lang w:val="en-US"/>
              </w:rPr>
              <w:t>visualisation</w:t>
            </w:r>
            <w:proofErr w:type="spellEnd"/>
            <w:r>
              <w:rPr>
                <w:rFonts w:asciiTheme="majorHAnsi" w:hAnsiTheme="majorHAnsi" w:cs="Times-Roman"/>
                <w:sz w:val="20"/>
                <w:szCs w:val="20"/>
                <w:lang w:val="en-US"/>
              </w:rPr>
              <w:t xml:space="preserve"> for non-scientific contexts: Literature review and design framework. </w:t>
            </w:r>
            <w:r>
              <w:rPr>
                <w:rFonts w:asciiTheme="majorHAnsi" w:hAnsiTheme="majorHAnsi" w:cs="Times-Italic"/>
                <w:i/>
                <w:iCs/>
                <w:sz w:val="20"/>
                <w:szCs w:val="20"/>
                <w:lang w:val="en-US"/>
              </w:rPr>
              <w:t>Environmental Modelling and Software, 85</w:t>
            </w:r>
            <w:r>
              <w:rPr>
                <w:rFonts w:asciiTheme="majorHAnsi" w:hAnsiTheme="majorHAnsi" w:cs="Times-Roman"/>
                <w:sz w:val="20"/>
                <w:szCs w:val="20"/>
                <w:lang w:val="en-US"/>
              </w:rPr>
              <w:t xml:space="preserve">, 299–318. </w:t>
            </w:r>
            <w:hyperlink r:id="rId63" w:history="1">
              <w:r>
                <w:rPr>
                  <w:rStyle w:val="Hyperlink"/>
                  <w:rFonts w:cs="Times-Roman"/>
                  <w:color w:val="0000E9"/>
                  <w:sz w:val="20"/>
                  <w:szCs w:val="20"/>
                  <w:lang w:val="en-US"/>
                </w:rPr>
                <w:t>https://doi.org/10.1016/j.envsoft.2016.09.004</w:t>
              </w:r>
            </w:hyperlink>
          </w:p>
        </w:tc>
      </w:tr>
      <w:tr w:rsidR="004A32A2" w14:paraId="0424889D" w14:textId="77777777">
        <w:tc>
          <w:tcPr>
            <w:tcW w:w="966" w:type="dxa"/>
            <w:tcBorders>
              <w:top w:val="single" w:sz="4" w:space="0" w:color="auto"/>
              <w:left w:val="single" w:sz="4" w:space="0" w:color="auto"/>
              <w:bottom w:val="single" w:sz="4" w:space="0" w:color="auto"/>
              <w:right w:val="single" w:sz="4" w:space="0" w:color="auto"/>
            </w:tcBorders>
            <w:hideMark/>
          </w:tcPr>
          <w:p w14:paraId="44A13B7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17</w:t>
            </w:r>
          </w:p>
        </w:tc>
        <w:tc>
          <w:tcPr>
            <w:tcW w:w="8050" w:type="dxa"/>
            <w:tcBorders>
              <w:top w:val="single" w:sz="4" w:space="0" w:color="auto"/>
              <w:left w:val="single" w:sz="4" w:space="0" w:color="auto"/>
              <w:bottom w:val="single" w:sz="4" w:space="0" w:color="auto"/>
              <w:right w:val="single" w:sz="4" w:space="0" w:color="auto"/>
            </w:tcBorders>
            <w:hideMark/>
          </w:tcPr>
          <w:p w14:paraId="78738E3C"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Gutiérrez, F., Htun, N. N., Schlenz, F., </w:t>
            </w:r>
            <w:proofErr w:type="spellStart"/>
            <w:r>
              <w:rPr>
                <w:rFonts w:asciiTheme="majorHAnsi" w:hAnsiTheme="majorHAnsi" w:cs="Times-Roman"/>
                <w:sz w:val="20"/>
                <w:szCs w:val="20"/>
                <w:lang w:val="en-US"/>
              </w:rPr>
              <w:t>Kasimati</w:t>
            </w:r>
            <w:proofErr w:type="spellEnd"/>
            <w:r>
              <w:rPr>
                <w:rFonts w:asciiTheme="majorHAnsi" w:hAnsiTheme="majorHAnsi" w:cs="Times-Roman"/>
                <w:sz w:val="20"/>
                <w:szCs w:val="20"/>
                <w:lang w:val="en-US"/>
              </w:rPr>
              <w:t xml:space="preserve">, A., &amp; </w:t>
            </w:r>
            <w:proofErr w:type="spellStart"/>
            <w:r>
              <w:rPr>
                <w:rFonts w:asciiTheme="majorHAnsi" w:hAnsiTheme="majorHAnsi" w:cs="Times-Roman"/>
                <w:sz w:val="20"/>
                <w:szCs w:val="20"/>
                <w:lang w:val="en-US"/>
              </w:rPr>
              <w:t>Verbert</w:t>
            </w:r>
            <w:proofErr w:type="spellEnd"/>
            <w:r>
              <w:rPr>
                <w:rFonts w:asciiTheme="majorHAnsi" w:hAnsiTheme="majorHAnsi" w:cs="Times-Roman"/>
                <w:sz w:val="20"/>
                <w:szCs w:val="20"/>
                <w:lang w:val="en-US"/>
              </w:rPr>
              <w:t xml:space="preserve">, K. (2019). A review of </w:t>
            </w:r>
            <w:proofErr w:type="spellStart"/>
            <w:r>
              <w:rPr>
                <w:rFonts w:asciiTheme="majorHAnsi" w:hAnsiTheme="majorHAnsi" w:cs="Times-Roman"/>
                <w:sz w:val="20"/>
                <w:szCs w:val="20"/>
                <w:lang w:val="en-US"/>
              </w:rPr>
              <w:t>visualisations</w:t>
            </w:r>
            <w:proofErr w:type="spellEnd"/>
            <w:r>
              <w:rPr>
                <w:rFonts w:asciiTheme="majorHAnsi" w:hAnsiTheme="majorHAnsi" w:cs="Times-Roman"/>
                <w:sz w:val="20"/>
                <w:szCs w:val="20"/>
                <w:lang w:val="en-US"/>
              </w:rPr>
              <w:t xml:space="preserve"> in agricultural decision support systems: An HCI perspective. </w:t>
            </w:r>
            <w:r>
              <w:rPr>
                <w:rFonts w:asciiTheme="majorHAnsi" w:hAnsiTheme="majorHAnsi" w:cs="Times-Italic"/>
                <w:i/>
                <w:iCs/>
                <w:sz w:val="20"/>
                <w:szCs w:val="20"/>
                <w:lang w:val="en-US"/>
              </w:rPr>
              <w:t>Computers and Electronics in Agriculture, 163</w:t>
            </w:r>
            <w:r>
              <w:rPr>
                <w:rFonts w:asciiTheme="majorHAnsi" w:hAnsiTheme="majorHAnsi" w:cs="Times-Roman"/>
                <w:sz w:val="20"/>
                <w:szCs w:val="20"/>
                <w:lang w:val="en-US"/>
              </w:rPr>
              <w:t xml:space="preserve">(104844). </w:t>
            </w:r>
            <w:hyperlink r:id="rId64" w:history="1">
              <w:r>
                <w:rPr>
                  <w:rStyle w:val="Hyperlink"/>
                  <w:rFonts w:cs="Times-Roman"/>
                  <w:color w:val="0000E9"/>
                  <w:sz w:val="20"/>
                  <w:szCs w:val="20"/>
                  <w:lang w:val="en-US"/>
                </w:rPr>
                <w:t>https://doi.org/10.1016/j.compag.2019.05.053</w:t>
              </w:r>
            </w:hyperlink>
          </w:p>
        </w:tc>
      </w:tr>
      <w:tr w:rsidR="004A32A2" w14:paraId="737AEAAB" w14:textId="77777777">
        <w:tc>
          <w:tcPr>
            <w:tcW w:w="966" w:type="dxa"/>
            <w:tcBorders>
              <w:top w:val="single" w:sz="4" w:space="0" w:color="auto"/>
              <w:left w:val="single" w:sz="4" w:space="0" w:color="auto"/>
              <w:bottom w:val="single" w:sz="4" w:space="0" w:color="auto"/>
              <w:right w:val="single" w:sz="4" w:space="0" w:color="auto"/>
            </w:tcBorders>
            <w:hideMark/>
          </w:tcPr>
          <w:p w14:paraId="0899A968"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18</w:t>
            </w:r>
          </w:p>
        </w:tc>
        <w:tc>
          <w:tcPr>
            <w:tcW w:w="8050" w:type="dxa"/>
            <w:tcBorders>
              <w:top w:val="single" w:sz="4" w:space="0" w:color="auto"/>
              <w:left w:val="single" w:sz="4" w:space="0" w:color="auto"/>
              <w:bottom w:val="single" w:sz="4" w:space="0" w:color="auto"/>
              <w:right w:val="single" w:sz="4" w:space="0" w:color="auto"/>
            </w:tcBorders>
            <w:hideMark/>
          </w:tcPr>
          <w:p w14:paraId="0A04C15E"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ISO Standard 9241-210 Ergonomics of human–system interaction — Part 210: Human-</w:t>
            </w:r>
            <w:proofErr w:type="spellStart"/>
            <w:r>
              <w:rPr>
                <w:rFonts w:asciiTheme="majorHAnsi" w:hAnsiTheme="majorHAnsi" w:cs="Times-Roman"/>
                <w:sz w:val="20"/>
                <w:szCs w:val="20"/>
                <w:lang w:val="en-US"/>
              </w:rPr>
              <w:t>centred</w:t>
            </w:r>
            <w:proofErr w:type="spellEnd"/>
            <w:r>
              <w:rPr>
                <w:rFonts w:asciiTheme="majorHAnsi" w:hAnsiTheme="majorHAnsi" w:cs="Times-Roman"/>
                <w:sz w:val="20"/>
                <w:szCs w:val="20"/>
                <w:lang w:val="en-US"/>
              </w:rPr>
              <w:t xml:space="preserve"> design for interactive systems. (2010).</w:t>
            </w:r>
          </w:p>
        </w:tc>
      </w:tr>
      <w:tr w:rsidR="004A32A2" w14:paraId="63B9A7AC" w14:textId="77777777">
        <w:tc>
          <w:tcPr>
            <w:tcW w:w="966" w:type="dxa"/>
            <w:tcBorders>
              <w:top w:val="single" w:sz="4" w:space="0" w:color="auto"/>
              <w:left w:val="single" w:sz="4" w:space="0" w:color="auto"/>
              <w:bottom w:val="single" w:sz="4" w:space="0" w:color="auto"/>
              <w:right w:val="single" w:sz="4" w:space="0" w:color="auto"/>
            </w:tcBorders>
            <w:hideMark/>
          </w:tcPr>
          <w:p w14:paraId="4D8992D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19</w:t>
            </w:r>
          </w:p>
        </w:tc>
        <w:tc>
          <w:tcPr>
            <w:tcW w:w="8050" w:type="dxa"/>
            <w:tcBorders>
              <w:top w:val="single" w:sz="4" w:space="0" w:color="auto"/>
              <w:left w:val="single" w:sz="4" w:space="0" w:color="auto"/>
              <w:bottom w:val="single" w:sz="4" w:space="0" w:color="auto"/>
              <w:right w:val="single" w:sz="4" w:space="0" w:color="auto"/>
            </w:tcBorders>
            <w:hideMark/>
          </w:tcPr>
          <w:p w14:paraId="31D21699"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Joshi, S., </w:t>
            </w:r>
            <w:proofErr w:type="spellStart"/>
            <w:r>
              <w:rPr>
                <w:rFonts w:asciiTheme="majorHAnsi" w:hAnsiTheme="majorHAnsi" w:cs="Times-Roman"/>
                <w:sz w:val="20"/>
                <w:szCs w:val="20"/>
                <w:lang w:val="en-US"/>
              </w:rPr>
              <w:t>Nistala</w:t>
            </w:r>
            <w:proofErr w:type="spellEnd"/>
            <w:r>
              <w:rPr>
                <w:rFonts w:asciiTheme="majorHAnsi" w:hAnsiTheme="majorHAnsi" w:cs="Times-Roman"/>
                <w:sz w:val="20"/>
                <w:szCs w:val="20"/>
                <w:lang w:val="en-US"/>
              </w:rPr>
              <w:t xml:space="preserve">, P. V., Jani, H., </w:t>
            </w:r>
            <w:proofErr w:type="spellStart"/>
            <w:r>
              <w:rPr>
                <w:rFonts w:asciiTheme="majorHAnsi" w:hAnsiTheme="majorHAnsi" w:cs="Times-Roman"/>
                <w:sz w:val="20"/>
                <w:szCs w:val="20"/>
                <w:lang w:val="en-US"/>
              </w:rPr>
              <w:t>Sakhardande</w:t>
            </w:r>
            <w:proofErr w:type="spellEnd"/>
            <w:r>
              <w:rPr>
                <w:rFonts w:asciiTheme="majorHAnsi" w:hAnsiTheme="majorHAnsi" w:cs="Times-Roman"/>
                <w:sz w:val="20"/>
                <w:szCs w:val="20"/>
                <w:lang w:val="en-US"/>
              </w:rPr>
              <w:t xml:space="preserve">, P., &amp; Dsouza, T. (2017). User-centered design journey for pattern development. </w:t>
            </w:r>
            <w:r>
              <w:rPr>
                <w:rFonts w:asciiTheme="majorHAnsi" w:hAnsiTheme="majorHAnsi" w:cs="Times-Italic"/>
                <w:i/>
                <w:iCs/>
                <w:sz w:val="20"/>
                <w:szCs w:val="20"/>
                <w:lang w:val="en-US"/>
              </w:rPr>
              <w:t>Proceedings of the 22nd European Conference on Pattern Languages of Programs</w:t>
            </w:r>
            <w:r>
              <w:rPr>
                <w:rFonts w:asciiTheme="majorHAnsi" w:hAnsiTheme="majorHAnsi" w:cs="Times-Roman"/>
                <w:sz w:val="20"/>
                <w:szCs w:val="20"/>
                <w:lang w:val="en-US"/>
              </w:rPr>
              <w:t xml:space="preserve">, Part F132091, 1–19. </w:t>
            </w:r>
            <w:hyperlink r:id="rId65" w:history="1">
              <w:r>
                <w:rPr>
                  <w:rStyle w:val="Hyperlink"/>
                  <w:rFonts w:cs="Times-Roman"/>
                  <w:color w:val="0000E9"/>
                  <w:sz w:val="20"/>
                  <w:szCs w:val="20"/>
                  <w:lang w:val="en-US"/>
                </w:rPr>
                <w:t>https://doi.org/10.1145/3147704.3147730</w:t>
              </w:r>
            </w:hyperlink>
          </w:p>
        </w:tc>
      </w:tr>
      <w:tr w:rsidR="004A32A2" w14:paraId="15B61637" w14:textId="77777777">
        <w:tc>
          <w:tcPr>
            <w:tcW w:w="966" w:type="dxa"/>
            <w:tcBorders>
              <w:top w:val="single" w:sz="4" w:space="0" w:color="auto"/>
              <w:left w:val="single" w:sz="4" w:space="0" w:color="auto"/>
              <w:bottom w:val="single" w:sz="4" w:space="0" w:color="auto"/>
              <w:right w:val="single" w:sz="4" w:space="0" w:color="auto"/>
            </w:tcBorders>
            <w:hideMark/>
          </w:tcPr>
          <w:p w14:paraId="6462653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20</w:t>
            </w:r>
          </w:p>
        </w:tc>
        <w:tc>
          <w:tcPr>
            <w:tcW w:w="8050" w:type="dxa"/>
            <w:tcBorders>
              <w:top w:val="single" w:sz="4" w:space="0" w:color="auto"/>
              <w:left w:val="single" w:sz="4" w:space="0" w:color="auto"/>
              <w:bottom w:val="single" w:sz="4" w:space="0" w:color="auto"/>
              <w:right w:val="single" w:sz="4" w:space="0" w:color="auto"/>
            </w:tcBorders>
            <w:hideMark/>
          </w:tcPr>
          <w:p w14:paraId="2DD31414" w14:textId="77777777" w:rsidR="004A32A2" w:rsidRDefault="004A32A2">
            <w:pPr>
              <w:spacing w:after="0" w:line="276" w:lineRule="auto"/>
              <w:ind w:firstLine="0"/>
              <w:rPr>
                <w:rFonts w:asciiTheme="majorHAnsi" w:hAnsiTheme="majorHAnsi"/>
                <w:sz w:val="20"/>
                <w:szCs w:val="20"/>
              </w:rPr>
            </w:pPr>
            <w:proofErr w:type="spellStart"/>
            <w:r>
              <w:rPr>
                <w:rFonts w:asciiTheme="majorHAnsi" w:hAnsiTheme="majorHAnsi" w:cs="Times-Roman"/>
                <w:sz w:val="20"/>
                <w:szCs w:val="20"/>
                <w:lang w:val="en-US"/>
              </w:rPr>
              <w:t>Koesten</w:t>
            </w:r>
            <w:proofErr w:type="spellEnd"/>
            <w:r>
              <w:rPr>
                <w:rFonts w:asciiTheme="majorHAnsi" w:hAnsiTheme="majorHAnsi" w:cs="Times-Roman"/>
                <w:sz w:val="20"/>
                <w:szCs w:val="20"/>
                <w:lang w:val="en-US"/>
              </w:rPr>
              <w:t xml:space="preserve">, L., &amp; </w:t>
            </w:r>
            <w:proofErr w:type="spellStart"/>
            <w:r>
              <w:rPr>
                <w:rFonts w:asciiTheme="majorHAnsi" w:hAnsiTheme="majorHAnsi" w:cs="Times-Roman"/>
                <w:sz w:val="20"/>
                <w:szCs w:val="20"/>
                <w:lang w:val="en-US"/>
              </w:rPr>
              <w:t>Simperl</w:t>
            </w:r>
            <w:proofErr w:type="spellEnd"/>
            <w:r>
              <w:rPr>
                <w:rFonts w:asciiTheme="majorHAnsi" w:hAnsiTheme="majorHAnsi" w:cs="Times-Roman"/>
                <w:sz w:val="20"/>
                <w:szCs w:val="20"/>
                <w:lang w:val="en-US"/>
              </w:rPr>
              <w:t xml:space="preserve">, E. (2021). UX of Data: Making Data Available Doesn’t Make It Usable. </w:t>
            </w:r>
            <w:r>
              <w:rPr>
                <w:rFonts w:asciiTheme="majorHAnsi" w:hAnsiTheme="majorHAnsi" w:cs="Times-Italic"/>
                <w:i/>
                <w:iCs/>
                <w:sz w:val="20"/>
                <w:szCs w:val="20"/>
                <w:lang w:val="en-US"/>
              </w:rPr>
              <w:t>Interactions, 28</w:t>
            </w:r>
            <w:r>
              <w:rPr>
                <w:rFonts w:asciiTheme="majorHAnsi" w:hAnsiTheme="majorHAnsi" w:cs="Times-Roman"/>
                <w:sz w:val="20"/>
                <w:szCs w:val="20"/>
                <w:lang w:val="en-US"/>
              </w:rPr>
              <w:t xml:space="preserve">(2), 97–99. </w:t>
            </w:r>
            <w:hyperlink r:id="rId66" w:history="1">
              <w:r>
                <w:rPr>
                  <w:rStyle w:val="Hyperlink"/>
                  <w:rFonts w:cs="Times-Roman"/>
                  <w:color w:val="0000E9"/>
                  <w:sz w:val="20"/>
                  <w:szCs w:val="20"/>
                  <w:lang w:val="en-US"/>
                </w:rPr>
                <w:t>https://doi.org/10.1145/3448888</w:t>
              </w:r>
            </w:hyperlink>
          </w:p>
        </w:tc>
      </w:tr>
      <w:tr w:rsidR="004A32A2" w14:paraId="1B4D127A" w14:textId="77777777">
        <w:tc>
          <w:tcPr>
            <w:tcW w:w="966" w:type="dxa"/>
            <w:tcBorders>
              <w:top w:val="single" w:sz="4" w:space="0" w:color="auto"/>
              <w:left w:val="single" w:sz="4" w:space="0" w:color="auto"/>
              <w:bottom w:val="single" w:sz="4" w:space="0" w:color="auto"/>
              <w:right w:val="single" w:sz="4" w:space="0" w:color="auto"/>
            </w:tcBorders>
            <w:hideMark/>
          </w:tcPr>
          <w:p w14:paraId="057EF262"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21</w:t>
            </w:r>
          </w:p>
        </w:tc>
        <w:tc>
          <w:tcPr>
            <w:tcW w:w="8050" w:type="dxa"/>
            <w:tcBorders>
              <w:top w:val="single" w:sz="4" w:space="0" w:color="auto"/>
              <w:left w:val="single" w:sz="4" w:space="0" w:color="auto"/>
              <w:bottom w:val="single" w:sz="4" w:space="0" w:color="auto"/>
              <w:right w:val="single" w:sz="4" w:space="0" w:color="auto"/>
            </w:tcBorders>
            <w:hideMark/>
          </w:tcPr>
          <w:p w14:paraId="72254821"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Law, E. L. C., Roto, V., Hassenzahl, M., </w:t>
            </w:r>
            <w:proofErr w:type="spellStart"/>
            <w:r>
              <w:rPr>
                <w:rFonts w:asciiTheme="majorHAnsi" w:hAnsiTheme="majorHAnsi" w:cs="Times-Roman"/>
                <w:sz w:val="20"/>
                <w:szCs w:val="20"/>
                <w:lang w:val="en-US"/>
              </w:rPr>
              <w:t>Vermeeren</w:t>
            </w:r>
            <w:proofErr w:type="spellEnd"/>
            <w:r>
              <w:rPr>
                <w:rFonts w:asciiTheme="majorHAnsi" w:hAnsiTheme="majorHAnsi" w:cs="Times-Roman"/>
                <w:sz w:val="20"/>
                <w:szCs w:val="20"/>
                <w:lang w:val="en-US"/>
              </w:rPr>
              <w:t xml:space="preserve">, A. P., &amp; Kort, J. (2009). Understanding, Scoping and Defining User </w:t>
            </w:r>
            <w:proofErr w:type="spellStart"/>
            <w:proofErr w:type="gramStart"/>
            <w:r>
              <w:rPr>
                <w:rFonts w:asciiTheme="majorHAnsi" w:hAnsiTheme="majorHAnsi" w:cs="Times-Roman"/>
                <w:sz w:val="20"/>
                <w:szCs w:val="20"/>
                <w:lang w:val="en-US"/>
              </w:rPr>
              <w:t>eXperience</w:t>
            </w:r>
            <w:proofErr w:type="spellEnd"/>
            <w:proofErr w:type="gramEnd"/>
            <w:r>
              <w:rPr>
                <w:rFonts w:asciiTheme="majorHAnsi" w:hAnsiTheme="majorHAnsi" w:cs="Times-Roman"/>
                <w:sz w:val="20"/>
                <w:szCs w:val="20"/>
                <w:lang w:val="en-US"/>
              </w:rPr>
              <w:t xml:space="preserve">: A Survey Approach. </w:t>
            </w:r>
            <w:r>
              <w:rPr>
                <w:rFonts w:asciiTheme="majorHAnsi" w:hAnsiTheme="majorHAnsi" w:cs="Times-Italic"/>
                <w:i/>
                <w:iCs/>
                <w:sz w:val="20"/>
                <w:szCs w:val="20"/>
                <w:lang w:val="en-US"/>
              </w:rPr>
              <w:t>Proceedings of the SIGCHI Conference on Human Factors in Computing Systems</w:t>
            </w:r>
            <w:r>
              <w:rPr>
                <w:rFonts w:asciiTheme="majorHAnsi" w:hAnsiTheme="majorHAnsi" w:cs="Times-Roman"/>
                <w:sz w:val="20"/>
                <w:szCs w:val="20"/>
                <w:lang w:val="en-US"/>
              </w:rPr>
              <w:t xml:space="preserve">, 719–728. </w:t>
            </w:r>
            <w:hyperlink r:id="rId67" w:history="1">
              <w:r>
                <w:rPr>
                  <w:rStyle w:val="Hyperlink"/>
                  <w:rFonts w:cs="Times-Roman"/>
                  <w:color w:val="0000E9"/>
                  <w:sz w:val="20"/>
                  <w:szCs w:val="20"/>
                  <w:lang w:val="en-US"/>
                </w:rPr>
                <w:t>https://doi.org/10.1145/1518701.1518813</w:t>
              </w:r>
            </w:hyperlink>
          </w:p>
        </w:tc>
      </w:tr>
      <w:tr w:rsidR="004A32A2" w14:paraId="29D3C1D3" w14:textId="77777777">
        <w:tc>
          <w:tcPr>
            <w:tcW w:w="966" w:type="dxa"/>
            <w:tcBorders>
              <w:top w:val="single" w:sz="4" w:space="0" w:color="auto"/>
              <w:left w:val="single" w:sz="4" w:space="0" w:color="auto"/>
              <w:bottom w:val="single" w:sz="4" w:space="0" w:color="auto"/>
              <w:right w:val="single" w:sz="4" w:space="0" w:color="auto"/>
            </w:tcBorders>
            <w:hideMark/>
          </w:tcPr>
          <w:p w14:paraId="76CA88C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22</w:t>
            </w:r>
          </w:p>
        </w:tc>
        <w:tc>
          <w:tcPr>
            <w:tcW w:w="8050" w:type="dxa"/>
            <w:tcBorders>
              <w:top w:val="single" w:sz="4" w:space="0" w:color="auto"/>
              <w:left w:val="single" w:sz="4" w:space="0" w:color="auto"/>
              <w:bottom w:val="single" w:sz="4" w:space="0" w:color="auto"/>
              <w:right w:val="single" w:sz="4" w:space="0" w:color="auto"/>
            </w:tcBorders>
            <w:hideMark/>
          </w:tcPr>
          <w:p w14:paraId="52EEAF9B"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Mao, J.-Y., Vredenburg, K., Smith, P. W., &amp; Carey, T. (2005). The state of user-centered design practice. </w:t>
            </w:r>
            <w:r>
              <w:rPr>
                <w:rFonts w:asciiTheme="majorHAnsi" w:hAnsiTheme="majorHAnsi" w:cs="Times-Italic"/>
                <w:i/>
                <w:iCs/>
                <w:sz w:val="20"/>
                <w:szCs w:val="20"/>
                <w:lang w:val="en-US"/>
              </w:rPr>
              <w:t>Communications of the ACM, 48</w:t>
            </w:r>
            <w:r>
              <w:rPr>
                <w:rFonts w:asciiTheme="majorHAnsi" w:hAnsiTheme="majorHAnsi" w:cs="Times-Roman"/>
                <w:sz w:val="20"/>
                <w:szCs w:val="20"/>
                <w:lang w:val="en-US"/>
              </w:rPr>
              <w:t xml:space="preserve">(3). </w:t>
            </w:r>
            <w:hyperlink r:id="rId68" w:history="1">
              <w:r>
                <w:rPr>
                  <w:rStyle w:val="Hyperlink"/>
                  <w:rFonts w:cs="Times-Roman"/>
                  <w:color w:val="0000E9"/>
                  <w:sz w:val="20"/>
                  <w:szCs w:val="20"/>
                  <w:lang w:val="en-US"/>
                </w:rPr>
                <w:t>https://doi.org/10.1145/1047671.1047677</w:t>
              </w:r>
            </w:hyperlink>
          </w:p>
        </w:tc>
      </w:tr>
      <w:tr w:rsidR="004A32A2" w14:paraId="2456B787" w14:textId="77777777">
        <w:tc>
          <w:tcPr>
            <w:tcW w:w="966" w:type="dxa"/>
            <w:tcBorders>
              <w:top w:val="single" w:sz="4" w:space="0" w:color="auto"/>
              <w:left w:val="single" w:sz="4" w:space="0" w:color="auto"/>
              <w:bottom w:val="single" w:sz="4" w:space="0" w:color="auto"/>
              <w:right w:val="single" w:sz="4" w:space="0" w:color="auto"/>
            </w:tcBorders>
            <w:hideMark/>
          </w:tcPr>
          <w:p w14:paraId="3BBF807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23</w:t>
            </w:r>
          </w:p>
        </w:tc>
        <w:tc>
          <w:tcPr>
            <w:tcW w:w="8050" w:type="dxa"/>
            <w:tcBorders>
              <w:top w:val="single" w:sz="4" w:space="0" w:color="auto"/>
              <w:left w:val="single" w:sz="4" w:space="0" w:color="auto"/>
              <w:bottom w:val="single" w:sz="4" w:space="0" w:color="auto"/>
              <w:right w:val="single" w:sz="4" w:space="0" w:color="auto"/>
            </w:tcBorders>
            <w:hideMark/>
          </w:tcPr>
          <w:p w14:paraId="3CAF18C9"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Nunes, N. J., Nisi, V., &amp; Rennert, K. (2016). </w:t>
            </w:r>
            <w:proofErr w:type="spellStart"/>
            <w:r>
              <w:rPr>
                <w:rFonts w:asciiTheme="majorHAnsi" w:hAnsiTheme="majorHAnsi" w:cs="Times-Roman"/>
                <w:sz w:val="20"/>
                <w:szCs w:val="20"/>
                <w:lang w:val="en-US"/>
              </w:rPr>
              <w:t>BeEco</w:t>
            </w:r>
            <w:proofErr w:type="spellEnd"/>
            <w:r>
              <w:rPr>
                <w:rFonts w:asciiTheme="majorHAnsi" w:hAnsiTheme="majorHAnsi" w:cs="Times-Roman"/>
                <w:sz w:val="20"/>
                <w:szCs w:val="20"/>
                <w:lang w:val="en-US"/>
              </w:rPr>
              <w:t xml:space="preserve"> – Co-designing a game with children to promote environmental awareness – A case study. </w:t>
            </w:r>
            <w:r>
              <w:rPr>
                <w:rFonts w:asciiTheme="majorHAnsi" w:hAnsiTheme="majorHAnsi" w:cs="Times-Italic"/>
                <w:i/>
                <w:iCs/>
                <w:sz w:val="20"/>
                <w:szCs w:val="20"/>
                <w:lang w:val="en-US"/>
              </w:rPr>
              <w:t>CHI Proceedings</w:t>
            </w:r>
            <w:r>
              <w:rPr>
                <w:rFonts w:asciiTheme="majorHAnsi" w:hAnsiTheme="majorHAnsi" w:cs="Times-Roman"/>
                <w:sz w:val="20"/>
                <w:szCs w:val="20"/>
                <w:lang w:val="en-US"/>
              </w:rPr>
              <w:t xml:space="preserve">, 07–12 May 2016, 718–727. </w:t>
            </w:r>
            <w:hyperlink r:id="rId69" w:history="1">
              <w:r>
                <w:rPr>
                  <w:rStyle w:val="Hyperlink"/>
                  <w:rFonts w:cs="Times-Roman"/>
                  <w:color w:val="0000E9"/>
                  <w:sz w:val="20"/>
                  <w:szCs w:val="20"/>
                  <w:lang w:val="en-US"/>
                </w:rPr>
                <w:t>https://doi.org/10.1145/2851581.2851585</w:t>
              </w:r>
            </w:hyperlink>
          </w:p>
        </w:tc>
      </w:tr>
      <w:tr w:rsidR="004A32A2" w14:paraId="00E671F3" w14:textId="77777777">
        <w:tc>
          <w:tcPr>
            <w:tcW w:w="966" w:type="dxa"/>
            <w:tcBorders>
              <w:top w:val="single" w:sz="4" w:space="0" w:color="auto"/>
              <w:left w:val="single" w:sz="4" w:space="0" w:color="auto"/>
              <w:bottom w:val="single" w:sz="4" w:space="0" w:color="auto"/>
              <w:right w:val="single" w:sz="4" w:space="0" w:color="auto"/>
            </w:tcBorders>
            <w:hideMark/>
          </w:tcPr>
          <w:p w14:paraId="2DCB8E1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24</w:t>
            </w:r>
          </w:p>
        </w:tc>
        <w:tc>
          <w:tcPr>
            <w:tcW w:w="8050" w:type="dxa"/>
            <w:tcBorders>
              <w:top w:val="single" w:sz="4" w:space="0" w:color="auto"/>
              <w:left w:val="single" w:sz="4" w:space="0" w:color="auto"/>
              <w:bottom w:val="single" w:sz="4" w:space="0" w:color="auto"/>
              <w:right w:val="single" w:sz="4" w:space="0" w:color="auto"/>
            </w:tcBorders>
            <w:hideMark/>
          </w:tcPr>
          <w:p w14:paraId="7516A5E0" w14:textId="77777777" w:rsidR="004A32A2" w:rsidRDefault="004A32A2">
            <w:pPr>
              <w:spacing w:after="0" w:line="276" w:lineRule="auto"/>
              <w:ind w:firstLine="0"/>
              <w:rPr>
                <w:rFonts w:asciiTheme="majorHAnsi" w:hAnsiTheme="majorHAnsi"/>
                <w:sz w:val="20"/>
                <w:szCs w:val="20"/>
              </w:rPr>
            </w:pPr>
            <w:proofErr w:type="spellStart"/>
            <w:r>
              <w:rPr>
                <w:rFonts w:asciiTheme="majorHAnsi" w:hAnsiTheme="majorHAnsi" w:cs="Times-Roman"/>
                <w:sz w:val="20"/>
                <w:szCs w:val="20"/>
                <w:lang w:val="en-US"/>
              </w:rPr>
              <w:t>Ozenc</w:t>
            </w:r>
            <w:proofErr w:type="spellEnd"/>
            <w:r>
              <w:rPr>
                <w:rFonts w:asciiTheme="majorHAnsi" w:hAnsiTheme="majorHAnsi" w:cs="Times-Roman"/>
                <w:sz w:val="20"/>
                <w:szCs w:val="20"/>
                <w:lang w:val="en-US"/>
              </w:rPr>
              <w:t xml:space="preserve">, F. K., Cranor, L. F., &amp; Morris, J. H. (2011). Adapt-A-Ride: Understanding the Dynamics of Commuting Preferences through An Experience Design Framework. </w:t>
            </w:r>
            <w:r>
              <w:rPr>
                <w:rFonts w:asciiTheme="majorHAnsi" w:hAnsiTheme="majorHAnsi" w:cs="Times-Italic"/>
                <w:i/>
                <w:iCs/>
                <w:sz w:val="20"/>
                <w:szCs w:val="20"/>
                <w:lang w:val="en-US"/>
              </w:rPr>
              <w:t>Proceedings of the 2011 Conference on Designing Pleasurable Products and Interfaces</w:t>
            </w:r>
            <w:r>
              <w:rPr>
                <w:rFonts w:asciiTheme="majorHAnsi" w:hAnsiTheme="majorHAnsi" w:cs="Times-Roman"/>
                <w:sz w:val="20"/>
                <w:szCs w:val="20"/>
                <w:lang w:val="en-US"/>
              </w:rPr>
              <w:t xml:space="preserve">. </w:t>
            </w:r>
            <w:hyperlink r:id="rId70" w:history="1">
              <w:r>
                <w:rPr>
                  <w:rStyle w:val="Hyperlink"/>
                  <w:rFonts w:cs="Times-Roman"/>
                  <w:color w:val="0000E9"/>
                  <w:sz w:val="20"/>
                  <w:szCs w:val="20"/>
                  <w:lang w:val="en-US"/>
                </w:rPr>
                <w:t>https://doi.org/10.1145/2347504.2347571</w:t>
              </w:r>
            </w:hyperlink>
          </w:p>
        </w:tc>
      </w:tr>
      <w:tr w:rsidR="004A32A2" w14:paraId="12C650DF" w14:textId="77777777">
        <w:tc>
          <w:tcPr>
            <w:tcW w:w="966" w:type="dxa"/>
            <w:tcBorders>
              <w:top w:val="single" w:sz="4" w:space="0" w:color="auto"/>
              <w:left w:val="single" w:sz="4" w:space="0" w:color="auto"/>
              <w:bottom w:val="single" w:sz="4" w:space="0" w:color="auto"/>
              <w:right w:val="single" w:sz="4" w:space="0" w:color="auto"/>
            </w:tcBorders>
            <w:hideMark/>
          </w:tcPr>
          <w:p w14:paraId="23AE163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25</w:t>
            </w:r>
          </w:p>
        </w:tc>
        <w:tc>
          <w:tcPr>
            <w:tcW w:w="8050" w:type="dxa"/>
            <w:tcBorders>
              <w:top w:val="single" w:sz="4" w:space="0" w:color="auto"/>
              <w:left w:val="single" w:sz="4" w:space="0" w:color="auto"/>
              <w:bottom w:val="single" w:sz="4" w:space="0" w:color="auto"/>
              <w:right w:val="single" w:sz="4" w:space="0" w:color="auto"/>
            </w:tcBorders>
            <w:hideMark/>
          </w:tcPr>
          <w:p w14:paraId="68976338" w14:textId="77777777" w:rsidR="004A32A2" w:rsidRDefault="004A32A2">
            <w:pPr>
              <w:spacing w:after="0" w:line="276" w:lineRule="auto"/>
              <w:ind w:firstLine="0"/>
              <w:rPr>
                <w:rFonts w:asciiTheme="majorHAnsi" w:hAnsiTheme="majorHAnsi"/>
                <w:sz w:val="20"/>
                <w:szCs w:val="20"/>
              </w:rPr>
            </w:pPr>
            <w:proofErr w:type="spellStart"/>
            <w:r>
              <w:rPr>
                <w:rFonts w:asciiTheme="majorHAnsi" w:hAnsiTheme="majorHAnsi" w:cs="Times-Roman"/>
                <w:sz w:val="20"/>
                <w:szCs w:val="20"/>
                <w:lang w:val="en-US"/>
              </w:rPr>
              <w:t>Palacin</w:t>
            </w:r>
            <w:proofErr w:type="spellEnd"/>
            <w:r>
              <w:rPr>
                <w:rFonts w:asciiTheme="majorHAnsi" w:hAnsiTheme="majorHAnsi" w:cs="Times-Roman"/>
                <w:sz w:val="20"/>
                <w:szCs w:val="20"/>
                <w:lang w:val="en-US"/>
              </w:rPr>
              <w:t xml:space="preserve">, V., Ferrario, M. A., Wolff, A., Kupiainen, N., Ginnane, S., Happonen, A., &amp; </w:t>
            </w:r>
            <w:proofErr w:type="spellStart"/>
            <w:r>
              <w:rPr>
                <w:rFonts w:asciiTheme="majorHAnsi" w:hAnsiTheme="majorHAnsi" w:cs="Times-Roman"/>
                <w:sz w:val="20"/>
                <w:szCs w:val="20"/>
                <w:lang w:val="en-US"/>
              </w:rPr>
              <w:t>Piutunen</w:t>
            </w:r>
            <w:proofErr w:type="spellEnd"/>
            <w:r>
              <w:rPr>
                <w:rFonts w:asciiTheme="majorHAnsi" w:hAnsiTheme="majorHAnsi" w:cs="Times-Roman"/>
                <w:sz w:val="20"/>
                <w:szCs w:val="20"/>
                <w:lang w:val="en-US"/>
              </w:rPr>
              <w:t xml:space="preserve">, S. (2019). Sensei: Harnessing community wisdom for local environmental monitoring in Finland. </w:t>
            </w:r>
            <w:r>
              <w:rPr>
                <w:rFonts w:asciiTheme="majorHAnsi" w:hAnsiTheme="majorHAnsi" w:cs="Times-Italic"/>
                <w:i/>
                <w:iCs/>
                <w:sz w:val="20"/>
                <w:szCs w:val="20"/>
                <w:lang w:val="en-US"/>
              </w:rPr>
              <w:t>Extended Abstracts of the 2019 CHI Conference on Human Factors in Computing Systems</w:t>
            </w:r>
            <w:r>
              <w:rPr>
                <w:rFonts w:asciiTheme="majorHAnsi" w:hAnsiTheme="majorHAnsi" w:cs="Times-Roman"/>
                <w:sz w:val="20"/>
                <w:szCs w:val="20"/>
                <w:lang w:val="en-US"/>
              </w:rPr>
              <w:t xml:space="preserve">, 1–8. </w:t>
            </w:r>
            <w:hyperlink r:id="rId71" w:history="1">
              <w:r>
                <w:rPr>
                  <w:rStyle w:val="Hyperlink"/>
                  <w:rFonts w:cs="Times-Roman"/>
                  <w:color w:val="0000E9"/>
                  <w:sz w:val="20"/>
                  <w:szCs w:val="20"/>
                  <w:lang w:val="en-US"/>
                </w:rPr>
                <w:t>https://doi.org/10.1145/3290607.3299047</w:t>
              </w:r>
            </w:hyperlink>
          </w:p>
        </w:tc>
      </w:tr>
      <w:tr w:rsidR="004A32A2" w14:paraId="511EF563" w14:textId="77777777">
        <w:tc>
          <w:tcPr>
            <w:tcW w:w="966" w:type="dxa"/>
            <w:tcBorders>
              <w:top w:val="single" w:sz="4" w:space="0" w:color="auto"/>
              <w:left w:val="single" w:sz="4" w:space="0" w:color="auto"/>
              <w:bottom w:val="single" w:sz="4" w:space="0" w:color="auto"/>
              <w:right w:val="single" w:sz="4" w:space="0" w:color="auto"/>
            </w:tcBorders>
            <w:hideMark/>
          </w:tcPr>
          <w:p w14:paraId="5D193DFF"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26</w:t>
            </w:r>
          </w:p>
        </w:tc>
        <w:tc>
          <w:tcPr>
            <w:tcW w:w="8050" w:type="dxa"/>
            <w:tcBorders>
              <w:top w:val="single" w:sz="4" w:space="0" w:color="auto"/>
              <w:left w:val="single" w:sz="4" w:space="0" w:color="auto"/>
              <w:bottom w:val="single" w:sz="4" w:space="0" w:color="auto"/>
              <w:right w:val="single" w:sz="4" w:space="0" w:color="auto"/>
            </w:tcBorders>
            <w:hideMark/>
          </w:tcPr>
          <w:p w14:paraId="2C6C485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Petkov, P., Goswami, S., </w:t>
            </w:r>
            <w:proofErr w:type="spellStart"/>
            <w:r>
              <w:rPr>
                <w:rFonts w:asciiTheme="majorHAnsi" w:hAnsiTheme="majorHAnsi" w:cs="Times-Roman"/>
                <w:sz w:val="20"/>
                <w:szCs w:val="20"/>
                <w:lang w:val="en-US"/>
              </w:rPr>
              <w:t>Köbler</w:t>
            </w:r>
            <w:proofErr w:type="spellEnd"/>
            <w:r>
              <w:rPr>
                <w:rFonts w:asciiTheme="majorHAnsi" w:hAnsiTheme="majorHAnsi" w:cs="Times-Roman"/>
                <w:sz w:val="20"/>
                <w:szCs w:val="20"/>
                <w:lang w:val="en-US"/>
              </w:rPr>
              <w:t xml:space="preserve">, F., &amp; Krcmar, H. (2012). </w:t>
            </w:r>
            <w:proofErr w:type="spellStart"/>
            <w:r>
              <w:rPr>
                <w:rFonts w:asciiTheme="majorHAnsi" w:hAnsiTheme="majorHAnsi" w:cs="Times-Roman"/>
                <w:sz w:val="20"/>
                <w:szCs w:val="20"/>
                <w:lang w:val="en-US"/>
              </w:rPr>
              <w:t>Personalised</w:t>
            </w:r>
            <w:proofErr w:type="spellEnd"/>
            <w:r>
              <w:rPr>
                <w:rFonts w:asciiTheme="majorHAnsi" w:hAnsiTheme="majorHAnsi" w:cs="Times-Roman"/>
                <w:sz w:val="20"/>
                <w:szCs w:val="20"/>
                <w:lang w:val="en-US"/>
              </w:rPr>
              <w:t xml:space="preserve"> Eco-Feedback as A Design Technique for Motivating Energy Saving </w:t>
            </w:r>
            <w:proofErr w:type="spellStart"/>
            <w:r>
              <w:rPr>
                <w:rFonts w:asciiTheme="majorHAnsi" w:hAnsiTheme="majorHAnsi" w:cs="Times-Roman"/>
                <w:sz w:val="20"/>
                <w:szCs w:val="20"/>
                <w:lang w:val="en-US"/>
              </w:rPr>
              <w:t>Behaviour</w:t>
            </w:r>
            <w:proofErr w:type="spellEnd"/>
            <w:r>
              <w:rPr>
                <w:rFonts w:asciiTheme="majorHAnsi" w:hAnsiTheme="majorHAnsi" w:cs="Times-Roman"/>
                <w:sz w:val="20"/>
                <w:szCs w:val="20"/>
                <w:lang w:val="en-US"/>
              </w:rPr>
              <w:t xml:space="preserve"> at Home. </w:t>
            </w:r>
            <w:r>
              <w:rPr>
                <w:rFonts w:asciiTheme="majorHAnsi" w:hAnsiTheme="majorHAnsi" w:cs="Times-Italic"/>
                <w:i/>
                <w:iCs/>
                <w:sz w:val="20"/>
                <w:szCs w:val="20"/>
                <w:lang w:val="en-US"/>
              </w:rPr>
              <w:t>Proceedings of the 7th Nordic Conference on Human-Computer Interaction: Making Sense Through Design</w:t>
            </w:r>
            <w:r>
              <w:rPr>
                <w:rFonts w:asciiTheme="majorHAnsi" w:hAnsiTheme="majorHAnsi" w:cs="Times-Roman"/>
                <w:sz w:val="20"/>
                <w:szCs w:val="20"/>
                <w:lang w:val="en-US"/>
              </w:rPr>
              <w:t xml:space="preserve">, 587–596. </w:t>
            </w:r>
            <w:hyperlink r:id="rId72" w:history="1">
              <w:r>
                <w:rPr>
                  <w:rStyle w:val="Hyperlink"/>
                  <w:rFonts w:cs="Times-Roman"/>
                  <w:color w:val="0000E9"/>
                  <w:sz w:val="20"/>
                  <w:szCs w:val="20"/>
                  <w:lang w:val="en-US"/>
                </w:rPr>
                <w:t>https://doi.org/10.1145/2399016.2399106</w:t>
              </w:r>
            </w:hyperlink>
          </w:p>
        </w:tc>
      </w:tr>
      <w:tr w:rsidR="004A32A2" w14:paraId="6C75E45C" w14:textId="77777777">
        <w:tc>
          <w:tcPr>
            <w:tcW w:w="966" w:type="dxa"/>
            <w:tcBorders>
              <w:top w:val="single" w:sz="4" w:space="0" w:color="auto"/>
              <w:left w:val="single" w:sz="4" w:space="0" w:color="auto"/>
              <w:bottom w:val="single" w:sz="4" w:space="0" w:color="auto"/>
              <w:right w:val="single" w:sz="4" w:space="0" w:color="auto"/>
            </w:tcBorders>
            <w:hideMark/>
          </w:tcPr>
          <w:p w14:paraId="2BB8A604"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27</w:t>
            </w:r>
          </w:p>
        </w:tc>
        <w:tc>
          <w:tcPr>
            <w:tcW w:w="8050" w:type="dxa"/>
            <w:tcBorders>
              <w:top w:val="single" w:sz="4" w:space="0" w:color="auto"/>
              <w:left w:val="single" w:sz="4" w:space="0" w:color="auto"/>
              <w:bottom w:val="single" w:sz="4" w:space="0" w:color="auto"/>
              <w:right w:val="single" w:sz="4" w:space="0" w:color="auto"/>
            </w:tcBorders>
            <w:hideMark/>
          </w:tcPr>
          <w:p w14:paraId="65C5B321"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Robinson, A. C., Peeler, J. L., </w:t>
            </w:r>
            <w:proofErr w:type="spellStart"/>
            <w:r>
              <w:rPr>
                <w:rFonts w:asciiTheme="majorHAnsi" w:hAnsiTheme="majorHAnsi" w:cs="Times-Roman"/>
                <w:sz w:val="20"/>
                <w:szCs w:val="20"/>
                <w:lang w:val="en-US"/>
              </w:rPr>
              <w:t>Prestby</w:t>
            </w:r>
            <w:proofErr w:type="spellEnd"/>
            <w:r>
              <w:rPr>
                <w:rFonts w:asciiTheme="majorHAnsi" w:hAnsiTheme="majorHAnsi" w:cs="Times-Roman"/>
                <w:sz w:val="20"/>
                <w:szCs w:val="20"/>
                <w:lang w:val="en-US"/>
              </w:rPr>
              <w:t xml:space="preserve">, T., Goslee, S. C., Anton, K., &amp; </w:t>
            </w:r>
            <w:proofErr w:type="spellStart"/>
            <w:r>
              <w:rPr>
                <w:rFonts w:asciiTheme="majorHAnsi" w:hAnsiTheme="majorHAnsi" w:cs="Times-Roman"/>
                <w:sz w:val="20"/>
                <w:szCs w:val="20"/>
                <w:lang w:val="en-US"/>
              </w:rPr>
              <w:t>Grozinger</w:t>
            </w:r>
            <w:proofErr w:type="spellEnd"/>
            <w:r>
              <w:rPr>
                <w:rFonts w:asciiTheme="majorHAnsi" w:hAnsiTheme="majorHAnsi" w:cs="Times-Roman"/>
                <w:sz w:val="20"/>
                <w:szCs w:val="20"/>
                <w:lang w:val="en-US"/>
              </w:rPr>
              <w:t xml:space="preserve">, C. M. (2021). </w:t>
            </w:r>
            <w:proofErr w:type="spellStart"/>
            <w:r>
              <w:rPr>
                <w:rFonts w:asciiTheme="majorHAnsi" w:hAnsiTheme="majorHAnsi" w:cs="Times-Roman"/>
                <w:sz w:val="20"/>
                <w:szCs w:val="20"/>
                <w:lang w:val="en-US"/>
              </w:rPr>
              <w:t>Beescape</w:t>
            </w:r>
            <w:proofErr w:type="spellEnd"/>
            <w:r>
              <w:rPr>
                <w:rFonts w:asciiTheme="majorHAnsi" w:hAnsiTheme="majorHAnsi" w:cs="Times-Roman"/>
                <w:sz w:val="20"/>
                <w:szCs w:val="20"/>
                <w:lang w:val="en-US"/>
              </w:rPr>
              <w:t xml:space="preserve">: Characterizing user needs for environmental decision support in beekeeping. </w:t>
            </w:r>
            <w:r>
              <w:rPr>
                <w:rFonts w:asciiTheme="majorHAnsi" w:hAnsiTheme="majorHAnsi" w:cs="Times-Italic"/>
                <w:i/>
                <w:iCs/>
                <w:sz w:val="20"/>
                <w:szCs w:val="20"/>
                <w:lang w:val="en-US"/>
              </w:rPr>
              <w:t>Ecological Informatics, 64</w:t>
            </w:r>
            <w:r>
              <w:rPr>
                <w:rFonts w:asciiTheme="majorHAnsi" w:hAnsiTheme="majorHAnsi" w:cs="Times-Roman"/>
                <w:sz w:val="20"/>
                <w:szCs w:val="20"/>
                <w:lang w:val="en-US"/>
              </w:rPr>
              <w:t xml:space="preserve">(101366). </w:t>
            </w:r>
            <w:hyperlink r:id="rId73" w:history="1">
              <w:r>
                <w:rPr>
                  <w:rStyle w:val="Hyperlink"/>
                  <w:rFonts w:cs="Times-Roman"/>
                  <w:color w:val="0000E9"/>
                  <w:sz w:val="20"/>
                  <w:szCs w:val="20"/>
                  <w:lang w:val="en-US"/>
                </w:rPr>
                <w:t>https://doi.org/10.1016/j.ecoinf.2021.101366</w:t>
              </w:r>
            </w:hyperlink>
          </w:p>
        </w:tc>
      </w:tr>
      <w:tr w:rsidR="004A32A2" w14:paraId="39AD4931" w14:textId="77777777">
        <w:tc>
          <w:tcPr>
            <w:tcW w:w="966" w:type="dxa"/>
            <w:tcBorders>
              <w:top w:val="single" w:sz="4" w:space="0" w:color="auto"/>
              <w:left w:val="single" w:sz="4" w:space="0" w:color="auto"/>
              <w:bottom w:val="single" w:sz="4" w:space="0" w:color="auto"/>
              <w:right w:val="single" w:sz="4" w:space="0" w:color="auto"/>
            </w:tcBorders>
            <w:hideMark/>
          </w:tcPr>
          <w:p w14:paraId="01C6826E"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lastRenderedPageBreak/>
              <w:t>28</w:t>
            </w:r>
          </w:p>
        </w:tc>
        <w:tc>
          <w:tcPr>
            <w:tcW w:w="8050" w:type="dxa"/>
            <w:tcBorders>
              <w:top w:val="single" w:sz="4" w:space="0" w:color="auto"/>
              <w:left w:val="single" w:sz="4" w:space="0" w:color="auto"/>
              <w:bottom w:val="single" w:sz="4" w:space="0" w:color="auto"/>
              <w:right w:val="single" w:sz="4" w:space="0" w:color="auto"/>
            </w:tcBorders>
            <w:hideMark/>
          </w:tcPr>
          <w:p w14:paraId="378663BE"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Romani, L. A. S., Magalhães, G., Bambini, M. D., &amp; Evangelista, S. R. M. (2015). Improving digital ecosystems for agriculture: Users </w:t>
            </w:r>
            <w:proofErr w:type="gramStart"/>
            <w:r>
              <w:rPr>
                <w:rFonts w:asciiTheme="majorHAnsi" w:hAnsiTheme="majorHAnsi" w:cs="Times-Roman"/>
                <w:sz w:val="20"/>
                <w:szCs w:val="20"/>
                <w:lang w:val="en-US"/>
              </w:rPr>
              <w:t>participation</w:t>
            </w:r>
            <w:proofErr w:type="gramEnd"/>
            <w:r>
              <w:rPr>
                <w:rFonts w:asciiTheme="majorHAnsi" w:hAnsiTheme="majorHAnsi" w:cs="Times-Roman"/>
                <w:sz w:val="20"/>
                <w:szCs w:val="20"/>
                <w:lang w:val="en-US"/>
              </w:rPr>
              <w:t xml:space="preserve"> in the design of a mobile app for agrometeorological monitoring. </w:t>
            </w:r>
            <w:r>
              <w:rPr>
                <w:rFonts w:asciiTheme="majorHAnsi" w:hAnsiTheme="majorHAnsi" w:cs="Times-Italic"/>
                <w:i/>
                <w:iCs/>
                <w:sz w:val="20"/>
                <w:szCs w:val="20"/>
                <w:lang w:val="en-US"/>
              </w:rPr>
              <w:t xml:space="preserve">Proceedings of the 7th International Conference on Management of Computational and Collective Intelligence in Digital </w:t>
            </w:r>
            <w:proofErr w:type="spellStart"/>
            <w:r>
              <w:rPr>
                <w:rFonts w:asciiTheme="majorHAnsi" w:hAnsiTheme="majorHAnsi" w:cs="Times-Italic"/>
                <w:i/>
                <w:iCs/>
                <w:sz w:val="20"/>
                <w:szCs w:val="20"/>
                <w:lang w:val="en-US"/>
              </w:rPr>
              <w:t>EcoSystems</w:t>
            </w:r>
            <w:proofErr w:type="spellEnd"/>
            <w:r>
              <w:rPr>
                <w:rFonts w:asciiTheme="majorHAnsi" w:hAnsiTheme="majorHAnsi" w:cs="Times-Roman"/>
                <w:sz w:val="20"/>
                <w:szCs w:val="20"/>
                <w:lang w:val="en-US"/>
              </w:rPr>
              <w:t xml:space="preserve">, 234–241. </w:t>
            </w:r>
            <w:hyperlink r:id="rId74" w:history="1">
              <w:r>
                <w:rPr>
                  <w:rStyle w:val="Hyperlink"/>
                  <w:rFonts w:cs="Times-Roman"/>
                  <w:color w:val="0000E9"/>
                  <w:sz w:val="20"/>
                  <w:szCs w:val="20"/>
                  <w:lang w:val="en-US"/>
                </w:rPr>
                <w:t>https://doi.org/10.1145/2857218.2857270</w:t>
              </w:r>
            </w:hyperlink>
          </w:p>
        </w:tc>
      </w:tr>
      <w:tr w:rsidR="004A32A2" w14:paraId="362D7F87" w14:textId="77777777">
        <w:tc>
          <w:tcPr>
            <w:tcW w:w="966" w:type="dxa"/>
            <w:tcBorders>
              <w:top w:val="single" w:sz="4" w:space="0" w:color="auto"/>
              <w:left w:val="single" w:sz="4" w:space="0" w:color="auto"/>
              <w:bottom w:val="single" w:sz="4" w:space="0" w:color="auto"/>
              <w:right w:val="single" w:sz="4" w:space="0" w:color="auto"/>
            </w:tcBorders>
            <w:hideMark/>
          </w:tcPr>
          <w:p w14:paraId="47DDAD2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29</w:t>
            </w:r>
          </w:p>
        </w:tc>
        <w:tc>
          <w:tcPr>
            <w:tcW w:w="8050" w:type="dxa"/>
            <w:tcBorders>
              <w:top w:val="single" w:sz="4" w:space="0" w:color="auto"/>
              <w:left w:val="single" w:sz="4" w:space="0" w:color="auto"/>
              <w:bottom w:val="single" w:sz="4" w:space="0" w:color="auto"/>
              <w:right w:val="single" w:sz="4" w:space="0" w:color="auto"/>
            </w:tcBorders>
            <w:hideMark/>
          </w:tcPr>
          <w:p w14:paraId="1E4773AD"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Salinas, E., Cueva, R., &amp; Paz, F. (2020). A Systematic Review of User-Centered Design Techniques. In </w:t>
            </w:r>
            <w:r>
              <w:rPr>
                <w:rFonts w:asciiTheme="majorHAnsi" w:hAnsiTheme="majorHAnsi" w:cs="Times-Italic"/>
                <w:i/>
                <w:iCs/>
                <w:sz w:val="20"/>
                <w:szCs w:val="20"/>
                <w:lang w:val="en-US"/>
              </w:rPr>
              <w:t>Design, User Experience, and Usability. Interaction Design</w:t>
            </w:r>
            <w:r>
              <w:rPr>
                <w:rFonts w:asciiTheme="majorHAnsi" w:hAnsiTheme="majorHAnsi" w:cs="Times-Roman"/>
                <w:sz w:val="20"/>
                <w:szCs w:val="20"/>
                <w:lang w:val="en-US"/>
              </w:rPr>
              <w:t xml:space="preserve"> (pp. 253–267). Springer, Cham. </w:t>
            </w:r>
            <w:hyperlink r:id="rId75" w:history="1">
              <w:r>
                <w:rPr>
                  <w:rStyle w:val="Hyperlink"/>
                  <w:rFonts w:cs="Times-Roman"/>
                  <w:color w:val="0000E9"/>
                  <w:sz w:val="20"/>
                  <w:szCs w:val="20"/>
                  <w:lang w:val="en-US"/>
                </w:rPr>
                <w:t>https://doi.org/10.1007/978-3-030-49713-218</w:t>
              </w:r>
            </w:hyperlink>
          </w:p>
        </w:tc>
      </w:tr>
      <w:tr w:rsidR="004A32A2" w14:paraId="147B49B8" w14:textId="77777777">
        <w:tc>
          <w:tcPr>
            <w:tcW w:w="966" w:type="dxa"/>
            <w:tcBorders>
              <w:top w:val="single" w:sz="4" w:space="0" w:color="auto"/>
              <w:left w:val="single" w:sz="4" w:space="0" w:color="auto"/>
              <w:bottom w:val="single" w:sz="4" w:space="0" w:color="auto"/>
              <w:right w:val="single" w:sz="4" w:space="0" w:color="auto"/>
            </w:tcBorders>
            <w:hideMark/>
          </w:tcPr>
          <w:p w14:paraId="0A82230E"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30</w:t>
            </w:r>
          </w:p>
        </w:tc>
        <w:tc>
          <w:tcPr>
            <w:tcW w:w="8050" w:type="dxa"/>
            <w:tcBorders>
              <w:top w:val="single" w:sz="4" w:space="0" w:color="auto"/>
              <w:left w:val="single" w:sz="4" w:space="0" w:color="auto"/>
              <w:bottom w:val="single" w:sz="4" w:space="0" w:color="auto"/>
              <w:right w:val="single" w:sz="4" w:space="0" w:color="auto"/>
            </w:tcBorders>
            <w:hideMark/>
          </w:tcPr>
          <w:p w14:paraId="3D878EB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Salminen, J., </w:t>
            </w:r>
            <w:proofErr w:type="spellStart"/>
            <w:r>
              <w:rPr>
                <w:rFonts w:asciiTheme="majorHAnsi" w:hAnsiTheme="majorHAnsi" w:cs="Times-Roman"/>
                <w:sz w:val="20"/>
                <w:szCs w:val="20"/>
                <w:lang w:val="en-US"/>
              </w:rPr>
              <w:t>Wenyun</w:t>
            </w:r>
            <w:proofErr w:type="spellEnd"/>
            <w:r>
              <w:rPr>
                <w:rFonts w:asciiTheme="majorHAnsi" w:hAnsiTheme="majorHAnsi" w:cs="Times-Roman"/>
                <w:sz w:val="20"/>
                <w:szCs w:val="20"/>
                <w:lang w:val="en-US"/>
              </w:rPr>
              <w:t xml:space="preserve"> Guan, K., Jung, S. G., &amp; Jansen, B. (2022). Use Cases for Design Personas: A Systematic Review and New Frontiers. </w:t>
            </w:r>
            <w:r>
              <w:rPr>
                <w:rFonts w:asciiTheme="majorHAnsi" w:hAnsiTheme="majorHAnsi" w:cs="Times-Italic"/>
                <w:i/>
                <w:iCs/>
                <w:sz w:val="20"/>
                <w:szCs w:val="20"/>
                <w:lang w:val="en-US"/>
              </w:rPr>
              <w:t>Proceedings of the 2022 CHI Conference on Human Factors in Computing Systems</w:t>
            </w:r>
            <w:r>
              <w:rPr>
                <w:rFonts w:asciiTheme="majorHAnsi" w:hAnsiTheme="majorHAnsi" w:cs="Times-Roman"/>
                <w:sz w:val="20"/>
                <w:szCs w:val="20"/>
                <w:lang w:val="en-US"/>
              </w:rPr>
              <w:t xml:space="preserve">, 1–21. </w:t>
            </w:r>
            <w:hyperlink r:id="rId76" w:history="1">
              <w:r>
                <w:rPr>
                  <w:rStyle w:val="Hyperlink"/>
                  <w:rFonts w:cs="Times-Roman"/>
                  <w:color w:val="0000E9"/>
                  <w:sz w:val="20"/>
                  <w:szCs w:val="20"/>
                  <w:lang w:val="en-US"/>
                </w:rPr>
                <w:t>https://doi.org/10.1145/3491102.3517589</w:t>
              </w:r>
            </w:hyperlink>
          </w:p>
        </w:tc>
      </w:tr>
      <w:tr w:rsidR="004A32A2" w14:paraId="7783013D" w14:textId="77777777">
        <w:tc>
          <w:tcPr>
            <w:tcW w:w="966" w:type="dxa"/>
            <w:tcBorders>
              <w:top w:val="single" w:sz="4" w:space="0" w:color="auto"/>
              <w:left w:val="single" w:sz="4" w:space="0" w:color="auto"/>
              <w:bottom w:val="single" w:sz="4" w:space="0" w:color="auto"/>
              <w:right w:val="single" w:sz="4" w:space="0" w:color="auto"/>
            </w:tcBorders>
            <w:hideMark/>
          </w:tcPr>
          <w:p w14:paraId="58C7CAA5"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31</w:t>
            </w:r>
          </w:p>
        </w:tc>
        <w:tc>
          <w:tcPr>
            <w:tcW w:w="8050" w:type="dxa"/>
            <w:tcBorders>
              <w:top w:val="single" w:sz="4" w:space="0" w:color="auto"/>
              <w:left w:val="single" w:sz="4" w:space="0" w:color="auto"/>
              <w:bottom w:val="single" w:sz="4" w:space="0" w:color="auto"/>
              <w:right w:val="single" w:sz="4" w:space="0" w:color="auto"/>
            </w:tcBorders>
            <w:hideMark/>
          </w:tcPr>
          <w:p w14:paraId="03B5FBA1"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Shackel, B. (2009). Usability – Context, framework, definition, design and evaluation. </w:t>
            </w:r>
            <w:r>
              <w:rPr>
                <w:rFonts w:asciiTheme="majorHAnsi" w:hAnsiTheme="majorHAnsi" w:cs="Times-Italic"/>
                <w:i/>
                <w:iCs/>
                <w:sz w:val="20"/>
                <w:szCs w:val="20"/>
                <w:lang w:val="en-US"/>
              </w:rPr>
              <w:t>Interacting with Computers, 21</w:t>
            </w:r>
            <w:r>
              <w:rPr>
                <w:rFonts w:asciiTheme="majorHAnsi" w:hAnsiTheme="majorHAnsi" w:cs="Times-Roman"/>
                <w:sz w:val="20"/>
                <w:szCs w:val="20"/>
                <w:lang w:val="en-US"/>
              </w:rPr>
              <w:t xml:space="preserve">(5–6), 339–346. </w:t>
            </w:r>
            <w:hyperlink r:id="rId77" w:history="1">
              <w:r>
                <w:rPr>
                  <w:rStyle w:val="Hyperlink"/>
                  <w:rFonts w:cs="Times-Roman"/>
                  <w:color w:val="0000E9"/>
                  <w:sz w:val="20"/>
                  <w:szCs w:val="20"/>
                  <w:lang w:val="en-US"/>
                </w:rPr>
                <w:t>https://doi.org/10.1016/j.intcom.2009.04.007</w:t>
              </w:r>
            </w:hyperlink>
          </w:p>
        </w:tc>
      </w:tr>
      <w:tr w:rsidR="004A32A2" w14:paraId="3FC9EDB5" w14:textId="77777777">
        <w:tc>
          <w:tcPr>
            <w:tcW w:w="966" w:type="dxa"/>
            <w:tcBorders>
              <w:top w:val="single" w:sz="4" w:space="0" w:color="auto"/>
              <w:left w:val="single" w:sz="4" w:space="0" w:color="auto"/>
              <w:bottom w:val="single" w:sz="4" w:space="0" w:color="auto"/>
              <w:right w:val="single" w:sz="4" w:space="0" w:color="auto"/>
            </w:tcBorders>
            <w:hideMark/>
          </w:tcPr>
          <w:p w14:paraId="77D3726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32</w:t>
            </w:r>
          </w:p>
        </w:tc>
        <w:tc>
          <w:tcPr>
            <w:tcW w:w="8050" w:type="dxa"/>
            <w:tcBorders>
              <w:top w:val="single" w:sz="4" w:space="0" w:color="auto"/>
              <w:left w:val="single" w:sz="4" w:space="0" w:color="auto"/>
              <w:bottom w:val="single" w:sz="4" w:space="0" w:color="auto"/>
              <w:right w:val="single" w:sz="4" w:space="0" w:color="auto"/>
            </w:tcBorders>
            <w:hideMark/>
          </w:tcPr>
          <w:p w14:paraId="05D7B867"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Stephens, S. H., &amp; Altamirano, A. (2022). Supporting Community Resilience to Environmental Hazards through User-Centered Design. </w:t>
            </w:r>
            <w:r>
              <w:rPr>
                <w:rFonts w:asciiTheme="majorHAnsi" w:hAnsiTheme="majorHAnsi" w:cs="Times-Italic"/>
                <w:i/>
                <w:iCs/>
                <w:sz w:val="20"/>
                <w:szCs w:val="20"/>
                <w:lang w:val="en-US"/>
              </w:rPr>
              <w:t>Proceedings of the 40th ACM International Conference on Design of Communication</w:t>
            </w:r>
            <w:r>
              <w:rPr>
                <w:rFonts w:asciiTheme="majorHAnsi" w:hAnsiTheme="majorHAnsi" w:cs="Times-Roman"/>
                <w:sz w:val="20"/>
                <w:szCs w:val="20"/>
                <w:lang w:val="en-US"/>
              </w:rPr>
              <w:t xml:space="preserve">, 125–129. </w:t>
            </w:r>
            <w:hyperlink r:id="rId78" w:history="1">
              <w:r>
                <w:rPr>
                  <w:rStyle w:val="Hyperlink"/>
                  <w:rFonts w:cs="Times-Roman"/>
                  <w:color w:val="0000E9"/>
                  <w:sz w:val="20"/>
                  <w:szCs w:val="20"/>
                  <w:lang w:val="en-US"/>
                </w:rPr>
                <w:t>https://doi.org/10.1145/3513130.3558989</w:t>
              </w:r>
            </w:hyperlink>
          </w:p>
        </w:tc>
      </w:tr>
      <w:tr w:rsidR="004A32A2" w14:paraId="2369E663" w14:textId="77777777">
        <w:tc>
          <w:tcPr>
            <w:tcW w:w="966" w:type="dxa"/>
            <w:tcBorders>
              <w:top w:val="single" w:sz="4" w:space="0" w:color="auto"/>
              <w:left w:val="single" w:sz="4" w:space="0" w:color="auto"/>
              <w:bottom w:val="single" w:sz="4" w:space="0" w:color="auto"/>
              <w:right w:val="single" w:sz="4" w:space="0" w:color="auto"/>
            </w:tcBorders>
            <w:hideMark/>
          </w:tcPr>
          <w:p w14:paraId="40B10BA0"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33</w:t>
            </w:r>
          </w:p>
        </w:tc>
        <w:tc>
          <w:tcPr>
            <w:tcW w:w="8050" w:type="dxa"/>
            <w:tcBorders>
              <w:top w:val="single" w:sz="4" w:space="0" w:color="auto"/>
              <w:left w:val="single" w:sz="4" w:space="0" w:color="auto"/>
              <w:bottom w:val="single" w:sz="4" w:space="0" w:color="auto"/>
              <w:right w:val="single" w:sz="4" w:space="0" w:color="auto"/>
            </w:tcBorders>
            <w:hideMark/>
          </w:tcPr>
          <w:p w14:paraId="6317CEEB"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Vilarinho, T., </w:t>
            </w:r>
            <w:proofErr w:type="spellStart"/>
            <w:r>
              <w:rPr>
                <w:rFonts w:asciiTheme="majorHAnsi" w:hAnsiTheme="majorHAnsi" w:cs="Times-Roman"/>
                <w:sz w:val="20"/>
                <w:szCs w:val="20"/>
                <w:lang w:val="en-US"/>
              </w:rPr>
              <w:t>Farshchian</w:t>
            </w:r>
            <w:proofErr w:type="spellEnd"/>
            <w:r>
              <w:rPr>
                <w:rFonts w:asciiTheme="majorHAnsi" w:hAnsiTheme="majorHAnsi" w:cs="Times-Roman"/>
                <w:sz w:val="20"/>
                <w:szCs w:val="20"/>
                <w:lang w:val="en-US"/>
              </w:rPr>
              <w:t xml:space="preserve">, B., </w:t>
            </w:r>
            <w:proofErr w:type="spellStart"/>
            <w:r>
              <w:rPr>
                <w:rFonts w:asciiTheme="majorHAnsi" w:hAnsiTheme="majorHAnsi" w:cs="Times-Roman"/>
                <w:sz w:val="20"/>
                <w:szCs w:val="20"/>
                <w:lang w:val="en-US"/>
              </w:rPr>
              <w:t>Wienhofen</w:t>
            </w:r>
            <w:proofErr w:type="spellEnd"/>
            <w:r>
              <w:rPr>
                <w:rFonts w:asciiTheme="majorHAnsi" w:hAnsiTheme="majorHAnsi" w:cs="Times-Roman"/>
                <w:sz w:val="20"/>
                <w:szCs w:val="20"/>
                <w:lang w:val="en-US"/>
              </w:rPr>
              <w:t xml:space="preserve">, L. W. M., </w:t>
            </w:r>
            <w:proofErr w:type="spellStart"/>
            <w:r>
              <w:rPr>
                <w:rFonts w:asciiTheme="majorHAnsi" w:hAnsiTheme="majorHAnsi" w:cs="Times-Roman"/>
                <w:sz w:val="20"/>
                <w:szCs w:val="20"/>
                <w:lang w:val="en-US"/>
              </w:rPr>
              <w:t>Franang</w:t>
            </w:r>
            <w:proofErr w:type="spellEnd"/>
            <w:r>
              <w:rPr>
                <w:rFonts w:asciiTheme="majorHAnsi" w:hAnsiTheme="majorHAnsi" w:cs="Times-Roman"/>
                <w:sz w:val="20"/>
                <w:szCs w:val="20"/>
                <w:lang w:val="en-US"/>
              </w:rPr>
              <w:t xml:space="preserve">, T., &amp; Gulbrandsen, H. (2016). Combining persuasive computing and user centered design into an energy awareness system for smart houses. </w:t>
            </w:r>
            <w:r>
              <w:rPr>
                <w:rFonts w:asciiTheme="majorHAnsi" w:hAnsiTheme="majorHAnsi" w:cs="Times-Italic"/>
                <w:i/>
                <w:iCs/>
                <w:sz w:val="20"/>
                <w:szCs w:val="20"/>
                <w:lang w:val="en-US"/>
              </w:rPr>
              <w:t>2016 12th International Conference on Intelligent Environments (IE)</w:t>
            </w:r>
            <w:r>
              <w:rPr>
                <w:rFonts w:asciiTheme="majorHAnsi" w:hAnsiTheme="majorHAnsi" w:cs="Times-Roman"/>
                <w:sz w:val="20"/>
                <w:szCs w:val="20"/>
                <w:lang w:val="en-US"/>
              </w:rPr>
              <w:t xml:space="preserve">, 32–39. </w:t>
            </w:r>
            <w:hyperlink r:id="rId79" w:history="1">
              <w:r>
                <w:rPr>
                  <w:rStyle w:val="Hyperlink"/>
                  <w:rFonts w:cs="Times-Roman"/>
                  <w:color w:val="0000E9"/>
                  <w:sz w:val="20"/>
                  <w:szCs w:val="20"/>
                  <w:lang w:val="en-US"/>
                </w:rPr>
                <w:t>https://doi.org/10.1109/IE.2016.14</w:t>
              </w:r>
            </w:hyperlink>
          </w:p>
        </w:tc>
      </w:tr>
      <w:tr w:rsidR="004A32A2" w14:paraId="391B7D6D" w14:textId="77777777">
        <w:tc>
          <w:tcPr>
            <w:tcW w:w="966" w:type="dxa"/>
            <w:tcBorders>
              <w:top w:val="single" w:sz="4" w:space="0" w:color="auto"/>
              <w:left w:val="single" w:sz="4" w:space="0" w:color="auto"/>
              <w:bottom w:val="single" w:sz="4" w:space="0" w:color="auto"/>
              <w:right w:val="single" w:sz="4" w:space="0" w:color="auto"/>
            </w:tcBorders>
            <w:hideMark/>
          </w:tcPr>
          <w:p w14:paraId="30B835B6"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34</w:t>
            </w:r>
          </w:p>
        </w:tc>
        <w:tc>
          <w:tcPr>
            <w:tcW w:w="8050" w:type="dxa"/>
            <w:tcBorders>
              <w:top w:val="single" w:sz="4" w:space="0" w:color="auto"/>
              <w:left w:val="single" w:sz="4" w:space="0" w:color="auto"/>
              <w:bottom w:val="single" w:sz="4" w:space="0" w:color="auto"/>
              <w:right w:val="single" w:sz="4" w:space="0" w:color="auto"/>
            </w:tcBorders>
            <w:hideMark/>
          </w:tcPr>
          <w:p w14:paraId="25F1677A"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 xml:space="preserve">Williams, A. (2009). User-Centered Design, Activity-Centered Design, and Goal-Directed Design: A Review of Three Methods for Designing Web Applications. </w:t>
            </w:r>
            <w:r>
              <w:rPr>
                <w:rFonts w:asciiTheme="majorHAnsi" w:hAnsiTheme="majorHAnsi" w:cs="Times-Italic"/>
                <w:i/>
                <w:iCs/>
                <w:sz w:val="20"/>
                <w:szCs w:val="20"/>
                <w:lang w:val="en-US"/>
              </w:rPr>
              <w:t>Proceedings of the 27th ACM International Conference on Design of Communication</w:t>
            </w:r>
            <w:r>
              <w:rPr>
                <w:rFonts w:asciiTheme="majorHAnsi" w:hAnsiTheme="majorHAnsi" w:cs="Times-Roman"/>
                <w:sz w:val="20"/>
                <w:szCs w:val="20"/>
                <w:lang w:val="en-US"/>
              </w:rPr>
              <w:t xml:space="preserve">, 1–8. </w:t>
            </w:r>
            <w:hyperlink r:id="rId80" w:history="1">
              <w:r>
                <w:rPr>
                  <w:rStyle w:val="Hyperlink"/>
                  <w:rFonts w:cs="Times-Roman"/>
                  <w:color w:val="0000E9"/>
                  <w:sz w:val="20"/>
                  <w:szCs w:val="20"/>
                  <w:lang w:val="en-US"/>
                </w:rPr>
                <w:t>https://doi.org/10.1145/1621995.1621997</w:t>
              </w:r>
            </w:hyperlink>
          </w:p>
        </w:tc>
      </w:tr>
      <w:tr w:rsidR="004A32A2" w14:paraId="0A303AE6" w14:textId="77777777">
        <w:tc>
          <w:tcPr>
            <w:tcW w:w="966" w:type="dxa"/>
            <w:tcBorders>
              <w:top w:val="single" w:sz="4" w:space="0" w:color="auto"/>
              <w:left w:val="single" w:sz="4" w:space="0" w:color="auto"/>
              <w:bottom w:val="single" w:sz="4" w:space="0" w:color="auto"/>
              <w:right w:val="single" w:sz="4" w:space="0" w:color="auto"/>
            </w:tcBorders>
            <w:hideMark/>
          </w:tcPr>
          <w:p w14:paraId="6EA78AB9" w14:textId="77777777" w:rsidR="004A32A2" w:rsidRDefault="004A32A2">
            <w:pPr>
              <w:spacing w:after="0" w:line="276" w:lineRule="auto"/>
              <w:ind w:firstLine="0"/>
              <w:rPr>
                <w:rFonts w:asciiTheme="majorHAnsi" w:hAnsiTheme="majorHAnsi"/>
                <w:sz w:val="20"/>
                <w:szCs w:val="20"/>
              </w:rPr>
            </w:pPr>
            <w:r>
              <w:rPr>
                <w:rFonts w:asciiTheme="majorHAnsi" w:hAnsiTheme="majorHAnsi" w:cs="Times-Roman"/>
                <w:sz w:val="20"/>
                <w:szCs w:val="20"/>
                <w:lang w:val="en-US"/>
              </w:rPr>
              <w:t>35</w:t>
            </w:r>
          </w:p>
        </w:tc>
        <w:tc>
          <w:tcPr>
            <w:tcW w:w="8050" w:type="dxa"/>
            <w:tcBorders>
              <w:top w:val="single" w:sz="4" w:space="0" w:color="auto"/>
              <w:left w:val="single" w:sz="4" w:space="0" w:color="auto"/>
              <w:bottom w:val="single" w:sz="4" w:space="0" w:color="auto"/>
              <w:right w:val="single" w:sz="4" w:space="0" w:color="auto"/>
            </w:tcBorders>
            <w:hideMark/>
          </w:tcPr>
          <w:p w14:paraId="2C81CA07" w14:textId="77777777" w:rsidR="004A32A2" w:rsidRDefault="004A32A2">
            <w:pPr>
              <w:spacing w:after="0" w:line="276" w:lineRule="auto"/>
              <w:ind w:firstLine="0"/>
              <w:rPr>
                <w:rFonts w:asciiTheme="majorHAnsi" w:hAnsiTheme="majorHAnsi"/>
                <w:sz w:val="20"/>
                <w:szCs w:val="20"/>
              </w:rPr>
            </w:pPr>
            <w:proofErr w:type="spellStart"/>
            <w:r>
              <w:rPr>
                <w:rFonts w:asciiTheme="majorHAnsi" w:hAnsiTheme="majorHAnsi" w:cs="Times-Roman"/>
                <w:sz w:val="20"/>
                <w:szCs w:val="20"/>
                <w:lang w:val="en-US"/>
              </w:rPr>
              <w:t>Zulkafli</w:t>
            </w:r>
            <w:proofErr w:type="spellEnd"/>
            <w:r>
              <w:rPr>
                <w:rFonts w:asciiTheme="majorHAnsi" w:hAnsiTheme="majorHAnsi" w:cs="Times-Roman"/>
                <w:sz w:val="20"/>
                <w:szCs w:val="20"/>
                <w:lang w:val="en-US"/>
              </w:rPr>
              <w:t xml:space="preserve">, Z., Perez, K., Vitolo, C., </w:t>
            </w:r>
            <w:proofErr w:type="spellStart"/>
            <w:r>
              <w:rPr>
                <w:rFonts w:asciiTheme="majorHAnsi" w:hAnsiTheme="majorHAnsi" w:cs="Times-Roman"/>
                <w:sz w:val="20"/>
                <w:szCs w:val="20"/>
                <w:lang w:val="en-US"/>
              </w:rPr>
              <w:t>Buytaert</w:t>
            </w:r>
            <w:proofErr w:type="spellEnd"/>
            <w:r>
              <w:rPr>
                <w:rFonts w:asciiTheme="majorHAnsi" w:hAnsiTheme="majorHAnsi" w:cs="Times-Roman"/>
                <w:sz w:val="20"/>
                <w:szCs w:val="20"/>
                <w:lang w:val="en-US"/>
              </w:rPr>
              <w:t xml:space="preserve">, W., Karpouzoglou, T., Dewulf, A., de </w:t>
            </w:r>
            <w:proofErr w:type="spellStart"/>
            <w:r>
              <w:rPr>
                <w:rFonts w:asciiTheme="majorHAnsi" w:hAnsiTheme="majorHAnsi" w:cs="Times-Roman"/>
                <w:sz w:val="20"/>
                <w:szCs w:val="20"/>
                <w:lang w:val="en-US"/>
              </w:rPr>
              <w:t>Bièvre</w:t>
            </w:r>
            <w:proofErr w:type="spellEnd"/>
            <w:r>
              <w:rPr>
                <w:rFonts w:asciiTheme="majorHAnsi" w:hAnsiTheme="majorHAnsi" w:cs="Times-Roman"/>
                <w:sz w:val="20"/>
                <w:szCs w:val="20"/>
                <w:lang w:val="en-US"/>
              </w:rPr>
              <w:t xml:space="preserve">, B., Clark, J., Hannah, D. M., &amp; Shaheed, S. (2017). User-driven design of decision support systems for polycentric environmental resources management. </w:t>
            </w:r>
            <w:r>
              <w:rPr>
                <w:rFonts w:asciiTheme="majorHAnsi" w:hAnsiTheme="majorHAnsi" w:cs="Times-Italic"/>
                <w:i/>
                <w:iCs/>
                <w:sz w:val="20"/>
                <w:szCs w:val="20"/>
                <w:lang w:val="en-US"/>
              </w:rPr>
              <w:t>Environmental Modelling and Software, 88</w:t>
            </w:r>
            <w:r>
              <w:rPr>
                <w:rFonts w:asciiTheme="majorHAnsi" w:hAnsiTheme="majorHAnsi" w:cs="Times-Roman"/>
                <w:sz w:val="20"/>
                <w:szCs w:val="20"/>
                <w:lang w:val="en-US"/>
              </w:rPr>
              <w:t xml:space="preserve">, 58–73. </w:t>
            </w:r>
            <w:hyperlink r:id="rId81" w:history="1">
              <w:r>
                <w:rPr>
                  <w:rStyle w:val="Hyperlink"/>
                  <w:rFonts w:cs="Times-Roman"/>
                  <w:color w:val="0000E9"/>
                  <w:sz w:val="20"/>
                  <w:szCs w:val="20"/>
                  <w:lang w:val="en-US"/>
                </w:rPr>
                <w:t>https://doi.org/10.1016/j.envsoft.2016.10.012</w:t>
              </w:r>
            </w:hyperlink>
          </w:p>
        </w:tc>
      </w:tr>
    </w:tbl>
    <w:p w14:paraId="7750408D" w14:textId="77777777" w:rsidR="004A32A2" w:rsidRDefault="004A32A2" w:rsidP="004A32A2">
      <w:pPr>
        <w:spacing w:after="0" w:line="276" w:lineRule="auto"/>
        <w:ind w:firstLine="0"/>
        <w:rPr>
          <w:rFonts w:asciiTheme="majorHAnsi" w:hAnsiTheme="majorHAnsi"/>
        </w:rPr>
      </w:pPr>
      <w:r>
        <w:rPr>
          <w:rFonts w:asciiTheme="majorHAnsi" w:hAnsiTheme="majorHAnsi"/>
          <w:i/>
          <w:iCs/>
        </w:rPr>
        <w:t>Notes:</w:t>
      </w:r>
      <w:r>
        <w:rPr>
          <w:rFonts w:asciiTheme="majorHAnsi" w:hAnsiTheme="majorHAnsi"/>
        </w:rPr>
        <w:t xml:space="preserve"> References listed are the final set of user-</w:t>
      </w:r>
      <w:proofErr w:type="spellStart"/>
      <w:r>
        <w:rPr>
          <w:rFonts w:asciiTheme="majorHAnsi" w:hAnsiTheme="majorHAnsi"/>
        </w:rPr>
        <w:t>centered</w:t>
      </w:r>
      <w:proofErr w:type="spellEnd"/>
      <w:r>
        <w:rPr>
          <w:rFonts w:asciiTheme="majorHAnsi" w:hAnsiTheme="majorHAnsi"/>
        </w:rPr>
        <w:t xml:space="preserve"> design literature included in the review after screening and eligibility assessment (for further details, see Methods and Methods Fig. 1).</w:t>
      </w:r>
    </w:p>
    <w:p w14:paraId="5CC94780" w14:textId="77777777" w:rsidR="004A32A2" w:rsidRDefault="004A32A2" w:rsidP="004A32A2">
      <w:pPr>
        <w:spacing w:after="0" w:line="276" w:lineRule="auto"/>
        <w:ind w:firstLine="0"/>
        <w:rPr>
          <w:rFonts w:asciiTheme="majorHAnsi" w:hAnsiTheme="majorHAnsi"/>
        </w:rPr>
      </w:pPr>
    </w:p>
    <w:p w14:paraId="30C8D118" w14:textId="77777777" w:rsidR="004A32A2" w:rsidRDefault="004A32A2" w:rsidP="004A32A2">
      <w:pPr>
        <w:spacing w:after="0" w:line="276" w:lineRule="auto"/>
        <w:ind w:firstLine="0"/>
        <w:rPr>
          <w:rFonts w:asciiTheme="majorHAnsi" w:hAnsiTheme="majorHAnsi"/>
        </w:rPr>
      </w:pPr>
    </w:p>
    <w:p w14:paraId="230A4629" w14:textId="77777777" w:rsidR="004A32A2" w:rsidRDefault="004A32A2" w:rsidP="004A32A2">
      <w:pPr>
        <w:ind w:firstLine="0"/>
        <w:rPr>
          <w:rFonts w:asciiTheme="majorHAnsi" w:hAnsiTheme="majorHAnsi"/>
        </w:rPr>
      </w:pPr>
    </w:p>
    <w:p w14:paraId="5C324E76" w14:textId="77777777" w:rsidR="004A32A2" w:rsidRDefault="004A32A2" w:rsidP="004A32A2">
      <w:pPr>
        <w:spacing w:after="0" w:line="276" w:lineRule="auto"/>
        <w:ind w:firstLine="0"/>
        <w:rPr>
          <w:rFonts w:asciiTheme="majorHAnsi" w:hAnsiTheme="majorHAnsi"/>
        </w:rPr>
      </w:pPr>
    </w:p>
    <w:p w14:paraId="10F8EE38" w14:textId="77777777" w:rsidR="004A32A2" w:rsidRDefault="004A32A2" w:rsidP="004A32A2">
      <w:pPr>
        <w:spacing w:after="0" w:line="276" w:lineRule="auto"/>
        <w:ind w:firstLine="0"/>
        <w:rPr>
          <w:rFonts w:asciiTheme="majorHAnsi" w:hAnsiTheme="majorHAnsi"/>
        </w:rPr>
      </w:pPr>
    </w:p>
    <w:p w14:paraId="38D79CA8" w14:textId="77777777" w:rsidR="004A32A2" w:rsidRDefault="004A32A2" w:rsidP="004A32A2">
      <w:pPr>
        <w:spacing w:after="0" w:line="276" w:lineRule="auto"/>
        <w:ind w:firstLine="0"/>
        <w:rPr>
          <w:rFonts w:asciiTheme="majorHAnsi" w:hAnsiTheme="majorHAnsi"/>
        </w:rPr>
      </w:pPr>
    </w:p>
    <w:p w14:paraId="42A1A95B" w14:textId="77777777" w:rsidR="004A32A2" w:rsidRDefault="004A32A2" w:rsidP="004A32A2">
      <w:pPr>
        <w:spacing w:after="0" w:line="276" w:lineRule="auto"/>
        <w:ind w:firstLine="0"/>
        <w:rPr>
          <w:rFonts w:asciiTheme="majorHAnsi" w:hAnsiTheme="majorHAnsi"/>
        </w:rPr>
      </w:pPr>
    </w:p>
    <w:p w14:paraId="5D9A038D"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Times-Roman">
    <w:altName w:val="Times New Roman"/>
    <w:charset w:val="00"/>
    <w:family w:val="roman"/>
    <w:pitch w:val="default"/>
    <w:sig w:usb0="00000003" w:usb1="00000000" w:usb2="00000000" w:usb3="00000000" w:csb0="00000001" w:csb1="00000000"/>
  </w:font>
  <w:font w:name="Times-Bold">
    <w:altName w:val="Times New Roman"/>
    <w:charset w:val="00"/>
    <w:family w:val="roman"/>
    <w:pitch w:val="default"/>
    <w:sig w:usb0="00000003" w:usb1="00000000" w:usb2="00000000" w:usb3="00000000" w:csb0="00000001" w:csb1="00000000"/>
  </w:font>
  <w:font w:name="Times-Italic">
    <w:altName w:val="Times New Roman"/>
    <w:charset w:val="00"/>
    <w:family w:val="roman"/>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2A2"/>
    <w:rsid w:val="00224D5F"/>
    <w:rsid w:val="004A32A2"/>
    <w:rsid w:val="00767E38"/>
    <w:rsid w:val="00866F7D"/>
    <w:rsid w:val="00E0490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69717"/>
  <w15:chartTrackingRefBased/>
  <w15:docId w15:val="{69483B15-907F-4244-B00A-5AF260837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2A2"/>
    <w:pPr>
      <w:spacing w:after="240" w:line="480" w:lineRule="auto"/>
      <w:ind w:firstLine="360"/>
    </w:pPr>
    <w:rPr>
      <w:rFonts w:eastAsiaTheme="minorEastAsia"/>
      <w:kern w:val="0"/>
      <w:sz w:val="22"/>
      <w:szCs w:val="22"/>
      <w:lang w:val="en-GB"/>
      <w14:ligatures w14:val="none"/>
    </w:rPr>
  </w:style>
  <w:style w:type="paragraph" w:styleId="Heading1">
    <w:name w:val="heading 1"/>
    <w:basedOn w:val="Normal"/>
    <w:next w:val="Normal"/>
    <w:link w:val="Heading1Char"/>
    <w:uiPriority w:val="9"/>
    <w:qFormat/>
    <w:rsid w:val="004A32A2"/>
    <w:pPr>
      <w:keepNext/>
      <w:keepLines/>
      <w:spacing w:before="360" w:after="80" w:line="278" w:lineRule="auto"/>
      <w:ind w:firstLine="0"/>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4A32A2"/>
    <w:pPr>
      <w:keepNext/>
      <w:keepLines/>
      <w:spacing w:before="160" w:after="80" w:line="278" w:lineRule="auto"/>
      <w:ind w:firstLine="0"/>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4A32A2"/>
    <w:pPr>
      <w:keepNext/>
      <w:keepLines/>
      <w:spacing w:before="160" w:after="80" w:line="278" w:lineRule="auto"/>
      <w:ind w:firstLine="0"/>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4A32A2"/>
    <w:pPr>
      <w:keepNext/>
      <w:keepLines/>
      <w:spacing w:before="80" w:after="40" w:line="278" w:lineRule="auto"/>
      <w:ind w:firstLine="0"/>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4A32A2"/>
    <w:pPr>
      <w:keepNext/>
      <w:keepLines/>
      <w:spacing w:before="80" w:after="40" w:line="278" w:lineRule="auto"/>
      <w:ind w:firstLine="0"/>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4A32A2"/>
    <w:pPr>
      <w:keepNext/>
      <w:keepLines/>
      <w:spacing w:before="40" w:after="0" w:line="278" w:lineRule="auto"/>
      <w:ind w:firstLine="0"/>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4A32A2"/>
    <w:pPr>
      <w:keepNext/>
      <w:keepLines/>
      <w:spacing w:before="40" w:after="0" w:line="278" w:lineRule="auto"/>
      <w:ind w:firstLine="0"/>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4A32A2"/>
    <w:pPr>
      <w:keepNext/>
      <w:keepLines/>
      <w:spacing w:after="0" w:line="278" w:lineRule="auto"/>
      <w:ind w:firstLine="0"/>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4A32A2"/>
    <w:pPr>
      <w:keepNext/>
      <w:keepLines/>
      <w:spacing w:after="0" w:line="278" w:lineRule="auto"/>
      <w:ind w:firstLine="0"/>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32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32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32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32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32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32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32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32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32A2"/>
    <w:rPr>
      <w:rFonts w:eastAsiaTheme="majorEastAsia" w:cstheme="majorBidi"/>
      <w:color w:val="272727" w:themeColor="text1" w:themeTint="D8"/>
    </w:rPr>
  </w:style>
  <w:style w:type="paragraph" w:styleId="Title">
    <w:name w:val="Title"/>
    <w:basedOn w:val="Normal"/>
    <w:next w:val="Normal"/>
    <w:link w:val="TitleChar"/>
    <w:uiPriority w:val="10"/>
    <w:qFormat/>
    <w:rsid w:val="004A32A2"/>
    <w:pPr>
      <w:spacing w:after="80" w:line="240" w:lineRule="auto"/>
      <w:ind w:firstLine="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4A32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32A2"/>
    <w:pPr>
      <w:numPr>
        <w:ilvl w:val="1"/>
      </w:numPr>
      <w:spacing w:after="160"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4A32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32A2"/>
    <w:pPr>
      <w:spacing w:before="160" w:after="160" w:line="278" w:lineRule="auto"/>
      <w:ind w:firstLine="0"/>
      <w:jc w:val="center"/>
    </w:pPr>
    <w:rPr>
      <w:rFonts w:eastAsiaTheme="minorHAns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4A32A2"/>
    <w:rPr>
      <w:i/>
      <w:iCs/>
      <w:color w:val="404040" w:themeColor="text1" w:themeTint="BF"/>
    </w:rPr>
  </w:style>
  <w:style w:type="paragraph" w:styleId="ListParagraph">
    <w:name w:val="List Paragraph"/>
    <w:basedOn w:val="Normal"/>
    <w:uiPriority w:val="34"/>
    <w:qFormat/>
    <w:rsid w:val="004A32A2"/>
    <w:pPr>
      <w:spacing w:after="160" w:line="278" w:lineRule="auto"/>
      <w:ind w:left="720" w:firstLine="0"/>
      <w:contextualSpacing/>
    </w:pPr>
    <w:rPr>
      <w:rFonts w:eastAsiaTheme="minorHAnsi"/>
      <w:kern w:val="2"/>
      <w:sz w:val="24"/>
      <w:szCs w:val="24"/>
      <w:lang w:val="en-IN"/>
      <w14:ligatures w14:val="standardContextual"/>
    </w:rPr>
  </w:style>
  <w:style w:type="character" w:styleId="IntenseEmphasis">
    <w:name w:val="Intense Emphasis"/>
    <w:basedOn w:val="DefaultParagraphFont"/>
    <w:uiPriority w:val="21"/>
    <w:qFormat/>
    <w:rsid w:val="004A32A2"/>
    <w:rPr>
      <w:i/>
      <w:iCs/>
      <w:color w:val="0F4761" w:themeColor="accent1" w:themeShade="BF"/>
    </w:rPr>
  </w:style>
  <w:style w:type="paragraph" w:styleId="IntenseQuote">
    <w:name w:val="Intense Quote"/>
    <w:basedOn w:val="Normal"/>
    <w:next w:val="Normal"/>
    <w:link w:val="IntenseQuoteChar"/>
    <w:uiPriority w:val="30"/>
    <w:qFormat/>
    <w:rsid w:val="004A32A2"/>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eastAsiaTheme="minorHAns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4A32A2"/>
    <w:rPr>
      <w:i/>
      <w:iCs/>
      <w:color w:val="0F4761" w:themeColor="accent1" w:themeShade="BF"/>
    </w:rPr>
  </w:style>
  <w:style w:type="character" w:styleId="IntenseReference">
    <w:name w:val="Intense Reference"/>
    <w:basedOn w:val="DefaultParagraphFont"/>
    <w:uiPriority w:val="32"/>
    <w:qFormat/>
    <w:rsid w:val="004A32A2"/>
    <w:rPr>
      <w:b/>
      <w:bCs/>
      <w:smallCaps/>
      <w:color w:val="0F4761" w:themeColor="accent1" w:themeShade="BF"/>
      <w:spacing w:val="5"/>
    </w:rPr>
  </w:style>
  <w:style w:type="character" w:styleId="Hyperlink">
    <w:name w:val="Hyperlink"/>
    <w:basedOn w:val="DefaultParagraphFont"/>
    <w:uiPriority w:val="99"/>
    <w:semiHidden/>
    <w:unhideWhenUsed/>
    <w:rsid w:val="004A32A2"/>
    <w:rPr>
      <w:color w:val="467886" w:themeColor="hyperlink"/>
      <w:u w:val="single"/>
    </w:rPr>
  </w:style>
  <w:style w:type="character" w:styleId="FollowedHyperlink">
    <w:name w:val="FollowedHyperlink"/>
    <w:basedOn w:val="DefaultParagraphFont"/>
    <w:uiPriority w:val="99"/>
    <w:semiHidden/>
    <w:unhideWhenUsed/>
    <w:rsid w:val="004A32A2"/>
    <w:rPr>
      <w:color w:val="96607D" w:themeColor="followedHyperlink"/>
      <w:u w:val="single"/>
    </w:rPr>
  </w:style>
  <w:style w:type="character" w:styleId="Emphasis">
    <w:name w:val="Emphasis"/>
    <w:uiPriority w:val="20"/>
    <w:qFormat/>
    <w:rsid w:val="004A32A2"/>
    <w:rPr>
      <w:b/>
      <w:bCs/>
      <w:i/>
      <w:iCs/>
      <w:color w:val="auto"/>
    </w:rPr>
  </w:style>
  <w:style w:type="character" w:styleId="Strong">
    <w:name w:val="Strong"/>
    <w:basedOn w:val="DefaultParagraphFont"/>
    <w:uiPriority w:val="22"/>
    <w:qFormat/>
    <w:rsid w:val="004A32A2"/>
    <w:rPr>
      <w:b/>
      <w:bCs/>
      <w:spacing w:val="0"/>
    </w:rPr>
  </w:style>
  <w:style w:type="paragraph" w:customStyle="1" w:styleId="msonormal0">
    <w:name w:val="msonormal"/>
    <w:basedOn w:val="Normal"/>
    <w:rsid w:val="004A32A2"/>
    <w:pPr>
      <w:spacing w:before="100" w:beforeAutospacing="1" w:after="100" w:afterAutospacing="1" w:line="240" w:lineRule="auto"/>
      <w:ind w:firstLine="0"/>
    </w:pPr>
    <w:rPr>
      <w:rFonts w:ascii="Times New Roman" w:eastAsia="Times New Roman" w:hAnsi="Times New Roman" w:cs="Times New Roman"/>
      <w:sz w:val="24"/>
      <w:szCs w:val="24"/>
      <w:lang w:val="en-IN" w:eastAsia="en-IN"/>
    </w:rPr>
  </w:style>
  <w:style w:type="paragraph" w:styleId="CommentText">
    <w:name w:val="annotation text"/>
    <w:basedOn w:val="Normal"/>
    <w:link w:val="CommentTextChar"/>
    <w:uiPriority w:val="99"/>
    <w:semiHidden/>
    <w:unhideWhenUsed/>
    <w:rsid w:val="004A32A2"/>
    <w:pPr>
      <w:spacing w:line="240" w:lineRule="auto"/>
    </w:pPr>
    <w:rPr>
      <w:sz w:val="20"/>
      <w:szCs w:val="20"/>
    </w:rPr>
  </w:style>
  <w:style w:type="character" w:customStyle="1" w:styleId="CommentTextChar">
    <w:name w:val="Comment Text Char"/>
    <w:basedOn w:val="DefaultParagraphFont"/>
    <w:link w:val="CommentText"/>
    <w:uiPriority w:val="99"/>
    <w:semiHidden/>
    <w:rsid w:val="004A32A2"/>
    <w:rPr>
      <w:rFonts w:eastAsiaTheme="minorEastAsia"/>
      <w:kern w:val="0"/>
      <w:sz w:val="20"/>
      <w:szCs w:val="20"/>
      <w:lang w:val="en-GB"/>
      <w14:ligatures w14:val="none"/>
    </w:rPr>
  </w:style>
  <w:style w:type="paragraph" w:styleId="Header">
    <w:name w:val="header"/>
    <w:basedOn w:val="Normal"/>
    <w:link w:val="HeaderChar"/>
    <w:uiPriority w:val="99"/>
    <w:semiHidden/>
    <w:unhideWhenUsed/>
    <w:rsid w:val="004A32A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A32A2"/>
    <w:rPr>
      <w:rFonts w:eastAsiaTheme="minorEastAsia"/>
      <w:kern w:val="0"/>
      <w:sz w:val="22"/>
      <w:szCs w:val="22"/>
      <w:lang w:val="en-GB"/>
      <w14:ligatures w14:val="none"/>
    </w:rPr>
  </w:style>
  <w:style w:type="paragraph" w:styleId="Footer">
    <w:name w:val="footer"/>
    <w:basedOn w:val="Normal"/>
    <w:link w:val="FooterChar"/>
    <w:uiPriority w:val="99"/>
    <w:semiHidden/>
    <w:unhideWhenUsed/>
    <w:rsid w:val="004A32A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A32A2"/>
    <w:rPr>
      <w:rFonts w:eastAsiaTheme="minorEastAsia"/>
      <w:kern w:val="0"/>
      <w:sz w:val="22"/>
      <w:szCs w:val="22"/>
      <w:lang w:val="en-GB"/>
      <w14:ligatures w14:val="none"/>
    </w:rPr>
  </w:style>
  <w:style w:type="paragraph" w:styleId="Caption">
    <w:name w:val="caption"/>
    <w:basedOn w:val="Normal"/>
    <w:next w:val="Normal"/>
    <w:uiPriority w:val="35"/>
    <w:semiHidden/>
    <w:unhideWhenUsed/>
    <w:qFormat/>
    <w:rsid w:val="004A32A2"/>
    <w:rPr>
      <w:b/>
      <w:bCs/>
      <w:sz w:val="18"/>
      <w:szCs w:val="18"/>
    </w:rPr>
  </w:style>
  <w:style w:type="paragraph" w:styleId="CommentSubject">
    <w:name w:val="annotation subject"/>
    <w:basedOn w:val="CommentText"/>
    <w:next w:val="CommentText"/>
    <w:link w:val="CommentSubjectChar"/>
    <w:uiPriority w:val="99"/>
    <w:semiHidden/>
    <w:unhideWhenUsed/>
    <w:rsid w:val="004A32A2"/>
    <w:rPr>
      <w:b/>
      <w:bCs/>
    </w:rPr>
  </w:style>
  <w:style w:type="character" w:customStyle="1" w:styleId="CommentSubjectChar">
    <w:name w:val="Comment Subject Char"/>
    <w:basedOn w:val="CommentTextChar"/>
    <w:link w:val="CommentSubject"/>
    <w:uiPriority w:val="99"/>
    <w:semiHidden/>
    <w:rsid w:val="004A32A2"/>
    <w:rPr>
      <w:rFonts w:eastAsiaTheme="minorEastAsia"/>
      <w:b/>
      <w:bCs/>
      <w:kern w:val="0"/>
      <w:sz w:val="20"/>
      <w:szCs w:val="20"/>
      <w:lang w:val="en-GB"/>
      <w14:ligatures w14:val="none"/>
    </w:rPr>
  </w:style>
  <w:style w:type="paragraph" w:styleId="BalloonText">
    <w:name w:val="Balloon Text"/>
    <w:basedOn w:val="Normal"/>
    <w:link w:val="BalloonTextChar"/>
    <w:uiPriority w:val="99"/>
    <w:semiHidden/>
    <w:unhideWhenUsed/>
    <w:rsid w:val="004A32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32A2"/>
    <w:rPr>
      <w:rFonts w:ascii="Tahoma" w:eastAsiaTheme="minorEastAsia" w:hAnsi="Tahoma" w:cs="Tahoma"/>
      <w:kern w:val="0"/>
      <w:sz w:val="16"/>
      <w:szCs w:val="16"/>
      <w:lang w:val="en-GB"/>
      <w14:ligatures w14:val="none"/>
    </w:rPr>
  </w:style>
  <w:style w:type="paragraph" w:styleId="NoSpacing">
    <w:name w:val="No Spacing"/>
    <w:basedOn w:val="Normal"/>
    <w:uiPriority w:val="1"/>
    <w:qFormat/>
    <w:rsid w:val="004A32A2"/>
    <w:pPr>
      <w:spacing w:after="0" w:line="240" w:lineRule="auto"/>
      <w:ind w:firstLine="0"/>
    </w:pPr>
  </w:style>
  <w:style w:type="paragraph" w:styleId="TOCHeading">
    <w:name w:val="TOC Heading"/>
    <w:basedOn w:val="Heading1"/>
    <w:next w:val="Normal"/>
    <w:uiPriority w:val="39"/>
    <w:semiHidden/>
    <w:unhideWhenUsed/>
    <w:qFormat/>
    <w:rsid w:val="004A32A2"/>
    <w:pPr>
      <w:keepNext w:val="0"/>
      <w:keepLines w:val="0"/>
      <w:spacing w:before="600" w:after="0" w:line="360" w:lineRule="auto"/>
      <w:outlineLvl w:val="9"/>
    </w:pPr>
    <w:rPr>
      <w:b/>
      <w:bCs/>
      <w:i/>
      <w:iCs/>
      <w:color w:val="auto"/>
      <w:kern w:val="0"/>
      <w:sz w:val="32"/>
      <w:szCs w:val="32"/>
      <w:lang w:val="en-GB" w:bidi="en-US"/>
      <w14:ligatures w14:val="none"/>
    </w:rPr>
  </w:style>
  <w:style w:type="paragraph" w:customStyle="1" w:styleId="p1">
    <w:name w:val="p1"/>
    <w:basedOn w:val="Normal"/>
    <w:rsid w:val="004A32A2"/>
    <w:pPr>
      <w:spacing w:after="0" w:line="240" w:lineRule="auto"/>
      <w:ind w:firstLine="0"/>
    </w:pPr>
    <w:rPr>
      <w:rFonts w:ascii="Helvetica" w:eastAsia="Times New Roman" w:hAnsi="Helvetica" w:cs="Times New Roman"/>
      <w:color w:val="000000"/>
      <w:sz w:val="18"/>
      <w:szCs w:val="18"/>
      <w:lang w:val="en-US"/>
    </w:rPr>
  </w:style>
  <w:style w:type="character" w:styleId="CommentReference">
    <w:name w:val="annotation reference"/>
    <w:basedOn w:val="DefaultParagraphFont"/>
    <w:uiPriority w:val="99"/>
    <w:semiHidden/>
    <w:unhideWhenUsed/>
    <w:rsid w:val="004A32A2"/>
    <w:rPr>
      <w:sz w:val="16"/>
      <w:szCs w:val="16"/>
    </w:rPr>
  </w:style>
  <w:style w:type="character" w:styleId="PlaceholderText">
    <w:name w:val="Placeholder Text"/>
    <w:basedOn w:val="DefaultParagraphFont"/>
    <w:uiPriority w:val="99"/>
    <w:semiHidden/>
    <w:rsid w:val="004A32A2"/>
    <w:rPr>
      <w:color w:val="808080"/>
    </w:rPr>
  </w:style>
  <w:style w:type="character" w:styleId="SubtleEmphasis">
    <w:name w:val="Subtle Emphasis"/>
    <w:uiPriority w:val="19"/>
    <w:qFormat/>
    <w:rsid w:val="004A32A2"/>
    <w:rPr>
      <w:i/>
      <w:iCs/>
      <w:color w:val="5A5A5A" w:themeColor="text1" w:themeTint="A5"/>
    </w:rPr>
  </w:style>
  <w:style w:type="character" w:styleId="SubtleReference">
    <w:name w:val="Subtle Reference"/>
    <w:uiPriority w:val="31"/>
    <w:qFormat/>
    <w:rsid w:val="004A32A2"/>
    <w:rPr>
      <w:smallCaps/>
    </w:rPr>
  </w:style>
  <w:style w:type="character" w:styleId="BookTitle">
    <w:name w:val="Book Title"/>
    <w:uiPriority w:val="33"/>
    <w:qFormat/>
    <w:rsid w:val="004A32A2"/>
    <w:rPr>
      <w:rFonts w:asciiTheme="majorHAnsi" w:eastAsiaTheme="majorEastAsia" w:hAnsiTheme="majorHAnsi" w:cstheme="majorBidi" w:hint="default"/>
      <w:b/>
      <w:bCs/>
      <w:smallCaps/>
      <w:color w:val="auto"/>
      <w:u w:val="single"/>
    </w:rPr>
  </w:style>
  <w:style w:type="table" w:styleId="TableGrid">
    <w:name w:val="Table Grid"/>
    <w:basedOn w:val="TableNormal"/>
    <w:uiPriority w:val="59"/>
    <w:rsid w:val="004A32A2"/>
    <w:pPr>
      <w:spacing w:after="0" w:line="240" w:lineRule="auto"/>
      <w:ind w:firstLine="360"/>
    </w:pPr>
    <w:rPr>
      <w:rFonts w:eastAsiaTheme="minorEastAsia"/>
      <w:kern w:val="0"/>
      <w:sz w:val="22"/>
      <w:szCs w:val="22"/>
      <w:lang w:val="en-GB"/>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016/j.cliser.2023.100367" TargetMode="External"/><Relationship Id="rId21" Type="http://schemas.openxmlformats.org/officeDocument/2006/relationships/hyperlink" Target="https://doi.org/10.1016/j.cliser.2023.100364" TargetMode="External"/><Relationship Id="rId42" Type="http://schemas.openxmlformats.org/officeDocument/2006/relationships/hyperlink" Target="https://doi.org/10.1016/j.cliser.2018.07.002" TargetMode="External"/><Relationship Id="rId47" Type="http://schemas.openxmlformats.org/officeDocument/2006/relationships/hyperlink" Target="https://doi.org/10.1016/j.cliser.2021.100266" TargetMode="External"/><Relationship Id="rId63" Type="http://schemas.openxmlformats.org/officeDocument/2006/relationships/hyperlink" Target="https://doi.org/10.1016/j.envsoft.2016.09.004" TargetMode="External"/><Relationship Id="rId68" Type="http://schemas.openxmlformats.org/officeDocument/2006/relationships/hyperlink" Target="https://doi.org/10.1145/1047671.1047677" TargetMode="External"/><Relationship Id="rId16" Type="http://schemas.openxmlformats.org/officeDocument/2006/relationships/hyperlink" Target="https://doi.org/10.1016/j.cliser.2016.11.002" TargetMode="External"/><Relationship Id="rId11" Type="http://schemas.openxmlformats.org/officeDocument/2006/relationships/hyperlink" Target="https://doi.org/10.1016/j.cliser.2023.100399" TargetMode="External"/><Relationship Id="rId32" Type="http://schemas.openxmlformats.org/officeDocument/2006/relationships/hyperlink" Target="https://doi.org/10.1016/j.uclim.2022.101333" TargetMode="External"/><Relationship Id="rId37" Type="http://schemas.openxmlformats.org/officeDocument/2006/relationships/hyperlink" Target="https://doi.org/10.1016/j.cliser.2021.100275" TargetMode="External"/><Relationship Id="rId53" Type="http://schemas.openxmlformats.org/officeDocument/2006/relationships/hyperlink" Target="https://doi.org/10.1145/1738826.1738868" TargetMode="External"/><Relationship Id="rId58" Type="http://schemas.openxmlformats.org/officeDocument/2006/relationships/hyperlink" Target="https://doi.org/10.1145/2107596.2107601" TargetMode="External"/><Relationship Id="rId74" Type="http://schemas.openxmlformats.org/officeDocument/2006/relationships/hyperlink" Target="https://doi.org/10.1145/2857218.2857270" TargetMode="External"/><Relationship Id="rId79" Type="http://schemas.openxmlformats.org/officeDocument/2006/relationships/hyperlink" Target="https://doi.org/10.1109/IE.2016.14" TargetMode="External"/><Relationship Id="rId5" Type="http://schemas.openxmlformats.org/officeDocument/2006/relationships/hyperlink" Target="https://doi.org/10.1016/j.cliser.2021.100249" TargetMode="External"/><Relationship Id="rId61" Type="http://schemas.openxmlformats.org/officeDocument/2006/relationships/hyperlink" Target="https://doi.org/10.1145/2254556.2254591" TargetMode="External"/><Relationship Id="rId82" Type="http://schemas.openxmlformats.org/officeDocument/2006/relationships/fontTable" Target="fontTable.xml"/><Relationship Id="rId19" Type="http://schemas.openxmlformats.org/officeDocument/2006/relationships/hyperlink" Target="https://doi.org/10.1016/j.cliser.2023.100346" TargetMode="External"/><Relationship Id="rId14" Type="http://schemas.openxmlformats.org/officeDocument/2006/relationships/hyperlink" Target="https://doi.org/10.1016/j.cliser.2017.06.002" TargetMode="External"/><Relationship Id="rId22" Type="http://schemas.openxmlformats.org/officeDocument/2006/relationships/hyperlink" Target="https://doi.org/10.1016/j.cliser.2017.08.003" TargetMode="External"/><Relationship Id="rId27" Type="http://schemas.openxmlformats.org/officeDocument/2006/relationships/hyperlink" Target="https://doi.org/10.1016/j.crm.2021.100346" TargetMode="External"/><Relationship Id="rId30" Type="http://schemas.openxmlformats.org/officeDocument/2006/relationships/hyperlink" Target="https://doi.org/10.1016/j.cliser.2021.100233" TargetMode="External"/><Relationship Id="rId35" Type="http://schemas.openxmlformats.org/officeDocument/2006/relationships/hyperlink" Target="https://doi.org/10.1016/j.cliser.2022.100329" TargetMode="External"/><Relationship Id="rId43" Type="http://schemas.openxmlformats.org/officeDocument/2006/relationships/hyperlink" Target="https://doi.org/10.1016/j.cliser.2018.11.001" TargetMode="External"/><Relationship Id="rId48" Type="http://schemas.openxmlformats.org/officeDocument/2006/relationships/hyperlink" Target="https://doi.org/10.5555/1999593.1999612" TargetMode="External"/><Relationship Id="rId56" Type="http://schemas.openxmlformats.org/officeDocument/2006/relationships/hyperlink" Target="https://doi.org/10.1145/3544548.3580886" TargetMode="External"/><Relationship Id="rId64" Type="http://schemas.openxmlformats.org/officeDocument/2006/relationships/hyperlink" Target="https://doi.org/10.1016/j.compag.2019.05.053" TargetMode="External"/><Relationship Id="rId69" Type="http://schemas.openxmlformats.org/officeDocument/2006/relationships/hyperlink" Target="https://doi.org/10.1145/2851581.2851585" TargetMode="External"/><Relationship Id="rId77" Type="http://schemas.openxmlformats.org/officeDocument/2006/relationships/hyperlink" Target="https://doi.org/10.1016/j.intcom.2009.04.007" TargetMode="External"/><Relationship Id="rId8" Type="http://schemas.openxmlformats.org/officeDocument/2006/relationships/hyperlink" Target="https://doi.org/10.1016/j.cliser.2019.01.003" TargetMode="External"/><Relationship Id="rId51" Type="http://schemas.openxmlformats.org/officeDocument/2006/relationships/hyperlink" Target="https://doi.org/10.1145/3461702.3462571" TargetMode="External"/><Relationship Id="rId72" Type="http://schemas.openxmlformats.org/officeDocument/2006/relationships/hyperlink" Target="https://doi.org/10.1145/2399016.2399106" TargetMode="External"/><Relationship Id="rId80" Type="http://schemas.openxmlformats.org/officeDocument/2006/relationships/hyperlink" Target="https://doi.org/10.1145/1621995.1621997" TargetMode="External"/><Relationship Id="rId3" Type="http://schemas.openxmlformats.org/officeDocument/2006/relationships/webSettings" Target="webSettings.xml"/><Relationship Id="rId12" Type="http://schemas.openxmlformats.org/officeDocument/2006/relationships/hyperlink" Target="https://doi.org/10.1016/j.crm.2017.03.002" TargetMode="External"/><Relationship Id="rId17" Type="http://schemas.openxmlformats.org/officeDocument/2006/relationships/hyperlink" Target="https://doi.org/10.1016/j.cliser.2020.100181" TargetMode="External"/><Relationship Id="rId25" Type="http://schemas.openxmlformats.org/officeDocument/2006/relationships/hyperlink" Target="https://doi.org/10.1016/j.cliser.2023.100394" TargetMode="External"/><Relationship Id="rId33" Type="http://schemas.openxmlformats.org/officeDocument/2006/relationships/hyperlink" Target="https://doi.org/10.1016/j.cliser.2021.100273" TargetMode="External"/><Relationship Id="rId38" Type="http://schemas.openxmlformats.org/officeDocument/2006/relationships/hyperlink" Target="https://doi.org/10.1016/j.crsust.2022.100156" TargetMode="External"/><Relationship Id="rId46" Type="http://schemas.openxmlformats.org/officeDocument/2006/relationships/hyperlink" Target="https://doi.org/10.1016/j.cliser.2021.100225" TargetMode="External"/><Relationship Id="rId59" Type="http://schemas.openxmlformats.org/officeDocument/2006/relationships/hyperlink" Target="https://doi.org/10.1145/3563657.3596003" TargetMode="External"/><Relationship Id="rId67" Type="http://schemas.openxmlformats.org/officeDocument/2006/relationships/hyperlink" Target="https://doi.org/10.1145/1518701.1518813" TargetMode="External"/><Relationship Id="rId20" Type="http://schemas.openxmlformats.org/officeDocument/2006/relationships/hyperlink" Target="https://doi.org/10.1016/j.cliser.2022.100310" TargetMode="External"/><Relationship Id="rId41" Type="http://schemas.openxmlformats.org/officeDocument/2006/relationships/hyperlink" Target="https://doi.org/10.1016/j.cliser.2023.100347" TargetMode="External"/><Relationship Id="rId54" Type="http://schemas.openxmlformats.org/officeDocument/2006/relationships/hyperlink" Target="https://doi.org/10.1016/j.apergo.2012.10.013" TargetMode="External"/><Relationship Id="rId62" Type="http://schemas.openxmlformats.org/officeDocument/2006/relationships/hyperlink" Target="https://doi.org/10.1145/2971485.2995350" TargetMode="External"/><Relationship Id="rId70" Type="http://schemas.openxmlformats.org/officeDocument/2006/relationships/hyperlink" Target="https://doi.org/10.1145/2347504.2347571" TargetMode="External"/><Relationship Id="rId75" Type="http://schemas.openxmlformats.org/officeDocument/2006/relationships/hyperlink" Target="https://doi.org/10.1007/978-3-030-49713-218" TargetMode="External"/><Relationship Id="rId83"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doi.org/10.1016/j.cliser.2022.100323" TargetMode="External"/><Relationship Id="rId15" Type="http://schemas.openxmlformats.org/officeDocument/2006/relationships/hyperlink" Target="https://doi.org/10.1016/j.cliser.2020.100155" TargetMode="External"/><Relationship Id="rId23" Type="http://schemas.openxmlformats.org/officeDocument/2006/relationships/hyperlink" Target="https://doi.org/10.1016/j.cliser.2020.100195" TargetMode="External"/><Relationship Id="rId28" Type="http://schemas.openxmlformats.org/officeDocument/2006/relationships/hyperlink" Target="https://doi.org/10.1016/j.cliser.2019.01.006" TargetMode="External"/><Relationship Id="rId36" Type="http://schemas.openxmlformats.org/officeDocument/2006/relationships/hyperlink" Target="https://doi.org/10.1016/j.cliser.2022.100337" TargetMode="External"/><Relationship Id="rId49" Type="http://schemas.openxmlformats.org/officeDocument/2006/relationships/hyperlink" Target="https://doi.org/10.1109/SEEDA-CECNSM49515.2020.9221777" TargetMode="External"/><Relationship Id="rId57" Type="http://schemas.openxmlformats.org/officeDocument/2006/relationships/hyperlink" Target="https://doi.org/10.1145/3218585.3218674" TargetMode="External"/><Relationship Id="rId10" Type="http://schemas.openxmlformats.org/officeDocument/2006/relationships/hyperlink" Target="https://doi.org/10.1016/j.wace.2019.100226" TargetMode="External"/><Relationship Id="rId31" Type="http://schemas.openxmlformats.org/officeDocument/2006/relationships/hyperlink" Target="https://doi.org/10.1145/3334480.3383084" TargetMode="External"/><Relationship Id="rId44" Type="http://schemas.openxmlformats.org/officeDocument/2006/relationships/hyperlink" Target="https://doi.org/10.1016/j.cliser.2022.100297" TargetMode="External"/><Relationship Id="rId52" Type="http://schemas.openxmlformats.org/officeDocument/2006/relationships/hyperlink" Target="https://doi.org/10.1145/3411170.3411256" TargetMode="External"/><Relationship Id="rId60" Type="http://schemas.openxmlformats.org/officeDocument/2006/relationships/hyperlink" Target="https://doi.org/10.1016/B978-0-12-409548-9.09608-1" TargetMode="External"/><Relationship Id="rId65" Type="http://schemas.openxmlformats.org/officeDocument/2006/relationships/hyperlink" Target="https://doi.org/10.1145/3147704.3147730" TargetMode="External"/><Relationship Id="rId73" Type="http://schemas.openxmlformats.org/officeDocument/2006/relationships/hyperlink" Target="https://doi.org/10.1016/j.ecoinf.2021.101366" TargetMode="External"/><Relationship Id="rId78" Type="http://schemas.openxmlformats.org/officeDocument/2006/relationships/hyperlink" Target="https://doi.org/10.1145/3513130.3558989" TargetMode="External"/><Relationship Id="rId81" Type="http://schemas.openxmlformats.org/officeDocument/2006/relationships/hyperlink" Target="https://doi.org/10.1016/j.envsoft.2016.10.012" TargetMode="External"/><Relationship Id="rId4" Type="http://schemas.openxmlformats.org/officeDocument/2006/relationships/hyperlink" Target="https://doi.org/10.1016/j.cliser.2017.10.001" TargetMode="External"/><Relationship Id="rId9" Type="http://schemas.openxmlformats.org/officeDocument/2006/relationships/hyperlink" Target="https://doi.org/10.1016/j.cliser.2017.06.003" TargetMode="External"/><Relationship Id="rId13" Type="http://schemas.openxmlformats.org/officeDocument/2006/relationships/hyperlink" Target="https://doi.org/10.1016/j.cliser.2020.100197" TargetMode="External"/><Relationship Id="rId18" Type="http://schemas.openxmlformats.org/officeDocument/2006/relationships/hyperlink" Target="https://doi.org/10.1016/j.simpa.2023.100546" TargetMode="External"/><Relationship Id="rId39" Type="http://schemas.openxmlformats.org/officeDocument/2006/relationships/hyperlink" Target="https://doi.org/10.1016/j.cliser.2021.100282" TargetMode="External"/><Relationship Id="rId34" Type="http://schemas.openxmlformats.org/officeDocument/2006/relationships/hyperlink" Target="https://doi.org/10.1016/j.cliser.2023.100387" TargetMode="External"/><Relationship Id="rId50" Type="http://schemas.openxmlformats.org/officeDocument/2006/relationships/hyperlink" Target="https://doi.org/10.1016/j.ijhcs.2023.103080" TargetMode="External"/><Relationship Id="rId55" Type="http://schemas.openxmlformats.org/officeDocument/2006/relationships/hyperlink" Target="https://doi.org/10.1145/2858036.2858429" TargetMode="External"/><Relationship Id="rId76" Type="http://schemas.openxmlformats.org/officeDocument/2006/relationships/hyperlink" Target="https://doi.org/10.1145/3491102.3517589" TargetMode="External"/><Relationship Id="rId7" Type="http://schemas.openxmlformats.org/officeDocument/2006/relationships/hyperlink" Target="https://doi.org/10.1016/j.cliser.2019.100137" TargetMode="External"/><Relationship Id="rId71" Type="http://schemas.openxmlformats.org/officeDocument/2006/relationships/hyperlink" Target="https://doi.org/10.1145/3290607.3299047" TargetMode="External"/><Relationship Id="rId2" Type="http://schemas.openxmlformats.org/officeDocument/2006/relationships/settings" Target="settings.xml"/><Relationship Id="rId29" Type="http://schemas.openxmlformats.org/officeDocument/2006/relationships/hyperlink" Target="https://doi.org/10.1016/j.cliser.2022.100300" TargetMode="External"/><Relationship Id="rId24" Type="http://schemas.openxmlformats.org/officeDocument/2006/relationships/hyperlink" Target="https://doi.org/10.1016/j.cliser.2023.100401" TargetMode="External"/><Relationship Id="rId40" Type="http://schemas.openxmlformats.org/officeDocument/2006/relationships/hyperlink" Target="https://doi.org/10.1016/j.cliser.2017.06.008" TargetMode="External"/><Relationship Id="rId45" Type="http://schemas.openxmlformats.org/officeDocument/2006/relationships/hyperlink" Target="https://doi.org/10.1016/j.cliser.2017.07.003" TargetMode="External"/><Relationship Id="rId66" Type="http://schemas.openxmlformats.org/officeDocument/2006/relationships/hyperlink" Target="https://doi.org/10.1145/344888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6938</Words>
  <Characters>44177</Characters>
  <Application>Microsoft Office Word</Application>
  <DocSecurity>0</DocSecurity>
  <Lines>1388</Lines>
  <Paragraphs>626</Paragraphs>
  <ScaleCrop>false</ScaleCrop>
  <Company/>
  <LinksUpToDate>false</LinksUpToDate>
  <CharactersWithSpaces>50454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2026-02-17T05:51:00Z</dcterms:created>
  <dcterms:modified xsi:type="dcterms:W3CDTF">2026-02-17T05:55:00Z</dcterms:modified>
</cp:coreProperties>
</file>