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6D41" w:rsidRPr="00626D41" w:rsidRDefault="00626D41" w:rsidP="00626D41">
      <w:pPr>
        <w:keepNext/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lang w:val="en-US" w:eastAsia="es-ES_tradnl"/>
        </w:rPr>
      </w:pPr>
      <w:r w:rsidRPr="00626D41">
        <w:rPr>
          <w:rFonts w:ascii="Times New Roman" w:eastAsia="Calibri" w:hAnsi="Times New Roman" w:cs="Times New Roman"/>
          <w:b/>
          <w:bCs/>
          <w:lang w:val="en-US" w:eastAsia="es-ES_tradnl"/>
        </w:rPr>
        <w:t xml:space="preserve">Table </w:t>
      </w:r>
      <w:r w:rsidR="00F27484">
        <w:rPr>
          <w:rFonts w:ascii="Times New Roman" w:eastAsia="Calibri" w:hAnsi="Times New Roman" w:cs="Times New Roman"/>
          <w:b/>
          <w:bCs/>
          <w:lang w:val="en-US" w:eastAsia="es-ES_tradnl"/>
        </w:rPr>
        <w:t>S</w:t>
      </w:r>
      <w:r w:rsidRPr="00626D41">
        <w:rPr>
          <w:rFonts w:ascii="Times New Roman" w:eastAsia="Calibri" w:hAnsi="Times New Roman" w:cs="Times New Roman"/>
          <w:b/>
          <w:bCs/>
          <w:lang w:val="en-US" w:eastAsia="es-ES_tradnl"/>
        </w:rPr>
        <w:t xml:space="preserve">1: </w:t>
      </w:r>
      <w:r w:rsidRPr="00626D41">
        <w:rPr>
          <w:rFonts w:ascii="Times New Roman" w:eastAsia="Calibri" w:hAnsi="Times New Roman" w:cs="Times New Roman"/>
          <w:bCs/>
          <w:lang w:val="en-US" w:eastAsia="es-ES_tradnl"/>
        </w:rPr>
        <w:t>Differences in baseline characteristics, nutritional therapy, and outcomes based on the length of nutritional therapy.</w:t>
      </w:r>
    </w:p>
    <w:tbl>
      <w:tblPr>
        <w:tblStyle w:val="Tablaconcuadrcula7"/>
        <w:tblW w:w="10031" w:type="dxa"/>
        <w:tblLayout w:type="fixed"/>
        <w:tblLook w:val="04A0" w:firstRow="1" w:lastRow="0" w:firstColumn="1" w:lastColumn="0" w:noHBand="0" w:noVBand="1"/>
      </w:tblPr>
      <w:tblGrid>
        <w:gridCol w:w="1576"/>
        <w:gridCol w:w="30"/>
        <w:gridCol w:w="1866"/>
        <w:gridCol w:w="1735"/>
        <w:gridCol w:w="1891"/>
        <w:gridCol w:w="2050"/>
        <w:gridCol w:w="883"/>
      </w:tblGrid>
      <w:tr w:rsidR="00626D41" w:rsidRPr="00626D41" w:rsidTr="002108B4">
        <w:trPr>
          <w:trHeight w:val="391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735" w:type="dxa"/>
            <w:hideMark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≤3 days </w:t>
            </w:r>
          </w:p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(14.8%; n=95)</w:t>
            </w:r>
          </w:p>
        </w:tc>
        <w:tc>
          <w:tcPr>
            <w:tcW w:w="1891" w:type="dxa"/>
            <w:hideMark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&gt;3 - &lt;7 days</w:t>
            </w:r>
          </w:p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(24.5%; n=157)</w:t>
            </w:r>
          </w:p>
        </w:tc>
        <w:tc>
          <w:tcPr>
            <w:tcW w:w="2050" w:type="dxa"/>
            <w:hideMark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≥7 days</w:t>
            </w:r>
          </w:p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(60.7%; n=387)</w:t>
            </w:r>
          </w:p>
        </w:tc>
        <w:tc>
          <w:tcPr>
            <w:tcW w:w="883" w:type="dxa"/>
            <w:hideMark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es-ES_tradnl"/>
              </w:rPr>
              <w:t>p value</w:t>
            </w:r>
          </w:p>
        </w:tc>
      </w:tr>
      <w:tr w:rsidR="00626D41" w:rsidRPr="00626D41" w:rsidTr="002108B4">
        <w:trPr>
          <w:trHeight w:val="69"/>
        </w:trPr>
        <w:tc>
          <w:tcPr>
            <w:tcW w:w="10031" w:type="dxa"/>
            <w:gridSpan w:val="7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Baseline characteristics &amp; comorbidities</w:t>
            </w:r>
          </w:p>
        </w:tc>
      </w:tr>
      <w:tr w:rsidR="00626D41" w:rsidRPr="00626D41" w:rsidTr="002108B4">
        <w:trPr>
          <w:trHeight w:val="69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Mean age (years)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64.1±14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62.4±15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61.0±15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0.17</w:t>
            </w:r>
          </w:p>
        </w:tc>
      </w:tr>
      <w:tr w:rsidR="00626D41" w:rsidRPr="00626D41" w:rsidTr="002108B4">
        <w:trPr>
          <w:trHeight w:val="122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Sex (male)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65 (68.4%)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96 (61.1%)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271 (70%)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0.13</w:t>
            </w:r>
          </w:p>
        </w:tc>
      </w:tr>
      <w:tr w:rsidR="00626D41" w:rsidRPr="00626D41" w:rsidTr="002108B4">
        <w:trPr>
          <w:trHeight w:val="74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BMI (Kg·m</w:t>
            </w: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s-ES_tradnl"/>
              </w:rPr>
              <w:t>-2</w:t>
            </w: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27.2±6.6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27.6±6.2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27.8±5.7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0.65</w:t>
            </w:r>
          </w:p>
        </w:tc>
      </w:tr>
      <w:tr w:rsidR="00626D41" w:rsidRPr="00626D41" w:rsidTr="002108B4">
        <w:trPr>
          <w:trHeight w:val="74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Hypertension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47 (49.5%)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71 (45.2%)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163 (42.1%)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0.40</w:t>
            </w:r>
          </w:p>
        </w:tc>
      </w:tr>
      <w:tr w:rsidR="00626D41" w:rsidRPr="00626D41" w:rsidTr="002108B4">
        <w:trPr>
          <w:trHeight w:val="107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Diabetes mellitus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32 (33.7%)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40 (25.5%)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92 (23.8%)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0.14</w:t>
            </w:r>
          </w:p>
        </w:tc>
      </w:tr>
      <w:tr w:rsidR="00626D41" w:rsidRPr="00626D41" w:rsidTr="002108B4">
        <w:trPr>
          <w:trHeight w:val="139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COPD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17 (17.9%)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34 (21.7%)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59 (15.2%)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0. 19</w:t>
            </w:r>
          </w:p>
        </w:tc>
      </w:tr>
      <w:tr w:rsidR="00626D41" w:rsidRPr="00626D41" w:rsidTr="002108B4">
        <w:trPr>
          <w:trHeight w:val="187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AMI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17 (17.9%)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21 (13.4%)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56 (14.5%)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0.60</w:t>
            </w:r>
          </w:p>
        </w:tc>
      </w:tr>
      <w:tr w:rsidR="00626D41" w:rsidRPr="00626D41" w:rsidTr="002108B4">
        <w:trPr>
          <w:trHeight w:val="59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Chronic Liver Disease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 (6.3%)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7 (4.5%)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19 (4.9%)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0.79</w:t>
            </w:r>
          </w:p>
        </w:tc>
      </w:tr>
      <w:tr w:rsidR="00626D41" w:rsidRPr="00626D41" w:rsidTr="002108B4">
        <w:trPr>
          <w:trHeight w:val="107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Chronic Renal Failure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15 (15.8%)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11 (7%)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42 (10.9%)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0.08</w:t>
            </w:r>
          </w:p>
        </w:tc>
      </w:tr>
      <w:tr w:rsidR="00626D41" w:rsidRPr="00626D41" w:rsidTr="002108B4">
        <w:trPr>
          <w:trHeight w:val="125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Immunosuppression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9 (9.5%)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16 (10.2%)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48 (12.4%)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0.61</w:t>
            </w:r>
          </w:p>
        </w:tc>
      </w:tr>
      <w:tr w:rsidR="00626D41" w:rsidRPr="00626D41" w:rsidTr="002108B4">
        <w:trPr>
          <w:trHeight w:val="174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Neoplasia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23 (24.2%)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39 (24.8%)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75 (19.4%)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sz w:val="20"/>
                <w:szCs w:val="20"/>
                <w:lang w:val="en-US" w:eastAsia="es-ES_tradnl"/>
              </w:rPr>
              <w:t>0.28</w:t>
            </w:r>
          </w:p>
        </w:tc>
      </w:tr>
      <w:tr w:rsidR="00626D41" w:rsidRPr="00626D41" w:rsidTr="002108B4">
        <w:trPr>
          <w:trHeight w:val="158"/>
        </w:trPr>
        <w:tc>
          <w:tcPr>
            <w:tcW w:w="1576" w:type="dxa"/>
            <w:vMerge w:val="restart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Type of patient</w:t>
            </w:r>
          </w:p>
        </w:tc>
        <w:tc>
          <w:tcPr>
            <w:tcW w:w="1896" w:type="dxa"/>
            <w:gridSpan w:val="2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Medical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53 (55.8%)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97 (61.8%)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251 (64.9%)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0.89</w:t>
            </w:r>
          </w:p>
        </w:tc>
      </w:tr>
      <w:tr w:rsidR="00626D41" w:rsidRPr="00626D41" w:rsidTr="002108B4">
        <w:trPr>
          <w:trHeight w:val="165"/>
        </w:trPr>
        <w:tc>
          <w:tcPr>
            <w:tcW w:w="1576" w:type="dxa"/>
            <w:vMerge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96" w:type="dxa"/>
            <w:gridSpan w:val="2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Trauma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 (4.2%)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11 (7%)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57 (14.7%)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0.01</w:t>
            </w:r>
          </w:p>
        </w:tc>
      </w:tr>
      <w:tr w:rsidR="00626D41" w:rsidRPr="00626D41" w:rsidTr="002108B4">
        <w:trPr>
          <w:trHeight w:val="211"/>
        </w:trPr>
        <w:tc>
          <w:tcPr>
            <w:tcW w:w="1576" w:type="dxa"/>
            <w:vMerge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96" w:type="dxa"/>
            <w:gridSpan w:val="2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Surgery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38 (40%)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49 (31.2%)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79 (20.4%)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0.03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APACHE II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19 (13-26)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19 (14-24)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20 (15-25)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Calibri" w:hAnsi="Calibri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0.08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SAPS II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47.6±18.1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47.9±18.8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49.8±17.2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0.41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SOFA (on admission)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6.4±3.8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6.6±3.6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7.4±3.4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0.009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Patient with malnutrition </w:t>
            </w:r>
          </w:p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(based on SGA)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41 (43.2%)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77 (49%)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151 (39.1%)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0.10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  <w:hideMark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mNUTRIC Score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4.1±2.1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3.9±2.2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4.3±2.1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0.35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Patient at risk (Based on NUTRIC)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46 (48.4%)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65 (43%)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176 (46.7%)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0.66</w:t>
            </w:r>
          </w:p>
        </w:tc>
      </w:tr>
      <w:tr w:rsidR="00626D41" w:rsidRPr="00626D41" w:rsidTr="002108B4">
        <w:trPr>
          <w:trHeight w:val="157"/>
        </w:trPr>
        <w:tc>
          <w:tcPr>
            <w:tcW w:w="10031" w:type="dxa"/>
            <w:gridSpan w:val="7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Nutrition therapy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Time of initiation of nutrition therapy(h)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31 (20-48)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27 (18-48)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28 (19-49)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0.64</w:t>
            </w:r>
          </w:p>
        </w:tc>
      </w:tr>
      <w:tr w:rsidR="00626D41" w:rsidRPr="00626D41" w:rsidTr="002108B4">
        <w:trPr>
          <w:trHeight w:val="157"/>
        </w:trPr>
        <w:tc>
          <w:tcPr>
            <w:tcW w:w="1606" w:type="dxa"/>
            <w:gridSpan w:val="2"/>
            <w:vMerge w:val="restart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Type of nutritional support</w:t>
            </w:r>
          </w:p>
        </w:tc>
        <w:tc>
          <w:tcPr>
            <w:tcW w:w="1866" w:type="dxa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EN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62 (65.3%) 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102 (65%)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241 (62.3%)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0.95</w:t>
            </w:r>
          </w:p>
        </w:tc>
      </w:tr>
      <w:tr w:rsidR="00626D41" w:rsidRPr="00626D41" w:rsidTr="002108B4">
        <w:trPr>
          <w:trHeight w:val="157"/>
        </w:trPr>
        <w:tc>
          <w:tcPr>
            <w:tcW w:w="1606" w:type="dxa"/>
            <w:gridSpan w:val="2"/>
            <w:vMerge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66" w:type="dxa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Total PN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30 (31.6%)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38 (24.2%)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48 (12.4%)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0.001</w:t>
            </w:r>
          </w:p>
        </w:tc>
      </w:tr>
      <w:tr w:rsidR="00626D41" w:rsidRPr="00626D41" w:rsidTr="002108B4">
        <w:trPr>
          <w:trHeight w:val="157"/>
        </w:trPr>
        <w:tc>
          <w:tcPr>
            <w:tcW w:w="1606" w:type="dxa"/>
            <w:gridSpan w:val="2"/>
            <w:vMerge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66" w:type="dxa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EN-PN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 (1.1%)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8 (5.1%)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34 (8.8%)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0.09</w:t>
            </w:r>
          </w:p>
        </w:tc>
      </w:tr>
      <w:tr w:rsidR="00626D41" w:rsidRPr="00626D41" w:rsidTr="002108B4">
        <w:trPr>
          <w:trHeight w:val="157"/>
        </w:trPr>
        <w:tc>
          <w:tcPr>
            <w:tcW w:w="1606" w:type="dxa"/>
            <w:gridSpan w:val="2"/>
            <w:vMerge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66" w:type="dxa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PN-EN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 (2.1%)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9 (5.7%)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64 (16.5%)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0.01</w:t>
            </w:r>
          </w:p>
        </w:tc>
      </w:tr>
      <w:tr w:rsidR="00626D41" w:rsidRPr="00626D41" w:rsidTr="002108B4">
        <w:trPr>
          <w:trHeight w:val="157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Early EN (&lt;48h)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72 (75%)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120 (76.4%)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286 (73.8%)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0.81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Mean Kcal/Kg/day </w:t>
            </w: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s-ES_tradnl"/>
              </w:rPr>
              <w:t>a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12.35±6.45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14.90±6.7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17.56±5.8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0.01</w:t>
            </w:r>
          </w:p>
        </w:tc>
      </w:tr>
      <w:tr w:rsidR="00626D41" w:rsidRPr="00626D41" w:rsidTr="002108B4">
        <w:trPr>
          <w:trHeight w:val="216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Mean g protein/Kg/day </w:t>
            </w: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s-ES_tradnl"/>
              </w:rPr>
              <w:t>a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0.6±0.3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0.7±0.4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0.9±0.3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0.01</w:t>
            </w:r>
          </w:p>
        </w:tc>
      </w:tr>
      <w:tr w:rsidR="00626D41" w:rsidRPr="00626D41" w:rsidTr="002108B4">
        <w:trPr>
          <w:trHeight w:val="143"/>
        </w:trPr>
        <w:tc>
          <w:tcPr>
            <w:tcW w:w="1576" w:type="dxa"/>
            <w:vMerge w:val="restart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EN-related complications</w:t>
            </w:r>
          </w:p>
        </w:tc>
        <w:tc>
          <w:tcPr>
            <w:tcW w:w="1896" w:type="dxa"/>
            <w:gridSpan w:val="2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Any complication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10 (15.2%)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24 (20.2%)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127 (37.6%)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&lt;0.001</w:t>
            </w:r>
          </w:p>
        </w:tc>
      </w:tr>
      <w:tr w:rsidR="00626D41" w:rsidRPr="00626D41" w:rsidTr="002108B4">
        <w:trPr>
          <w:trHeight w:val="143"/>
        </w:trPr>
        <w:tc>
          <w:tcPr>
            <w:tcW w:w="1576" w:type="dxa"/>
            <w:vMerge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96" w:type="dxa"/>
            <w:gridSpan w:val="2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↑ GRV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 (6.1%)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11 (9.2%)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66 (19.4%)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0.002</w:t>
            </w:r>
          </w:p>
        </w:tc>
      </w:tr>
      <w:tr w:rsidR="00626D41" w:rsidRPr="00626D41" w:rsidTr="002108B4">
        <w:trPr>
          <w:trHeight w:val="143"/>
        </w:trPr>
        <w:tc>
          <w:tcPr>
            <w:tcW w:w="1576" w:type="dxa"/>
            <w:vMerge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96" w:type="dxa"/>
            <w:gridSpan w:val="2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Diarrhoea</w:t>
            </w:r>
            <w:proofErr w:type="spellEnd"/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3 (4.5%)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 (1.7%)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46 (13.5%)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0.001</w:t>
            </w:r>
          </w:p>
        </w:tc>
      </w:tr>
      <w:tr w:rsidR="00626D41" w:rsidRPr="00626D41" w:rsidTr="002108B4">
        <w:trPr>
          <w:trHeight w:val="143"/>
        </w:trPr>
        <w:tc>
          <w:tcPr>
            <w:tcW w:w="1576" w:type="dxa"/>
            <w:vMerge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96" w:type="dxa"/>
            <w:gridSpan w:val="2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Vomiting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0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 (1.7%)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7 (1.5%)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0.89</w:t>
            </w:r>
          </w:p>
        </w:tc>
      </w:tr>
      <w:tr w:rsidR="00626D41" w:rsidRPr="00626D41" w:rsidTr="002108B4">
        <w:trPr>
          <w:trHeight w:val="143"/>
        </w:trPr>
        <w:tc>
          <w:tcPr>
            <w:tcW w:w="1576" w:type="dxa"/>
            <w:vMerge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96" w:type="dxa"/>
            <w:gridSpan w:val="2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Aspiration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0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0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 (0.3%)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0.99</w:t>
            </w:r>
          </w:p>
        </w:tc>
      </w:tr>
      <w:tr w:rsidR="00626D41" w:rsidRPr="00626D41" w:rsidTr="002108B4">
        <w:trPr>
          <w:trHeight w:val="143"/>
        </w:trPr>
        <w:tc>
          <w:tcPr>
            <w:tcW w:w="1576" w:type="dxa"/>
            <w:vMerge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896" w:type="dxa"/>
            <w:gridSpan w:val="2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Mesenteric ischemia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 (1.5%)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 (2.5%)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5 (1.5%)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0.74</w:t>
            </w:r>
          </w:p>
        </w:tc>
      </w:tr>
      <w:tr w:rsidR="00626D41" w:rsidRPr="00626D41" w:rsidTr="002108B4">
        <w:trPr>
          <w:trHeight w:val="143"/>
        </w:trPr>
        <w:tc>
          <w:tcPr>
            <w:tcW w:w="10031" w:type="dxa"/>
            <w:gridSpan w:val="7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Outcomes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Mechanical ventilation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82 (86.3%)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140 (89.2%)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361 (93.3%)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0.06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Days on mechanical ventilation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4.1±2.2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5.7±2.6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18.6±17.3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&lt;0.001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Vasoactive drug support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58 (59.2%)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108 (68.8%)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308 (79.4%)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&lt;0.001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RRT needs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7 (7.1%)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18 (11.5%)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72 (18.5%)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0.007</w:t>
            </w:r>
          </w:p>
        </w:tc>
      </w:tr>
      <w:tr w:rsidR="00626D41" w:rsidRPr="00626D41" w:rsidTr="002108B4">
        <w:trPr>
          <w:trHeight w:val="129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Respiratory tract infection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30 (30.6%)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41 (26.1%)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95 (24.4%)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0.45</w:t>
            </w:r>
          </w:p>
        </w:tc>
      </w:tr>
      <w:tr w:rsidR="00626D41" w:rsidRPr="00626D41" w:rsidTr="002108B4">
        <w:trPr>
          <w:trHeight w:val="143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Catheter-related infections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12 (12.2%)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13 (8.3%)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17 (4.6%)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ind w:left="708" w:hanging="70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0.02</w:t>
            </w:r>
          </w:p>
        </w:tc>
      </w:tr>
      <w:tr w:rsidR="00626D41" w:rsidRPr="00626D41" w:rsidTr="002108B4">
        <w:trPr>
          <w:trHeight w:val="200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Mean ICU stay (days)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6 (5-8)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8 (7-10)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19 (13-28)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&lt;0.001</w:t>
            </w:r>
          </w:p>
        </w:tc>
      </w:tr>
      <w:tr w:rsidR="00626D41" w:rsidRPr="00626D41" w:rsidTr="002108B4">
        <w:trPr>
          <w:trHeight w:val="228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Mean hospital stay (days)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16 (10-26)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19 (11-30)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35 (22-57)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lang w:val="en-US" w:eastAsia="es-ES_tradnl"/>
              </w:rPr>
              <w:t>&lt;0.001</w:t>
            </w:r>
          </w:p>
        </w:tc>
      </w:tr>
      <w:tr w:rsidR="00626D41" w:rsidRPr="00626D41" w:rsidTr="002108B4">
        <w:trPr>
          <w:trHeight w:val="200"/>
        </w:trPr>
        <w:tc>
          <w:tcPr>
            <w:tcW w:w="3472" w:type="dxa"/>
            <w:gridSpan w:val="3"/>
          </w:tcPr>
          <w:p w:rsidR="00626D41" w:rsidRPr="00626D41" w:rsidRDefault="00626D41" w:rsidP="00626D41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28-day Mortality</w:t>
            </w:r>
          </w:p>
        </w:tc>
        <w:tc>
          <w:tcPr>
            <w:tcW w:w="1735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19 (20%)</w:t>
            </w:r>
          </w:p>
        </w:tc>
        <w:tc>
          <w:tcPr>
            <w:tcW w:w="1891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49 (31.2%)</w:t>
            </w:r>
          </w:p>
        </w:tc>
        <w:tc>
          <w:tcPr>
            <w:tcW w:w="2050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96 (24.8%)</w:t>
            </w:r>
          </w:p>
        </w:tc>
        <w:tc>
          <w:tcPr>
            <w:tcW w:w="883" w:type="dxa"/>
          </w:tcPr>
          <w:p w:rsidR="00626D41" w:rsidRPr="00626D41" w:rsidRDefault="00626D41" w:rsidP="00626D41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</w:pPr>
            <w:r w:rsidRPr="00626D4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 w:eastAsia="es-ES_tradnl"/>
              </w:rPr>
              <w:t>0.12</w:t>
            </w:r>
          </w:p>
        </w:tc>
      </w:tr>
    </w:tbl>
    <w:p w:rsidR="006F16B7" w:rsidRPr="00F27484" w:rsidRDefault="00626D41" w:rsidP="00F27484">
      <w:pPr>
        <w:spacing w:before="240"/>
        <w:jc w:val="both"/>
        <w:rPr>
          <w:rFonts w:ascii="Times New Roman" w:eastAsia="Calibri" w:hAnsi="Times New Roman" w:cs="Times New Roman"/>
          <w:sz w:val="16"/>
          <w:szCs w:val="16"/>
          <w:lang w:val="en-US" w:eastAsia="es-ES_tradnl"/>
        </w:rPr>
      </w:pPr>
      <w:r w:rsidRPr="00626D41">
        <w:rPr>
          <w:rFonts w:ascii="Times New Roman" w:eastAsia="Calibri" w:hAnsi="Times New Roman" w:cs="Times New Roman"/>
          <w:sz w:val="16"/>
          <w:szCs w:val="16"/>
          <w:lang w:val="en-US" w:eastAsia="es-ES_tradnl"/>
        </w:rPr>
        <w:t xml:space="preserve">BMI: Body Mass Index; COPD: Chronic Obstructive Pulmonary Disease; </w:t>
      </w:r>
      <w:r w:rsidRPr="00626D41">
        <w:rPr>
          <w:rFonts w:ascii="Times New Roman" w:eastAsia="Calibri" w:hAnsi="Times New Roman" w:cs="Times New Roman"/>
          <w:color w:val="000000"/>
          <w:sz w:val="16"/>
          <w:szCs w:val="16"/>
          <w:lang w:val="en-US" w:eastAsia="es-ES_tradnl"/>
        </w:rPr>
        <w:t>AMI: Acute Myocardial Infarction</w:t>
      </w:r>
      <w:r w:rsidRPr="00626D41">
        <w:rPr>
          <w:rFonts w:ascii="Times New Roman" w:eastAsia="Calibri" w:hAnsi="Times New Roman" w:cs="Times New Roman"/>
          <w:sz w:val="16"/>
          <w:szCs w:val="16"/>
          <w:lang w:val="en-US" w:eastAsia="es-ES_tradnl"/>
        </w:rPr>
        <w:t xml:space="preserve">; APACHE II: Acute Physiology and Chronic Health Disease Classification System II; SAPS: Simplified Acute Physiology Score; SOFA: Sequential Organ Failure Assessment; SGA: Subjective Global Assessment; mNUTRIC: modified Nutrition Risk in the Critically Ill; EN: Enteral Nutrition; PN: Parenteral Nutrition; ↑ GRV: Elevated Gastric Residual Volume (&gt;500mL); RRT: Renal Replacement Therapy; ICU: </w:t>
      </w:r>
      <w:r w:rsidRPr="00626D41">
        <w:rPr>
          <w:rFonts w:ascii="Times New Roman" w:eastAsia="Calibri" w:hAnsi="Times New Roman" w:cs="Times New Roman"/>
          <w:sz w:val="16"/>
          <w:szCs w:val="16"/>
          <w:lang w:val="en-US" w:eastAsia="es-ES_tradnl"/>
        </w:rPr>
        <w:lastRenderedPageBreak/>
        <w:t xml:space="preserve">Intensive Care Unit. Results are expressed as mean ± standard deviation, percentage or median and interquartile range (first and third quartile). </w:t>
      </w:r>
      <w:proofErr w:type="spellStart"/>
      <w:r w:rsidRPr="00626D41">
        <w:rPr>
          <w:rFonts w:ascii="Times New Roman" w:eastAsia="Calibri" w:hAnsi="Times New Roman" w:cs="Times New Roman"/>
          <w:sz w:val="16"/>
          <w:szCs w:val="16"/>
          <w:vertAlign w:val="superscript"/>
          <w:lang w:val="en-US" w:eastAsia="es-ES_tradnl"/>
        </w:rPr>
        <w:t>a</w:t>
      </w:r>
      <w:proofErr w:type="spellEnd"/>
      <w:r w:rsidRPr="00626D41">
        <w:rPr>
          <w:rFonts w:ascii="Times New Roman" w:eastAsia="Calibri" w:hAnsi="Times New Roman" w:cs="Times New Roman"/>
          <w:sz w:val="16"/>
          <w:szCs w:val="16"/>
          <w:lang w:val="en-US" w:eastAsia="es-ES_tradnl"/>
        </w:rPr>
        <w:t xml:space="preserve"> During the administration or at least the first 14 days of nutritional support. </w:t>
      </w:r>
      <w:bookmarkStart w:id="0" w:name="_GoBack"/>
      <w:bookmarkEnd w:id="0"/>
    </w:p>
    <w:sectPr w:rsidR="006F16B7" w:rsidRPr="00F27484" w:rsidSect="003C4E4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41"/>
    <w:rsid w:val="003C4E43"/>
    <w:rsid w:val="00626D41"/>
    <w:rsid w:val="008747EB"/>
    <w:rsid w:val="00DF5BFD"/>
    <w:rsid w:val="00F2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95133D"/>
  <w14:defaultImageDpi w14:val="32767"/>
  <w15:chartTrackingRefBased/>
  <w15:docId w15:val="{77D294A4-CE9B-0440-8A4A-211B47AC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7">
    <w:name w:val="Tabla con cuadrícula7"/>
    <w:basedOn w:val="Tablanormal"/>
    <w:next w:val="Tablaconcuadrcula"/>
    <w:uiPriority w:val="59"/>
    <w:unhideWhenUsed/>
    <w:rsid w:val="00626D41"/>
    <w:rPr>
      <w:rFonts w:eastAsia="Calibri"/>
      <w:sz w:val="22"/>
      <w:szCs w:val="22"/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626D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518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Lopez Delgado</dc:creator>
  <cp:keywords/>
  <dc:description/>
  <cp:lastModifiedBy>Juan Carlos Lopez Delgado</cp:lastModifiedBy>
  <cp:revision>4</cp:revision>
  <dcterms:created xsi:type="dcterms:W3CDTF">2021-05-18T17:16:00Z</dcterms:created>
  <dcterms:modified xsi:type="dcterms:W3CDTF">2021-05-23T17:29:00Z</dcterms:modified>
</cp:coreProperties>
</file>