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0FE63A" w14:textId="77777777" w:rsidR="00F967BB" w:rsidRPr="00C71727" w:rsidRDefault="00000000">
      <w:pPr>
        <w:jc w:val="center"/>
      </w:pPr>
      <w:bookmarkStart w:id="0" w:name="_Hlk102973353"/>
      <w:r w:rsidRPr="00C71727">
        <w:t>Supplementary Information for</w:t>
      </w:r>
    </w:p>
    <w:p w14:paraId="35000DE5" w14:textId="77777777" w:rsidR="00F967BB" w:rsidRPr="00C71727" w:rsidRDefault="00000000">
      <w:pPr>
        <w:jc w:val="center"/>
      </w:pPr>
      <w:r w:rsidRPr="00C71727">
        <w:rPr>
          <w:b/>
        </w:rPr>
        <w:t>Intermediates</w:t>
      </w:r>
      <w:r w:rsidRPr="00C71727">
        <w:rPr>
          <w:rFonts w:hint="eastAsia"/>
          <w:b/>
        </w:rPr>
        <w:t xml:space="preserve"> </w:t>
      </w:r>
      <w:r w:rsidRPr="00C71727">
        <w:rPr>
          <w:b/>
        </w:rPr>
        <w:t>of Forming Transition</w:t>
      </w:r>
      <w:r w:rsidRPr="00C71727">
        <w:rPr>
          <w:rFonts w:hint="eastAsia"/>
          <w:b/>
        </w:rPr>
        <w:t xml:space="preserve"> </w:t>
      </w:r>
      <w:r w:rsidRPr="00C71727">
        <w:rPr>
          <w:b/>
        </w:rPr>
        <w:t>Metal Dichalcogenide</w:t>
      </w:r>
      <w:r w:rsidRPr="00C71727">
        <w:rPr>
          <w:rFonts w:hint="eastAsia"/>
        </w:rPr>
        <w:t xml:space="preserve"> </w:t>
      </w:r>
      <w:r w:rsidRPr="00C71727">
        <w:rPr>
          <w:b/>
        </w:rPr>
        <w:t>Heterostructures Revealed by</w:t>
      </w:r>
      <w:r w:rsidRPr="00C71727">
        <w:rPr>
          <w:rFonts w:hint="eastAsia"/>
          <w:b/>
        </w:rPr>
        <w:t xml:space="preserve"> </w:t>
      </w:r>
      <w:r w:rsidRPr="00C71727">
        <w:rPr>
          <w:b/>
        </w:rPr>
        <w:t>Machine Learning Simulations</w:t>
      </w:r>
    </w:p>
    <w:p w14:paraId="5E21E753" w14:textId="77777777" w:rsidR="00F967BB" w:rsidRPr="00C71727" w:rsidRDefault="00000000">
      <w:pPr>
        <w:jc w:val="center"/>
        <w:rPr>
          <w:sz w:val="22"/>
          <w:szCs w:val="22"/>
        </w:rPr>
      </w:pPr>
      <w:r w:rsidRPr="00C71727">
        <w:rPr>
          <w:sz w:val="22"/>
          <w:szCs w:val="22"/>
        </w:rPr>
        <w:t>Luneng Zhao, Hongsheng Liu, Yuan Chang, Xiaoran Shi, Junfeng Gao, Jijun Zhao, and Feng Ding</w:t>
      </w:r>
    </w:p>
    <w:p w14:paraId="55B452E3" w14:textId="77777777" w:rsidR="00F967BB" w:rsidRPr="00C71727" w:rsidRDefault="00000000">
      <w:pPr>
        <w:jc w:val="center"/>
        <w:rPr>
          <w:rStyle w:val="af3"/>
          <w:i/>
          <w:sz w:val="22"/>
          <w:szCs w:val="22"/>
        </w:rPr>
      </w:pPr>
      <w:r w:rsidRPr="00C71727">
        <w:rPr>
          <w:sz w:val="22"/>
          <w:szCs w:val="22"/>
        </w:rPr>
        <w:t>Corresponding authors: Junfeng Gao, jfgao@dlut.edu.cn and Feng Ding, gniding@gmail.com</w:t>
      </w:r>
      <w:bookmarkEnd w:id="0"/>
    </w:p>
    <w:p w14:paraId="01DCB259" w14:textId="77777777" w:rsidR="00F967BB" w:rsidRPr="00C71727" w:rsidRDefault="00F967BB"/>
    <w:p w14:paraId="0563B579" w14:textId="2164F49F" w:rsidR="00F967BB" w:rsidRPr="00C71727" w:rsidRDefault="00000000">
      <w:r w:rsidRPr="00C71727">
        <w:t>The supplementary materials provide further details to substantiate the findings presented in the main manuscript. We include assessments of the precision of the machine learning potential (MLP) developed for our simulations, extended discussions on the unique intermediate structures identified during transition metal dichalcogenide (TMD) growth, and additional simulation results exploring the kinetics of metal atom embedding and exchange.</w:t>
      </w:r>
      <w:r w:rsidRPr="00C71727">
        <w:rPr>
          <w:rFonts w:hint="eastAsia"/>
        </w:rPr>
        <w:t xml:space="preserve"> </w:t>
      </w:r>
      <w:r w:rsidRPr="00C71727">
        <w:t>Lastly, we discuss potential applications of the SMMS intermediate structure in electronic devices.</w:t>
      </w:r>
    </w:p>
    <w:p w14:paraId="73C381D8" w14:textId="77777777" w:rsidR="00F967BB" w:rsidRPr="00C71727" w:rsidRDefault="00000000">
      <w:pPr>
        <w:pStyle w:val="2"/>
        <w:numPr>
          <w:ilvl w:val="0"/>
          <w:numId w:val="1"/>
        </w:numPr>
      </w:pPr>
      <w:r w:rsidRPr="00C71727">
        <w:t>Validation of MLP Accuracy</w:t>
      </w:r>
    </w:p>
    <w:p w14:paraId="2E5921E6" w14:textId="77777777" w:rsidR="00F967BB" w:rsidRPr="00C71727" w:rsidRDefault="00F967BB"/>
    <w:p w14:paraId="2C7633B9" w14:textId="77777777" w:rsidR="00F967BB" w:rsidRPr="00C71727" w:rsidRDefault="00000000">
      <w:pPr>
        <w:jc w:val="center"/>
      </w:pPr>
      <w:r w:rsidRPr="00C71727">
        <w:rPr>
          <w:noProof/>
        </w:rPr>
        <w:drawing>
          <wp:inline distT="0" distB="0" distL="114300" distR="114300" wp14:anchorId="1596C05E" wp14:editId="535E8281">
            <wp:extent cx="4806315" cy="2417445"/>
            <wp:effectExtent l="0" t="0" r="6985" b="8255"/>
            <wp:docPr id="7" name="图片 7"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片1"/>
                    <pic:cNvPicPr>
                      <a:picLocks noChangeAspect="1"/>
                    </pic:cNvPicPr>
                  </pic:nvPicPr>
                  <pic:blipFill>
                    <a:blip r:embed="rId8"/>
                    <a:stretch>
                      <a:fillRect/>
                    </a:stretch>
                  </pic:blipFill>
                  <pic:spPr>
                    <a:xfrm>
                      <a:off x="0" y="0"/>
                      <a:ext cx="4806315" cy="2417445"/>
                    </a:xfrm>
                    <a:prstGeom prst="rect">
                      <a:avLst/>
                    </a:prstGeom>
                  </pic:spPr>
                </pic:pic>
              </a:graphicData>
            </a:graphic>
          </wp:inline>
        </w:drawing>
      </w:r>
    </w:p>
    <w:p w14:paraId="4DAAF867" w14:textId="77777777" w:rsidR="00F967BB" w:rsidRPr="00C71727" w:rsidRDefault="00F967BB">
      <w:pPr>
        <w:rPr>
          <w:b/>
          <w:bCs/>
        </w:rPr>
      </w:pPr>
    </w:p>
    <w:p w14:paraId="33086A1A" w14:textId="0405B0A1" w:rsidR="00F967BB" w:rsidRPr="00C71727" w:rsidRDefault="00000000">
      <w:bookmarkStart w:id="1" w:name="_Ref177996082"/>
      <w:r w:rsidRPr="00C71727">
        <w:rPr>
          <w:rFonts w:hint="eastAsia"/>
          <w:b/>
          <w:bCs/>
        </w:rPr>
        <w:t>F</w:t>
      </w:r>
      <w:r w:rsidR="002C4264">
        <w:rPr>
          <w:rFonts w:hint="eastAsia"/>
          <w:b/>
          <w:bCs/>
        </w:rPr>
        <w:t>IG</w:t>
      </w:r>
      <w:r w:rsidRPr="00C71727">
        <w:rPr>
          <w:rFonts w:hint="eastAsia"/>
          <w:b/>
          <w:bCs/>
        </w:rPr>
        <w:t>. S</w:t>
      </w:r>
      <w:r w:rsidRPr="00C71727">
        <w:rPr>
          <w:b/>
          <w:bCs/>
        </w:rPr>
        <w:fldChar w:fldCharType="begin"/>
      </w:r>
      <w:r w:rsidRPr="00C71727">
        <w:rPr>
          <w:b/>
          <w:bCs/>
        </w:rPr>
        <w:instrText xml:space="preserve"> SEQ Fig._S \* ARABIC </w:instrText>
      </w:r>
      <w:r w:rsidRPr="00C71727">
        <w:rPr>
          <w:b/>
          <w:bCs/>
        </w:rPr>
        <w:fldChar w:fldCharType="separate"/>
      </w:r>
      <w:r w:rsidR="00E67E0E">
        <w:rPr>
          <w:b/>
          <w:bCs/>
          <w:noProof/>
        </w:rPr>
        <w:t>1</w:t>
      </w:r>
      <w:r w:rsidRPr="00C71727">
        <w:rPr>
          <w:b/>
          <w:bCs/>
        </w:rPr>
        <w:fldChar w:fldCharType="end"/>
      </w:r>
      <w:bookmarkEnd w:id="1"/>
      <w:r w:rsidR="00B53E74">
        <w:rPr>
          <w:rFonts w:hint="eastAsia"/>
          <w:b/>
          <w:bCs/>
        </w:rPr>
        <w:t xml:space="preserve">: </w:t>
      </w:r>
      <w:r w:rsidRPr="00C71727">
        <w:t>Comparison of MLP predictions with DFT</w:t>
      </w:r>
      <w:r w:rsidRPr="00C71727">
        <w:rPr>
          <w:rFonts w:hint="eastAsia"/>
        </w:rPr>
        <w:t xml:space="preserve"> </w:t>
      </w:r>
      <w:r w:rsidRPr="00C71727">
        <w:t>calculations. (a) Correlation between MLP-predicted energies</w:t>
      </w:r>
      <w:r w:rsidRPr="00C71727">
        <w:rPr>
          <w:rFonts w:hint="eastAsia"/>
        </w:rPr>
        <w:t xml:space="preserve"> </w:t>
      </w:r>
      <w:r w:rsidRPr="00C71727">
        <w:t>and DFT-calculated energies per atom. The root mean square error (RMSE) is 1</w:t>
      </w:r>
      <w:r w:rsidRPr="00C71727">
        <w:rPr>
          <w:rFonts w:hint="eastAsia"/>
        </w:rPr>
        <w:t>0.6</w:t>
      </w:r>
      <w:r w:rsidRPr="00C71727">
        <w:t xml:space="preserve"> meV/atom. (b) Correlation between MLP-predicted forces and DFT-calculated forces. The RMSE is 151 meV/Å. The red dashed lines represent perfect correlation.</w:t>
      </w:r>
    </w:p>
    <w:p w14:paraId="64DB2363" w14:textId="128A0F70" w:rsidR="00F967BB" w:rsidRPr="00C71727" w:rsidRDefault="00000000">
      <w:r w:rsidRPr="00C71727">
        <w:t xml:space="preserve">Our MLP model was developed through an iterative active learning process, encompassing 17 cycles of </w:t>
      </w:r>
      <w:r w:rsidRPr="00C71727">
        <w:lastRenderedPageBreak/>
        <w:t>refinement. The initial training set comprised a diverse collection of MoS</w:t>
      </w:r>
      <w:r w:rsidRPr="00C57FE4">
        <w:rPr>
          <w:vertAlign w:val="subscript"/>
        </w:rPr>
        <w:t>2</w:t>
      </w:r>
      <w:r w:rsidRPr="00C71727">
        <w:t xml:space="preserve"> alloy configurations and metal cluster embeddings, sampled from VASP on-the-fly machine learning molecular dynamics simulations. Throughout the iterations, we continuously enriched the dataset with Monte Carlo generated structures and other relevant configurations. Each iteration involved sampling 100,000 data points, with a 50% probability of including new data to accelerate model optimization. We employed a learning rate of 1e-4 during this process.</w:t>
      </w:r>
    </w:p>
    <w:p w14:paraId="45E972CB" w14:textId="68F741EE" w:rsidR="00F967BB" w:rsidRPr="00C71727" w:rsidRDefault="00000000">
      <w:r w:rsidRPr="00C71727">
        <w:t xml:space="preserve">To rigorously assess the MLP's accuracy and reliability for simulating TMD heterostructure growth, we reserved 10% of the overall dataset as a test set. </w:t>
      </w:r>
      <w:r w:rsidRPr="00C71727">
        <w:fldChar w:fldCharType="begin"/>
      </w:r>
      <w:r w:rsidRPr="00C71727">
        <w:instrText xml:space="preserve"> REF _Ref177996082 \h </w:instrText>
      </w:r>
      <w:r w:rsidR="00C71727" w:rsidRPr="00C71727">
        <w:instrText xml:space="preserve"> \* MERGEFORMAT </w:instrText>
      </w:r>
      <w:r w:rsidRPr="00C71727">
        <w:fldChar w:fldCharType="separate"/>
      </w:r>
      <w:r w:rsidR="00E67E0E" w:rsidRPr="00E67E0E">
        <w:rPr>
          <w:rFonts w:hint="eastAsia"/>
        </w:rPr>
        <w:t>FIG. S</w:t>
      </w:r>
      <w:r w:rsidR="00E67E0E" w:rsidRPr="00E67E0E">
        <w:t>1</w:t>
      </w:r>
      <w:r w:rsidRPr="00C71727">
        <w:fldChar w:fldCharType="end"/>
      </w:r>
      <w:r w:rsidRPr="00C71727">
        <w:t xml:space="preserve"> presents a comparison between MLP predictions and DFT calculations. As shown in </w:t>
      </w:r>
      <w:r w:rsidRPr="00C71727">
        <w:fldChar w:fldCharType="begin"/>
      </w:r>
      <w:r w:rsidRPr="00C71727">
        <w:instrText xml:space="preserve"> REF _Ref177996082 \h </w:instrText>
      </w:r>
      <w:r w:rsidR="00C71727" w:rsidRPr="00C71727">
        <w:instrText xml:space="preserve"> \* MERGEFORMAT </w:instrText>
      </w:r>
      <w:r w:rsidRPr="00C71727">
        <w:fldChar w:fldCharType="separate"/>
      </w:r>
      <w:r w:rsidR="00E67E0E" w:rsidRPr="00E67E0E">
        <w:rPr>
          <w:rFonts w:hint="eastAsia"/>
        </w:rPr>
        <w:t>FIG. S</w:t>
      </w:r>
      <w:r w:rsidR="00E67E0E" w:rsidRPr="00E67E0E">
        <w:t>1</w:t>
      </w:r>
      <w:r w:rsidRPr="00C71727">
        <w:fldChar w:fldCharType="end"/>
      </w:r>
      <w:r w:rsidRPr="00C71727">
        <w:rPr>
          <w:rFonts w:hint="eastAsia"/>
        </w:rPr>
        <w:t>(</w:t>
      </w:r>
      <w:r w:rsidRPr="00C71727">
        <w:t>a</w:t>
      </w:r>
      <w:r w:rsidRPr="00C71727">
        <w:rPr>
          <w:rFonts w:hint="eastAsia"/>
        </w:rPr>
        <w:t>)</w:t>
      </w:r>
      <w:r w:rsidRPr="00C71727">
        <w:t>, our model achieves remarkable accuracy in energy prediction, with a RMSE of 10.6 meV per atom</w:t>
      </w:r>
      <w:r w:rsidRPr="00C71727">
        <w:fldChar w:fldCharType="begin"/>
      </w:r>
      <w:r w:rsidRPr="00C71727">
        <w:instrText xml:space="preserve"> ADDIN ZOTERO_ITEM CSL_CITATION {"citationID":"8LW6Lcp2","properties":{"formattedCitation":"\\uc0\\u160{}[11]","plainCitation":" [11]","noteIndex":0},"citationItems":[{"id":6105,"uris":["http://zotero.org/users/7775255/items/VVE96V6J"],"itemData":{"id":6105,"type":"article-journal","abstract":"Machine learning (ML) approaches enable large-scale atomistic simulations with near-quantum-mechanical accuracy. With the growing availability of these methods, there arises a need for careful validation, particularly for physically agnostic models—that is, for potentials that extract the nature of atomic interactions from reference data. Here, we review the basic principles behind ML potentials and their validation for atomic-scale material modeling. We discuss the best practice in defining error metrics based on numerical performance, as well as physically guided validation. We give specific recommendations that we hope will be useful for the wider community, including those researchers who intend to use ML potentials for materials “off the shelf.”","container-title":"The Journal of Chemical Physics","DOI":"10.1063/5.0139611","ISSN":"0021-9606","issue":"12","journalAbbreviation":"The Journal of Chemical Physics","page":"121501","source":"Silverchair","title":"How to validate machine-learned interatomic potentials","volume":"158","author":[{"family":"Morrow","given":"Joe D."},{"family":"Gardner","given":"John L. A."},{"family":"Deringer","given":"Volker L."}],"issued":{"date-parts":[["2023",3,24]]},"citation-key":"morrowHowValidateMachinelearned2023"}}],"schema":"https://github.com/citation-style-language/schema/raw/master/csl-citation.json"} </w:instrText>
      </w:r>
      <w:r w:rsidRPr="00C71727">
        <w:fldChar w:fldCharType="separate"/>
      </w:r>
      <w:r w:rsidRPr="00C71727">
        <w:rPr>
          <w:kern w:val="0"/>
        </w:rPr>
        <w:t> [1]</w:t>
      </w:r>
      <w:r w:rsidRPr="00C71727">
        <w:fldChar w:fldCharType="end"/>
      </w:r>
      <w:r w:rsidRPr="00C71727">
        <w:t xml:space="preserve">. </w:t>
      </w:r>
      <w:r w:rsidRPr="00C71727">
        <w:fldChar w:fldCharType="begin"/>
      </w:r>
      <w:r w:rsidRPr="00C71727">
        <w:instrText xml:space="preserve"> REF _Ref177996082 \h </w:instrText>
      </w:r>
      <w:r w:rsidR="00C71727" w:rsidRPr="00C71727">
        <w:instrText xml:space="preserve"> \* MERGEFORMAT </w:instrText>
      </w:r>
      <w:r w:rsidRPr="00C71727">
        <w:fldChar w:fldCharType="separate"/>
      </w:r>
      <w:r w:rsidR="00E67E0E" w:rsidRPr="00E67E0E">
        <w:rPr>
          <w:rFonts w:hint="eastAsia"/>
        </w:rPr>
        <w:t>FIG. S</w:t>
      </w:r>
      <w:r w:rsidR="00E67E0E" w:rsidRPr="00E67E0E">
        <w:t>1</w:t>
      </w:r>
      <w:r w:rsidRPr="00C71727">
        <w:fldChar w:fldCharType="end"/>
      </w:r>
      <w:r w:rsidRPr="00C71727">
        <w:rPr>
          <w:rFonts w:hint="eastAsia"/>
        </w:rPr>
        <w:t>(</w:t>
      </w:r>
      <w:r w:rsidRPr="00C71727">
        <w:t>b</w:t>
      </w:r>
      <w:r w:rsidRPr="00C71727">
        <w:rPr>
          <w:rFonts w:hint="eastAsia"/>
        </w:rPr>
        <w:t>)</w:t>
      </w:r>
      <w:r w:rsidRPr="00C71727">
        <w:t xml:space="preserve"> further demonstrates the MLP's high precision in predicting atomic forces, </w:t>
      </w:r>
      <w:r w:rsidR="00AE1C3B">
        <w:rPr>
          <w:rFonts w:hint="eastAsia"/>
        </w:rPr>
        <w:t xml:space="preserve">with </w:t>
      </w:r>
      <w:r w:rsidRPr="00C71727">
        <w:t xml:space="preserve">a RMSE of 151 meV/Å. These outstanding results not only validate the model's accuracy but also establish a solid foundation for subsequent </w:t>
      </w:r>
      <w:r w:rsidR="00F95DA4">
        <w:rPr>
          <w:rFonts w:hint="eastAsia"/>
        </w:rPr>
        <w:t>MD</w:t>
      </w:r>
      <w:r w:rsidRPr="00C71727">
        <w:t xml:space="preserve"> simulations. Notably, our MLP outperforms several existing machine learning force fields in key aspects, providing a powerful tool for exploring the intricacies of TMD heterostructure growth mechanisms.</w:t>
      </w:r>
    </w:p>
    <w:p w14:paraId="27E5A9D1" w14:textId="77777777" w:rsidR="00F967BB" w:rsidRPr="00C71727" w:rsidRDefault="00F967BB"/>
    <w:p w14:paraId="30B08920" w14:textId="77777777" w:rsidR="00F967BB" w:rsidRPr="00C71727" w:rsidRDefault="00000000">
      <w:pPr>
        <w:pStyle w:val="ae"/>
        <w:widowControl/>
        <w:jc w:val="center"/>
      </w:pPr>
      <w:r w:rsidRPr="00C71727">
        <w:rPr>
          <w:rFonts w:hint="eastAsia"/>
          <w:noProof/>
        </w:rPr>
        <w:drawing>
          <wp:inline distT="0" distB="0" distL="114300" distR="114300" wp14:anchorId="6BC17D15" wp14:editId="78E86FE2">
            <wp:extent cx="4806315" cy="1974215"/>
            <wp:effectExtent l="0" t="0" r="6985" b="6985"/>
            <wp:docPr id="13" name="图片 13" descr="图片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图片11"/>
                    <pic:cNvPicPr>
                      <a:picLocks noChangeAspect="1"/>
                    </pic:cNvPicPr>
                  </pic:nvPicPr>
                  <pic:blipFill>
                    <a:blip r:embed="rId9"/>
                    <a:stretch>
                      <a:fillRect/>
                    </a:stretch>
                  </pic:blipFill>
                  <pic:spPr>
                    <a:xfrm>
                      <a:off x="0" y="0"/>
                      <a:ext cx="4806315" cy="1974215"/>
                    </a:xfrm>
                    <a:prstGeom prst="rect">
                      <a:avLst/>
                    </a:prstGeom>
                  </pic:spPr>
                </pic:pic>
              </a:graphicData>
            </a:graphic>
          </wp:inline>
        </w:drawing>
      </w:r>
    </w:p>
    <w:p w14:paraId="7F894E10" w14:textId="77777777" w:rsidR="00F967BB" w:rsidRPr="00C71727" w:rsidRDefault="00F967BB">
      <w:pPr>
        <w:jc w:val="center"/>
      </w:pPr>
    </w:p>
    <w:p w14:paraId="5184B9EB" w14:textId="791ABCF0" w:rsidR="00F967BB" w:rsidRPr="00C71727" w:rsidRDefault="00000000">
      <w:bookmarkStart w:id="2" w:name="_Ref177996111"/>
      <w:r w:rsidRPr="00C71727">
        <w:rPr>
          <w:rFonts w:hint="eastAsia"/>
          <w:b/>
          <w:bCs/>
        </w:rPr>
        <w:t>F</w:t>
      </w:r>
      <w:r w:rsidR="00A0337B">
        <w:rPr>
          <w:rFonts w:hint="eastAsia"/>
          <w:b/>
          <w:bCs/>
        </w:rPr>
        <w:t>IG</w:t>
      </w:r>
      <w:r w:rsidRPr="00C71727">
        <w:rPr>
          <w:rFonts w:hint="eastAsia"/>
          <w:b/>
          <w:bCs/>
        </w:rPr>
        <w:t>. S</w:t>
      </w:r>
      <w:r w:rsidRPr="00C71727">
        <w:rPr>
          <w:b/>
          <w:bCs/>
        </w:rPr>
        <w:fldChar w:fldCharType="begin"/>
      </w:r>
      <w:r w:rsidRPr="00C71727">
        <w:rPr>
          <w:b/>
          <w:bCs/>
        </w:rPr>
        <w:instrText xml:space="preserve"> SEQ Fig._S \* ARABIC </w:instrText>
      </w:r>
      <w:r w:rsidRPr="00C71727">
        <w:rPr>
          <w:b/>
          <w:bCs/>
        </w:rPr>
        <w:fldChar w:fldCharType="separate"/>
      </w:r>
      <w:r w:rsidR="00E67E0E">
        <w:rPr>
          <w:b/>
          <w:bCs/>
          <w:noProof/>
        </w:rPr>
        <w:t>2</w:t>
      </w:r>
      <w:r w:rsidRPr="00C71727">
        <w:rPr>
          <w:b/>
          <w:bCs/>
        </w:rPr>
        <w:fldChar w:fldCharType="end"/>
      </w:r>
      <w:bookmarkEnd w:id="2"/>
      <w:r w:rsidR="00A0337B">
        <w:rPr>
          <w:rFonts w:hint="eastAsia"/>
          <w:b/>
          <w:bCs/>
        </w:rPr>
        <w:t>:</w:t>
      </w:r>
      <w:r w:rsidRPr="00C71727">
        <w:rPr>
          <w:rFonts w:hint="eastAsia"/>
          <w:b/>
          <w:bCs/>
        </w:rPr>
        <w:t xml:space="preserve"> </w:t>
      </w:r>
      <w:r w:rsidRPr="00C71727">
        <w:t>Formation of ordered TMD layers through annealing simulation. (a) Snapshots depicting the evolution from an initial random mixture of Mo, W, and S atoms (left, ratio 1:1:4) to ordered TMD layers after annealing</w:t>
      </w:r>
      <w:r w:rsidRPr="00C71727">
        <w:rPr>
          <w:rFonts w:hint="eastAsia"/>
        </w:rPr>
        <w:t>.</w:t>
      </w:r>
      <w:r w:rsidRPr="00C71727">
        <w:t xml:space="preserve"> (b) Time evolution of system energy (E, blue line) and temperature (T, orange line) during the 2 ns annealing process, illustrating the formation of stable TMD structures. Note: The data has been smoothed using a low-pass filter for clarity.</w:t>
      </w:r>
      <w:r w:rsidRPr="00C71727">
        <w:rPr>
          <w:rFonts w:hint="eastAsia"/>
        </w:rPr>
        <w:t xml:space="preserve"> </w:t>
      </w:r>
    </w:p>
    <w:p w14:paraId="6BDD3AD2" w14:textId="77777777" w:rsidR="00F967BB" w:rsidRPr="00C71727" w:rsidRDefault="00F967BB"/>
    <w:p w14:paraId="21266AF3" w14:textId="56C8EFB8" w:rsidR="00F967BB" w:rsidRPr="00C71727" w:rsidRDefault="00000000">
      <w:r w:rsidRPr="00C71727">
        <w:t xml:space="preserve">To validate the MLP's capability in describing growth processes, we conducted simulated annealing experiments. </w:t>
      </w:r>
      <w:r w:rsidRPr="00C71727">
        <w:fldChar w:fldCharType="begin"/>
      </w:r>
      <w:r w:rsidRPr="00C71727">
        <w:instrText xml:space="preserve"> REF _Ref177996111 \h </w:instrText>
      </w:r>
      <w:r w:rsidR="00C71727" w:rsidRPr="00C71727">
        <w:instrText xml:space="preserve"> \* MERGEFORMAT </w:instrText>
      </w:r>
      <w:r w:rsidRPr="00C71727">
        <w:fldChar w:fldCharType="separate"/>
      </w:r>
      <w:r w:rsidR="00E67E0E" w:rsidRPr="00E67E0E">
        <w:rPr>
          <w:rFonts w:hint="eastAsia"/>
        </w:rPr>
        <w:t>FIG. S</w:t>
      </w:r>
      <w:r w:rsidR="00E67E0E" w:rsidRPr="00E67E0E">
        <w:t>2</w:t>
      </w:r>
      <w:r w:rsidRPr="00C71727">
        <w:fldChar w:fldCharType="end"/>
      </w:r>
      <w:r w:rsidRPr="00C71727">
        <w:t xml:space="preserve"> illustrates the results of these simulations. As shown in </w:t>
      </w:r>
      <w:r w:rsidRPr="00C71727">
        <w:fldChar w:fldCharType="begin"/>
      </w:r>
      <w:r w:rsidRPr="00C71727">
        <w:instrText xml:space="preserve"> REF _Ref177996111 \h </w:instrText>
      </w:r>
      <w:r w:rsidR="00C71727" w:rsidRPr="00C71727">
        <w:instrText xml:space="preserve"> \* MERGEFORMAT </w:instrText>
      </w:r>
      <w:r w:rsidRPr="00C71727">
        <w:fldChar w:fldCharType="separate"/>
      </w:r>
      <w:r w:rsidR="00E67E0E" w:rsidRPr="00E67E0E">
        <w:rPr>
          <w:rFonts w:hint="eastAsia"/>
        </w:rPr>
        <w:t>FIG. S</w:t>
      </w:r>
      <w:r w:rsidR="00E67E0E" w:rsidRPr="00E67E0E">
        <w:t>2</w:t>
      </w:r>
      <w:r w:rsidRPr="00C71727">
        <w:fldChar w:fldCharType="end"/>
      </w:r>
      <w:r w:rsidRPr="00C71727">
        <w:rPr>
          <w:rFonts w:hint="eastAsia"/>
        </w:rPr>
        <w:t>(</w:t>
      </w:r>
      <w:r w:rsidRPr="00C71727">
        <w:t>a</w:t>
      </w:r>
      <w:r w:rsidRPr="00C71727">
        <w:rPr>
          <w:rFonts w:hint="eastAsia"/>
        </w:rPr>
        <w:t>)</w:t>
      </w:r>
      <w:r w:rsidRPr="00C71727">
        <w:t>, we started with a random mixture of Mo, W, and S atoms (left image) and observed their evolution into ordered TMD layers after annealing (right images, showing top and side views). This transformation demonstrates the MLP's ability to accurately capture the self-assembly process of TMD structures.</w:t>
      </w:r>
      <w:r w:rsidRPr="00C71727">
        <w:rPr>
          <w:rFonts w:hint="eastAsia"/>
        </w:rPr>
        <w:t xml:space="preserve"> </w:t>
      </w:r>
    </w:p>
    <w:p w14:paraId="59E1AC0A" w14:textId="3A5ECAE6" w:rsidR="00F967BB" w:rsidRPr="00C71727" w:rsidRDefault="00000000">
      <w:r w:rsidRPr="00C71727">
        <w:fldChar w:fldCharType="begin"/>
      </w:r>
      <w:r w:rsidRPr="00C71727">
        <w:instrText xml:space="preserve"> REF _Ref177996111 \h </w:instrText>
      </w:r>
      <w:r w:rsidR="00C71727" w:rsidRPr="00C71727">
        <w:instrText xml:space="preserve"> \* MERGEFORMAT </w:instrText>
      </w:r>
      <w:r w:rsidRPr="00C71727">
        <w:fldChar w:fldCharType="separate"/>
      </w:r>
      <w:r w:rsidR="00E67E0E" w:rsidRPr="00E67E0E">
        <w:rPr>
          <w:rFonts w:hint="eastAsia"/>
        </w:rPr>
        <w:t>FIG. S</w:t>
      </w:r>
      <w:r w:rsidR="00E67E0E" w:rsidRPr="00E67E0E">
        <w:t>2</w:t>
      </w:r>
      <w:r w:rsidRPr="00C71727">
        <w:fldChar w:fldCharType="end"/>
      </w:r>
      <w:r w:rsidRPr="00C71727">
        <w:rPr>
          <w:rFonts w:hint="eastAsia"/>
        </w:rPr>
        <w:t>(</w:t>
      </w:r>
      <w:r w:rsidRPr="00C71727">
        <w:t>b</w:t>
      </w:r>
      <w:r w:rsidRPr="00C71727">
        <w:rPr>
          <w:rFonts w:hint="eastAsia"/>
        </w:rPr>
        <w:t>)</w:t>
      </w:r>
      <w:r w:rsidRPr="00C71727">
        <w:t xml:space="preserve"> presents the evolution of the system energy (E, blue line) and temperature (T, orange line) during the 2 ns annealing process. The decreasing energy trend, coupled with temperature fluctuations, indicates the formation of stable TMD structures. It's worth noting that a low-pass filter was applied to smooth the results, enhancing the clarity of the overall trends.</w:t>
      </w:r>
      <w:r w:rsidRPr="00C71727">
        <w:rPr>
          <w:rFonts w:hint="eastAsia"/>
        </w:rPr>
        <w:t xml:space="preserve"> </w:t>
      </w:r>
      <w:r w:rsidRPr="00C71727">
        <w:t>These annealing simulations validate our MLP's effectiveness in modeling TMD growth</w:t>
      </w:r>
      <w:r w:rsidRPr="00C71727">
        <w:rPr>
          <w:rFonts w:hint="eastAsia"/>
        </w:rPr>
        <w:t>.</w:t>
      </w:r>
    </w:p>
    <w:p w14:paraId="08A62A79" w14:textId="77777777" w:rsidR="00F967BB" w:rsidRPr="00C71727" w:rsidRDefault="00F967BB">
      <w:pPr>
        <w:jc w:val="left"/>
      </w:pPr>
    </w:p>
    <w:p w14:paraId="69B82B10" w14:textId="77777777" w:rsidR="00F967BB" w:rsidRPr="00C71727" w:rsidRDefault="00F967BB"/>
    <w:p w14:paraId="5958ED1D" w14:textId="34CF925E" w:rsidR="00F967BB" w:rsidRPr="0003311C" w:rsidRDefault="0003311C" w:rsidP="0003311C">
      <w:pPr>
        <w:pStyle w:val="2"/>
        <w:numPr>
          <w:ilvl w:val="0"/>
          <w:numId w:val="1"/>
        </w:numPr>
      </w:pPr>
      <w:r w:rsidRPr="0003311C">
        <w:t>Stability Analysis of SMMS Intermediate Structures</w:t>
      </w:r>
    </w:p>
    <w:p w14:paraId="438D4561" w14:textId="77777777" w:rsidR="00F967BB" w:rsidRPr="00C71727" w:rsidRDefault="00F967BB"/>
    <w:p w14:paraId="1DAB7DE5" w14:textId="77777777" w:rsidR="00F967BB" w:rsidRPr="00C71727" w:rsidRDefault="00000000">
      <w:pPr>
        <w:pStyle w:val="ae"/>
        <w:widowControl/>
      </w:pPr>
      <w:r w:rsidRPr="00C71727">
        <w:rPr>
          <w:noProof/>
        </w:rPr>
        <w:drawing>
          <wp:inline distT="0" distB="0" distL="114300" distR="114300" wp14:anchorId="02E6AAC8" wp14:editId="6632686F">
            <wp:extent cx="6390005" cy="2720975"/>
            <wp:effectExtent l="0" t="0" r="10795" b="9525"/>
            <wp:docPr id="9"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descr="IMG_256"/>
                    <pic:cNvPicPr>
                      <a:picLocks noChangeAspect="1"/>
                    </pic:cNvPicPr>
                  </pic:nvPicPr>
                  <pic:blipFill>
                    <a:blip r:embed="rId10"/>
                    <a:stretch>
                      <a:fillRect/>
                    </a:stretch>
                  </pic:blipFill>
                  <pic:spPr>
                    <a:xfrm>
                      <a:off x="0" y="0"/>
                      <a:ext cx="6390005" cy="2720975"/>
                    </a:xfrm>
                    <a:prstGeom prst="rect">
                      <a:avLst/>
                    </a:prstGeom>
                    <a:noFill/>
                    <a:ln w="9525">
                      <a:noFill/>
                    </a:ln>
                  </pic:spPr>
                </pic:pic>
              </a:graphicData>
            </a:graphic>
          </wp:inline>
        </w:drawing>
      </w:r>
    </w:p>
    <w:p w14:paraId="2319A442" w14:textId="77777777" w:rsidR="00F967BB" w:rsidRPr="00C71727" w:rsidRDefault="00F967BB"/>
    <w:p w14:paraId="29BF2A8E" w14:textId="3887F855" w:rsidR="00F967BB" w:rsidRPr="00C71727" w:rsidRDefault="00000000">
      <w:bookmarkStart w:id="3" w:name="_Ref177995930"/>
      <w:r w:rsidRPr="00C71727">
        <w:rPr>
          <w:rFonts w:hint="eastAsia"/>
          <w:b/>
          <w:bCs/>
        </w:rPr>
        <w:t>F</w:t>
      </w:r>
      <w:r w:rsidR="00423AF3">
        <w:rPr>
          <w:rFonts w:hint="eastAsia"/>
          <w:b/>
          <w:bCs/>
        </w:rPr>
        <w:t>IG</w:t>
      </w:r>
      <w:r w:rsidRPr="00C71727">
        <w:rPr>
          <w:rFonts w:hint="eastAsia"/>
          <w:b/>
          <w:bCs/>
        </w:rPr>
        <w:t xml:space="preserve"> S</w:t>
      </w:r>
      <w:r w:rsidRPr="00C71727">
        <w:rPr>
          <w:b/>
          <w:bCs/>
        </w:rPr>
        <w:fldChar w:fldCharType="begin"/>
      </w:r>
      <w:r w:rsidRPr="00C71727">
        <w:rPr>
          <w:b/>
          <w:bCs/>
        </w:rPr>
        <w:instrText xml:space="preserve"> SEQ Fig._S \* ARABIC </w:instrText>
      </w:r>
      <w:r w:rsidRPr="00C71727">
        <w:rPr>
          <w:b/>
          <w:bCs/>
        </w:rPr>
        <w:fldChar w:fldCharType="separate"/>
      </w:r>
      <w:r w:rsidR="00E67E0E">
        <w:rPr>
          <w:b/>
          <w:bCs/>
          <w:noProof/>
        </w:rPr>
        <w:t>3</w:t>
      </w:r>
      <w:r w:rsidRPr="00C71727">
        <w:rPr>
          <w:b/>
          <w:bCs/>
        </w:rPr>
        <w:fldChar w:fldCharType="end"/>
      </w:r>
      <w:bookmarkEnd w:id="3"/>
      <w:r w:rsidR="00423AF3">
        <w:rPr>
          <w:rFonts w:hint="eastAsia"/>
          <w:b/>
          <w:bCs/>
        </w:rPr>
        <w:t>:</w:t>
      </w:r>
      <w:r w:rsidRPr="00C71727">
        <w:rPr>
          <w:rFonts w:hint="eastAsia"/>
          <w:b/>
          <w:bCs/>
        </w:rPr>
        <w:t xml:space="preserve"> </w:t>
      </w:r>
      <w:r w:rsidRPr="00C71727">
        <w:t xml:space="preserve">Stability analysis of SMMS intermediate structures. (a-c) Atomic configurations of (a) SMoMoS, </w:t>
      </w:r>
      <w:r w:rsidRPr="00C71727">
        <w:lastRenderedPageBreak/>
        <w:t>(b) SMoWS, and (c) alloyed S(Mo</w:t>
      </w:r>
      <w:r w:rsidRPr="0082282B">
        <w:rPr>
          <w:vertAlign w:val="subscript"/>
        </w:rPr>
        <w:t>0.5</w:t>
      </w:r>
      <w:r w:rsidRPr="00C71727">
        <w:t>W</w:t>
      </w:r>
      <w:r w:rsidRPr="0082282B">
        <w:rPr>
          <w:vertAlign w:val="subscript"/>
        </w:rPr>
        <w:t>0.5</w:t>
      </w:r>
      <w:r w:rsidRPr="00C71727">
        <w:t>)(W</w:t>
      </w:r>
      <w:r w:rsidRPr="0082282B">
        <w:rPr>
          <w:vertAlign w:val="subscript"/>
        </w:rPr>
        <w:t>0.5</w:t>
      </w:r>
      <w:r w:rsidRPr="00C71727">
        <w:t>Mo</w:t>
      </w:r>
      <w:r w:rsidRPr="0082282B">
        <w:rPr>
          <w:vertAlign w:val="subscript"/>
        </w:rPr>
        <w:t>0.5</w:t>
      </w:r>
      <w:r w:rsidRPr="00C71727">
        <w:t>)S structures. (d-f) Corresponding energy evolution during 5</w:t>
      </w:r>
      <w:r w:rsidRPr="00C71727">
        <w:rPr>
          <w:rFonts w:hint="eastAsia"/>
        </w:rPr>
        <w:t>500p</w:t>
      </w:r>
      <w:r w:rsidRPr="00C71727">
        <w:t xml:space="preserve">s MLPMD simulations at </w:t>
      </w:r>
      <w:r w:rsidRPr="00C71727">
        <w:rPr>
          <w:rFonts w:hint="eastAsia"/>
        </w:rPr>
        <w:t>11</w:t>
      </w:r>
      <w:r w:rsidRPr="00C71727">
        <w:t>00 K for (d) SMoMoS, (e) SMoWS, and (f) alloyed S(Mo</w:t>
      </w:r>
      <w:r w:rsidRPr="0082282B">
        <w:rPr>
          <w:vertAlign w:val="subscript"/>
        </w:rPr>
        <w:t>0.5</w:t>
      </w:r>
      <w:r w:rsidRPr="00C71727">
        <w:t>W</w:t>
      </w:r>
      <w:r w:rsidRPr="0082282B">
        <w:rPr>
          <w:vertAlign w:val="subscript"/>
        </w:rPr>
        <w:t>0.5</w:t>
      </w:r>
      <w:r w:rsidRPr="00C71727">
        <w:t>)(W</w:t>
      </w:r>
      <w:r w:rsidRPr="0082282B">
        <w:rPr>
          <w:vertAlign w:val="subscript"/>
        </w:rPr>
        <w:t>0.5</w:t>
      </w:r>
      <w:r w:rsidRPr="00C71727">
        <w:t>Mo</w:t>
      </w:r>
      <w:r w:rsidRPr="0082282B">
        <w:rPr>
          <w:vertAlign w:val="subscript"/>
        </w:rPr>
        <w:t>0.5</w:t>
      </w:r>
      <w:r w:rsidRPr="00C71727">
        <w:t>)S structures, demonstrating their long-term stability. Note: The data has been smoothed using a low-pass filter for clarity.</w:t>
      </w:r>
    </w:p>
    <w:p w14:paraId="25D0545E" w14:textId="77777777" w:rsidR="00F967BB" w:rsidRPr="00C71727" w:rsidRDefault="00F967BB"/>
    <w:p w14:paraId="44415844" w14:textId="25270F02" w:rsidR="00F967BB" w:rsidRPr="00C71727" w:rsidRDefault="00000000">
      <w:r w:rsidRPr="00C71727">
        <w:t xml:space="preserve">To further validate the stability of the key intermediate structures identified in our study, we employed our machine learning potential to conduct NVT molecular dynamics simulations. </w:t>
      </w:r>
      <w:r w:rsidRPr="00C71727">
        <w:fldChar w:fldCharType="begin"/>
      </w:r>
      <w:r w:rsidRPr="00C71727">
        <w:instrText xml:space="preserve"> REF _Ref177995930 \h  \* MERGEFORMAT </w:instrText>
      </w:r>
      <w:r w:rsidRPr="00C71727">
        <w:fldChar w:fldCharType="separate"/>
      </w:r>
      <w:r w:rsidR="00E67E0E" w:rsidRPr="00E67E0E">
        <w:rPr>
          <w:rFonts w:hint="eastAsia"/>
        </w:rPr>
        <w:t>FIG S</w:t>
      </w:r>
      <w:r w:rsidR="00E67E0E" w:rsidRPr="00E67E0E">
        <w:t>3</w:t>
      </w:r>
      <w:r w:rsidRPr="00C71727">
        <w:fldChar w:fldCharType="end"/>
      </w:r>
      <w:r w:rsidRPr="00C71727">
        <w:t xml:space="preserve"> presents the results of these simulations for three crucial structures: SMoMoS</w:t>
      </w:r>
      <w:r w:rsidRPr="00C71727">
        <w:rPr>
          <w:rFonts w:hint="eastAsia"/>
        </w:rPr>
        <w:t xml:space="preserve"> (Fig. S3(a))</w:t>
      </w:r>
      <w:r w:rsidRPr="00C71727">
        <w:t>, SMoWS</w:t>
      </w:r>
      <w:r w:rsidRPr="00C71727">
        <w:rPr>
          <w:rFonts w:hint="eastAsia"/>
        </w:rPr>
        <w:t xml:space="preserve"> (Fig. S3(a))</w:t>
      </w:r>
      <w:r w:rsidRPr="00C71727">
        <w:t>, and the alloyed S(Mo</w:t>
      </w:r>
      <w:r w:rsidRPr="0082282B">
        <w:rPr>
          <w:vertAlign w:val="subscript"/>
        </w:rPr>
        <w:t>0.5</w:t>
      </w:r>
      <w:r w:rsidRPr="00C71727">
        <w:t>W</w:t>
      </w:r>
      <w:r w:rsidRPr="0082282B">
        <w:rPr>
          <w:vertAlign w:val="subscript"/>
        </w:rPr>
        <w:t>0.5</w:t>
      </w:r>
      <w:r w:rsidRPr="00C71727">
        <w:t>)(W</w:t>
      </w:r>
      <w:r w:rsidRPr="0082282B">
        <w:rPr>
          <w:vertAlign w:val="subscript"/>
        </w:rPr>
        <w:t>0.5</w:t>
      </w:r>
      <w:r w:rsidRPr="00C71727">
        <w:t>Mo</w:t>
      </w:r>
      <w:r w:rsidRPr="0082282B">
        <w:rPr>
          <w:vertAlign w:val="subscript"/>
        </w:rPr>
        <w:t>0.5</w:t>
      </w:r>
      <w:r w:rsidRPr="00C71727">
        <w:t>)S</w:t>
      </w:r>
      <w:r w:rsidRPr="00C71727">
        <w:rPr>
          <w:rFonts w:hint="eastAsia"/>
        </w:rPr>
        <w:t xml:space="preserve"> (Fig. S3(a))</w:t>
      </w:r>
      <w:r w:rsidRPr="00C71727">
        <w:t>.</w:t>
      </w:r>
      <w:r w:rsidRPr="00C71727">
        <w:rPr>
          <w:rFonts w:hint="eastAsia"/>
        </w:rPr>
        <w:t xml:space="preserve"> </w:t>
      </w:r>
      <w:r w:rsidRPr="00C71727">
        <w:t xml:space="preserve">The corresponding energy evolution during 5 ns MLPMD simulations at 1100 K is displayed in </w:t>
      </w:r>
      <w:r w:rsidRPr="00C71727">
        <w:fldChar w:fldCharType="begin"/>
      </w:r>
      <w:r w:rsidRPr="00C71727">
        <w:instrText xml:space="preserve"> REF _Ref177995930 \h  \* MERGEFORMAT </w:instrText>
      </w:r>
      <w:r w:rsidRPr="00C71727">
        <w:fldChar w:fldCharType="separate"/>
      </w:r>
      <w:r w:rsidR="00E67E0E" w:rsidRPr="00E67E0E">
        <w:rPr>
          <w:rFonts w:hint="eastAsia"/>
        </w:rPr>
        <w:t>FIG S</w:t>
      </w:r>
      <w:r w:rsidR="00E67E0E" w:rsidRPr="00E67E0E">
        <w:t>3</w:t>
      </w:r>
      <w:r w:rsidRPr="00C71727">
        <w:fldChar w:fldCharType="end"/>
      </w:r>
      <w:r w:rsidRPr="00C71727">
        <w:rPr>
          <w:rFonts w:hint="eastAsia"/>
        </w:rPr>
        <w:t>(</w:t>
      </w:r>
      <w:r w:rsidRPr="00C71727">
        <w:t>d-f</w:t>
      </w:r>
      <w:r w:rsidRPr="00C71727">
        <w:rPr>
          <w:rFonts w:hint="eastAsia"/>
        </w:rPr>
        <w:t>)</w:t>
      </w:r>
      <w:r w:rsidRPr="00C71727">
        <w:t xml:space="preserve"> for SMoMoS, SMoWS, and the alloyed</w:t>
      </w:r>
      <w:r w:rsidRPr="00C71727">
        <w:rPr>
          <w:rFonts w:hint="eastAsia"/>
        </w:rPr>
        <w:t xml:space="preserve"> SMMS</w:t>
      </w:r>
      <w:r w:rsidRPr="00C71727">
        <w:t xml:space="preserve"> structure, respectively.</w:t>
      </w:r>
      <w:r w:rsidRPr="00C71727">
        <w:rPr>
          <w:rFonts w:hint="eastAsia"/>
        </w:rPr>
        <w:t xml:space="preserve"> </w:t>
      </w:r>
      <w:r w:rsidRPr="00C71727">
        <w:t>The remarkably stable energy profiles observed for all three structures throughout the extended simulation period provide strong evidence of their long-term stability. This stability persists even at the elevated temperature of 1100 K, which is representative of typical growth conditions for TMD materials.</w:t>
      </w:r>
    </w:p>
    <w:p w14:paraId="58D85BF9" w14:textId="77777777" w:rsidR="00F967BB" w:rsidRDefault="00F967BB"/>
    <w:p w14:paraId="6873AEB1" w14:textId="77777777" w:rsidR="0003311C" w:rsidRPr="00C71727" w:rsidRDefault="0003311C" w:rsidP="0003311C">
      <w:pPr>
        <w:pStyle w:val="2"/>
        <w:numPr>
          <w:ilvl w:val="0"/>
          <w:numId w:val="1"/>
        </w:numPr>
      </w:pPr>
      <w:r w:rsidRPr="00C71727">
        <w:t>Validation of</w:t>
      </w:r>
      <w:r w:rsidRPr="00C71727">
        <w:rPr>
          <w:rFonts w:hint="eastAsia"/>
        </w:rPr>
        <w:t xml:space="preserve"> the formation of SMoMoS</w:t>
      </w:r>
    </w:p>
    <w:p w14:paraId="3D508999" w14:textId="77777777" w:rsidR="00713131" w:rsidRPr="00C71727" w:rsidRDefault="00713131" w:rsidP="00713131">
      <w:pPr>
        <w:ind w:left="420"/>
        <w:jc w:val="left"/>
      </w:pPr>
    </w:p>
    <w:p w14:paraId="55BB866D" w14:textId="77777777" w:rsidR="00713131" w:rsidRPr="00C71727" w:rsidRDefault="00713131" w:rsidP="00713131">
      <w:pPr>
        <w:ind w:left="420"/>
        <w:jc w:val="left"/>
      </w:pPr>
    </w:p>
    <w:p w14:paraId="1620E741" w14:textId="77777777" w:rsidR="00713131" w:rsidRPr="00C71727" w:rsidRDefault="00713131" w:rsidP="00713131">
      <w:pPr>
        <w:ind w:left="420"/>
        <w:jc w:val="center"/>
      </w:pPr>
      <w:r>
        <w:rPr>
          <w:noProof/>
        </w:rPr>
        <w:drawing>
          <wp:inline distT="0" distB="0" distL="0" distR="0" wp14:anchorId="4DB6497D" wp14:editId="652E1959">
            <wp:extent cx="1352550" cy="1932804"/>
            <wp:effectExtent l="0" t="0" r="0" b="0"/>
            <wp:docPr id="18205213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521327" name=""/>
                    <pic:cNvPicPr/>
                  </pic:nvPicPr>
                  <pic:blipFill>
                    <a:blip r:embed="rId11"/>
                    <a:stretch>
                      <a:fillRect/>
                    </a:stretch>
                  </pic:blipFill>
                  <pic:spPr>
                    <a:xfrm>
                      <a:off x="0" y="0"/>
                      <a:ext cx="1360354" cy="1943956"/>
                    </a:xfrm>
                    <a:prstGeom prst="rect">
                      <a:avLst/>
                    </a:prstGeom>
                  </pic:spPr>
                </pic:pic>
              </a:graphicData>
            </a:graphic>
          </wp:inline>
        </w:drawing>
      </w:r>
    </w:p>
    <w:p w14:paraId="0754726C" w14:textId="53825799" w:rsidR="00713131" w:rsidRPr="00C71727" w:rsidRDefault="00713131" w:rsidP="00713131">
      <w:pPr>
        <w:ind w:left="420"/>
      </w:pPr>
      <w:r w:rsidRPr="00713131">
        <w:rPr>
          <w:rFonts w:hint="eastAsia"/>
          <w:b/>
          <w:bCs/>
        </w:rPr>
        <w:t>FIG. S</w:t>
      </w:r>
      <w:r w:rsidRPr="00713131">
        <w:rPr>
          <w:b/>
          <w:bCs/>
        </w:rPr>
        <w:fldChar w:fldCharType="begin"/>
      </w:r>
      <w:r w:rsidRPr="00713131">
        <w:rPr>
          <w:b/>
          <w:bCs/>
        </w:rPr>
        <w:instrText xml:space="preserve"> SEQ Fig._S \* ARABIC </w:instrText>
      </w:r>
      <w:r w:rsidRPr="00713131">
        <w:rPr>
          <w:b/>
          <w:bCs/>
        </w:rPr>
        <w:fldChar w:fldCharType="separate"/>
      </w:r>
      <w:r w:rsidR="00E67E0E">
        <w:rPr>
          <w:b/>
          <w:bCs/>
          <w:noProof/>
        </w:rPr>
        <w:t>4</w:t>
      </w:r>
      <w:r w:rsidRPr="00713131">
        <w:rPr>
          <w:b/>
          <w:bCs/>
        </w:rPr>
        <w:fldChar w:fldCharType="end"/>
      </w:r>
      <w:r w:rsidRPr="00713131">
        <w:rPr>
          <w:rFonts w:hint="eastAsia"/>
          <w:b/>
          <w:bCs/>
        </w:rPr>
        <w:t xml:space="preserve">: </w:t>
      </w:r>
      <w:r w:rsidRPr="00C71727">
        <w:rPr>
          <w:rFonts w:hint="eastAsia"/>
        </w:rPr>
        <w:t>Structure from MatHub-2d (id:MatHub2d-1817-Mo</w:t>
      </w:r>
      <w:r w:rsidRPr="00713131">
        <w:rPr>
          <w:rFonts w:hint="eastAsia"/>
          <w:vertAlign w:val="subscript"/>
        </w:rPr>
        <w:t>2</w:t>
      </w:r>
      <w:r w:rsidRPr="00C71727">
        <w:rPr>
          <w:rFonts w:hint="eastAsia"/>
        </w:rPr>
        <w:t>S</w:t>
      </w:r>
      <w:r w:rsidRPr="00713131">
        <w:rPr>
          <w:rFonts w:hint="eastAsia"/>
          <w:vertAlign w:val="subscript"/>
        </w:rPr>
        <w:t>2</w:t>
      </w:r>
      <w:r w:rsidRPr="00C71727">
        <w:rPr>
          <w:rFonts w:hint="eastAsia"/>
        </w:rPr>
        <w:t>).</w:t>
      </w:r>
    </w:p>
    <w:p w14:paraId="39019D8F" w14:textId="77777777" w:rsidR="0003311C" w:rsidRPr="00713131" w:rsidRDefault="0003311C" w:rsidP="0003311C"/>
    <w:p w14:paraId="0E0647F3" w14:textId="77777777" w:rsidR="0003311C" w:rsidRPr="00C71727" w:rsidRDefault="0003311C" w:rsidP="0003311C">
      <w:pPr>
        <w:jc w:val="center"/>
      </w:pPr>
      <w:r w:rsidRPr="00C71727">
        <w:rPr>
          <w:noProof/>
        </w:rPr>
        <w:lastRenderedPageBreak/>
        <w:drawing>
          <wp:inline distT="0" distB="0" distL="114300" distR="114300" wp14:anchorId="577A78AB" wp14:editId="10742DB0">
            <wp:extent cx="6400800" cy="3530600"/>
            <wp:effectExtent l="0" t="0" r="0" b="0"/>
            <wp:docPr id="12" name="图片 12" descr="图片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图片10"/>
                    <pic:cNvPicPr>
                      <a:picLocks noChangeAspect="1"/>
                    </pic:cNvPicPr>
                  </pic:nvPicPr>
                  <pic:blipFill>
                    <a:blip r:embed="rId12"/>
                    <a:stretch>
                      <a:fillRect/>
                    </a:stretch>
                  </pic:blipFill>
                  <pic:spPr>
                    <a:xfrm>
                      <a:off x="0" y="0"/>
                      <a:ext cx="6400800" cy="3530600"/>
                    </a:xfrm>
                    <a:prstGeom prst="rect">
                      <a:avLst/>
                    </a:prstGeom>
                  </pic:spPr>
                </pic:pic>
              </a:graphicData>
            </a:graphic>
          </wp:inline>
        </w:drawing>
      </w:r>
    </w:p>
    <w:p w14:paraId="2202F651" w14:textId="02BCE424" w:rsidR="0003311C" w:rsidRPr="00C71727" w:rsidRDefault="0003311C" w:rsidP="0003311C">
      <w:pPr>
        <w:jc w:val="left"/>
      </w:pPr>
      <w:bookmarkStart w:id="4" w:name="_Ref177995914"/>
      <w:r w:rsidRPr="00C71727">
        <w:rPr>
          <w:rFonts w:hint="eastAsia"/>
          <w:b/>
          <w:bCs/>
        </w:rPr>
        <w:t>F</w:t>
      </w:r>
      <w:r>
        <w:rPr>
          <w:rFonts w:hint="eastAsia"/>
          <w:b/>
          <w:bCs/>
        </w:rPr>
        <w:t>IG.</w:t>
      </w:r>
      <w:r w:rsidRPr="00C71727">
        <w:rPr>
          <w:rFonts w:hint="eastAsia"/>
          <w:b/>
          <w:bCs/>
        </w:rPr>
        <w:t xml:space="preserve"> S</w:t>
      </w:r>
      <w:r w:rsidRPr="00C71727">
        <w:rPr>
          <w:b/>
          <w:bCs/>
        </w:rPr>
        <w:fldChar w:fldCharType="begin"/>
      </w:r>
      <w:r w:rsidRPr="00C71727">
        <w:rPr>
          <w:b/>
          <w:bCs/>
        </w:rPr>
        <w:instrText xml:space="preserve"> SEQ Fig._S \* ARABIC </w:instrText>
      </w:r>
      <w:r w:rsidRPr="00C71727">
        <w:rPr>
          <w:b/>
          <w:bCs/>
        </w:rPr>
        <w:fldChar w:fldCharType="separate"/>
      </w:r>
      <w:r w:rsidR="00E67E0E">
        <w:rPr>
          <w:b/>
          <w:bCs/>
          <w:noProof/>
        </w:rPr>
        <w:t>5</w:t>
      </w:r>
      <w:r w:rsidRPr="00C71727">
        <w:rPr>
          <w:b/>
          <w:bCs/>
        </w:rPr>
        <w:fldChar w:fldCharType="end"/>
      </w:r>
      <w:bookmarkEnd w:id="4"/>
      <w:r>
        <w:rPr>
          <w:rFonts w:hint="eastAsia"/>
          <w:b/>
          <w:bCs/>
        </w:rPr>
        <w:t>:</w:t>
      </w:r>
      <w:r w:rsidRPr="00C71727">
        <w:rPr>
          <w:rFonts w:hint="eastAsia"/>
          <w:b/>
          <w:bCs/>
        </w:rPr>
        <w:t xml:space="preserve"> </w:t>
      </w:r>
      <w:r w:rsidRPr="00C71727">
        <w:rPr>
          <w:rFonts w:hint="eastAsia"/>
        </w:rPr>
        <w:t>AIMD simulations validating SMoMoS formation and stability at 1100 K. (a) Single Mo atom embedding into MoS</w:t>
      </w:r>
      <w:r w:rsidRPr="00C57FE4">
        <w:rPr>
          <w:rFonts w:hint="eastAsia"/>
          <w:vertAlign w:val="subscript"/>
        </w:rPr>
        <w:t>2</w:t>
      </w:r>
      <w:r w:rsidRPr="00C71727">
        <w:rPr>
          <w:rFonts w:hint="eastAsia"/>
        </w:rPr>
        <w:t xml:space="preserve"> (~1000</w:t>
      </w:r>
      <w:r>
        <w:rPr>
          <w:rFonts w:hint="eastAsia"/>
        </w:rPr>
        <w:t xml:space="preserve"> </w:t>
      </w:r>
      <w:r w:rsidRPr="00C71727">
        <w:rPr>
          <w:rFonts w:hint="eastAsia"/>
        </w:rPr>
        <w:t>fs). Top: Initial and final configurations. Bottom: Energy-time curve showing abrupt decrease at ~700 fs. (b) Mo atom layer embedding into MoS</w:t>
      </w:r>
      <w:r w:rsidRPr="00C57FE4">
        <w:rPr>
          <w:rFonts w:hint="eastAsia"/>
          <w:vertAlign w:val="subscript"/>
        </w:rPr>
        <w:t>2</w:t>
      </w:r>
      <w:r w:rsidRPr="00C71727">
        <w:rPr>
          <w:rFonts w:hint="eastAsia"/>
        </w:rPr>
        <w:t>(~15</w:t>
      </w:r>
      <w:r>
        <w:rPr>
          <w:rFonts w:hint="eastAsia"/>
        </w:rPr>
        <w:t xml:space="preserve"> p</w:t>
      </w:r>
      <w:r w:rsidRPr="00C71727">
        <w:rPr>
          <w:rFonts w:hint="eastAsia"/>
        </w:rPr>
        <w:t>s). Top: Initial and final states. Bottom: Energy-time curve during embedding process. (c) SMoMoS structure stability(~10</w:t>
      </w:r>
      <w:r>
        <w:rPr>
          <w:rFonts w:hint="eastAsia"/>
        </w:rPr>
        <w:t xml:space="preserve"> p</w:t>
      </w:r>
      <w:r w:rsidRPr="00C71727">
        <w:rPr>
          <w:rFonts w:hint="eastAsia"/>
        </w:rPr>
        <w:t>s). Top: Initial and final states. Bottom: Energy-time curve demonstrating structural stability.</w:t>
      </w:r>
    </w:p>
    <w:p w14:paraId="66B04E60" w14:textId="77777777" w:rsidR="0003311C" w:rsidRPr="00C71727" w:rsidRDefault="0003311C" w:rsidP="0003311C">
      <w:pPr>
        <w:jc w:val="left"/>
      </w:pPr>
    </w:p>
    <w:p w14:paraId="14BBA79F" w14:textId="6A306914" w:rsidR="0003311C" w:rsidRPr="00C71727" w:rsidRDefault="0003311C" w:rsidP="0003311C">
      <w:pPr>
        <w:jc w:val="left"/>
      </w:pPr>
      <w:r w:rsidRPr="00C71727">
        <w:fldChar w:fldCharType="begin"/>
      </w:r>
      <w:r w:rsidRPr="00C71727">
        <w:instrText xml:space="preserve"> </w:instrText>
      </w:r>
      <w:r w:rsidRPr="00C71727">
        <w:rPr>
          <w:rFonts w:hint="eastAsia"/>
        </w:rPr>
        <w:instrText>REF _Ref177995914 \h</w:instrText>
      </w:r>
      <w:r w:rsidRPr="00C71727">
        <w:instrText xml:space="preserve">  \* MERGEFORMAT </w:instrText>
      </w:r>
      <w:r w:rsidRPr="00C71727">
        <w:fldChar w:fldCharType="separate"/>
      </w:r>
      <w:r w:rsidR="00E67E0E" w:rsidRPr="00E67E0E">
        <w:rPr>
          <w:rFonts w:hint="eastAsia"/>
        </w:rPr>
        <w:t>FIG. S</w:t>
      </w:r>
      <w:r w:rsidR="00E67E0E" w:rsidRPr="00E67E0E">
        <w:t>5</w:t>
      </w:r>
      <w:r w:rsidRPr="00C71727">
        <w:fldChar w:fldCharType="end"/>
      </w:r>
      <w:r w:rsidRPr="00C71727">
        <w:rPr>
          <w:rFonts w:hint="eastAsia"/>
        </w:rPr>
        <w:t xml:space="preserve"> presents the results of our ab initio molecular dynamics (AIMD) simulations conducted at 1100 K to validate the formation and stability of the SMoMoS structure. These simulations provide crucial insights into the behavior of Mo atoms on MoS</w:t>
      </w:r>
      <w:r w:rsidRPr="0082282B">
        <w:rPr>
          <w:rFonts w:hint="eastAsia"/>
          <w:vertAlign w:val="subscript"/>
        </w:rPr>
        <w:t>2</w:t>
      </w:r>
      <w:r w:rsidRPr="00C71727">
        <w:rPr>
          <w:rFonts w:hint="eastAsia"/>
        </w:rPr>
        <w:t xml:space="preserve"> surfaces and the formation mechanism of the SMoMoS intermediate structure.</w:t>
      </w:r>
    </w:p>
    <w:p w14:paraId="7E1A4411" w14:textId="7461AA86" w:rsidR="0003311C" w:rsidRPr="00C71727" w:rsidRDefault="0003311C" w:rsidP="0003311C">
      <w:pPr>
        <w:jc w:val="left"/>
      </w:pPr>
      <w:r w:rsidRPr="00C71727">
        <w:fldChar w:fldCharType="begin"/>
      </w:r>
      <w:r w:rsidRPr="00C71727">
        <w:instrText xml:space="preserve"> </w:instrText>
      </w:r>
      <w:r w:rsidRPr="00C71727">
        <w:rPr>
          <w:rFonts w:hint="eastAsia"/>
        </w:rPr>
        <w:instrText>REF _Ref177995914 \h</w:instrText>
      </w:r>
      <w:r w:rsidRPr="00C71727">
        <w:instrText xml:space="preserve">  \* MERGEFORMAT </w:instrText>
      </w:r>
      <w:r w:rsidRPr="00C71727">
        <w:fldChar w:fldCharType="separate"/>
      </w:r>
      <w:r w:rsidR="00E67E0E" w:rsidRPr="00E67E0E">
        <w:rPr>
          <w:rFonts w:hint="eastAsia"/>
        </w:rPr>
        <w:t>FIG. S</w:t>
      </w:r>
      <w:r w:rsidR="00E67E0E" w:rsidRPr="00E67E0E">
        <w:t>5</w:t>
      </w:r>
      <w:r w:rsidRPr="00C71727">
        <w:fldChar w:fldCharType="end"/>
      </w:r>
      <w:r w:rsidRPr="00C71727">
        <w:rPr>
          <w:rFonts w:hint="eastAsia"/>
        </w:rPr>
        <w:t>(a) illustrates the embedding process of a single Mo atom into an MoS</w:t>
      </w:r>
      <w:r w:rsidRPr="0082282B">
        <w:rPr>
          <w:rFonts w:hint="eastAsia"/>
          <w:vertAlign w:val="subscript"/>
        </w:rPr>
        <w:t>2</w:t>
      </w:r>
      <w:r w:rsidRPr="00C71727">
        <w:rPr>
          <w:rFonts w:hint="eastAsia"/>
        </w:rPr>
        <w:t xml:space="preserve"> layer. We initially positioned a Mo atom 2.3 Å above the MoS</w:t>
      </w:r>
      <w:r w:rsidRPr="0082282B">
        <w:rPr>
          <w:rFonts w:hint="eastAsia"/>
          <w:vertAlign w:val="subscript"/>
        </w:rPr>
        <w:t>2</w:t>
      </w:r>
      <w:r w:rsidRPr="00C71727">
        <w:rPr>
          <w:rFonts w:hint="eastAsia"/>
        </w:rPr>
        <w:t xml:space="preserve"> surface and imparted it with a downward velocity of 5 Å/ps, corresponding to a kinetic energy of approximately 0.12 eV. This energy is comparable to the thermal energy of atoms at 1100 K. To accurately simulate thermal conditions, we sampled the initial velocities of all atoms from a Boltzmann distribution at 1100 K. The simulation was performed using the NVE (constant number of particles, volume, and energy) ensemble to capture the system's natural evolution without external temperature control. The top images show the initial and final atomic </w:t>
      </w:r>
      <w:r w:rsidRPr="00C71727">
        <w:rPr>
          <w:rFonts w:hint="eastAsia"/>
        </w:rPr>
        <w:lastRenderedPageBreak/>
        <w:t>configurations, while the bottom graph depicts the energy evolution over time. Despite the relatively low initial kinetic energy, the Mo atom rapidly embeds itself into the MoS</w:t>
      </w:r>
      <w:r w:rsidRPr="0082282B">
        <w:rPr>
          <w:rFonts w:hint="eastAsia"/>
          <w:vertAlign w:val="subscript"/>
        </w:rPr>
        <w:t>2</w:t>
      </w:r>
      <w:r w:rsidRPr="00C71727">
        <w:rPr>
          <w:rFonts w:hint="eastAsia"/>
        </w:rPr>
        <w:t xml:space="preserve"> layer within approximately 700 fs, as evidenced by the abrupt energy decrease. This embedding process releases about 1.45 eV of energy (validated by DFT calculations), demonstrating a strong thermodynamic driving force for Mo incorporation into the MoS</w:t>
      </w:r>
      <w:r w:rsidRPr="0082282B">
        <w:rPr>
          <w:rFonts w:hint="eastAsia"/>
          <w:vertAlign w:val="subscript"/>
        </w:rPr>
        <w:t>2</w:t>
      </w:r>
      <w:r w:rsidRPr="00C71727">
        <w:rPr>
          <w:rFonts w:hint="eastAsia"/>
        </w:rPr>
        <w:t xml:space="preserve"> structure.</w:t>
      </w:r>
    </w:p>
    <w:p w14:paraId="50B2410D" w14:textId="06297376" w:rsidR="0003311C" w:rsidRPr="00C71727" w:rsidRDefault="0003311C" w:rsidP="0003311C">
      <w:pPr>
        <w:jc w:val="left"/>
      </w:pPr>
      <w:r w:rsidRPr="00C71727">
        <w:fldChar w:fldCharType="begin"/>
      </w:r>
      <w:r w:rsidRPr="00C71727">
        <w:instrText xml:space="preserve"> </w:instrText>
      </w:r>
      <w:r w:rsidRPr="00C71727">
        <w:rPr>
          <w:rFonts w:hint="eastAsia"/>
        </w:rPr>
        <w:instrText>REF _Ref177995914 \h</w:instrText>
      </w:r>
      <w:r w:rsidRPr="00C71727">
        <w:instrText xml:space="preserve">  \* MERGEFORMAT </w:instrText>
      </w:r>
      <w:r w:rsidRPr="00C71727">
        <w:fldChar w:fldCharType="separate"/>
      </w:r>
      <w:r w:rsidR="00E67E0E" w:rsidRPr="00E67E0E">
        <w:rPr>
          <w:rFonts w:hint="eastAsia"/>
        </w:rPr>
        <w:t>FIG. S</w:t>
      </w:r>
      <w:r w:rsidR="00E67E0E" w:rsidRPr="00E67E0E">
        <w:t>5</w:t>
      </w:r>
      <w:r w:rsidRPr="00C71727">
        <w:fldChar w:fldCharType="end"/>
      </w:r>
      <w:r w:rsidRPr="00C71727">
        <w:rPr>
          <w:rFonts w:hint="eastAsia"/>
        </w:rPr>
        <w:t>(b) extends our investigation to the behavior of a Mo atom layer on MoS</w:t>
      </w:r>
      <w:r w:rsidRPr="0082282B">
        <w:rPr>
          <w:rFonts w:hint="eastAsia"/>
          <w:vertAlign w:val="subscript"/>
        </w:rPr>
        <w:t>2</w:t>
      </w:r>
      <w:r w:rsidRPr="00C71727">
        <w:rPr>
          <w:rFonts w:hint="eastAsia"/>
        </w:rPr>
        <w:t>. The simulation runs for approximately 15,000 fs, allowing us to observe the long-term evolution of the system. The top images show the initial configuration with a layer of Mo atoms on the MoS</w:t>
      </w:r>
      <w:r w:rsidRPr="0082282B">
        <w:rPr>
          <w:rFonts w:hint="eastAsia"/>
          <w:vertAlign w:val="subscript"/>
        </w:rPr>
        <w:t>2</w:t>
      </w:r>
      <w:r w:rsidRPr="00C71727">
        <w:rPr>
          <w:rFonts w:hint="eastAsia"/>
        </w:rPr>
        <w:t xml:space="preserve"> surface, and the final state where multiple Mo atoms have embedded into the MoS</w:t>
      </w:r>
      <w:r w:rsidRPr="0082282B">
        <w:rPr>
          <w:rFonts w:hint="eastAsia"/>
          <w:vertAlign w:val="subscript"/>
        </w:rPr>
        <w:t>2</w:t>
      </w:r>
      <w:r w:rsidRPr="00C71727">
        <w:rPr>
          <w:rFonts w:hint="eastAsia"/>
        </w:rPr>
        <w:t xml:space="preserve"> layer. The bottom graph illustrates the gradual decrease in system energy as Mo atoms progressively embed into the MoS</w:t>
      </w:r>
      <w:r w:rsidRPr="0082282B">
        <w:rPr>
          <w:rFonts w:hint="eastAsia"/>
          <w:vertAlign w:val="subscript"/>
        </w:rPr>
        <w:t>2</w:t>
      </w:r>
      <w:r w:rsidRPr="00C71727">
        <w:rPr>
          <w:rFonts w:hint="eastAsia"/>
        </w:rPr>
        <w:t xml:space="preserve"> structure. This energy reduction, significantly lower than the initial configuration, further confirms the thermodynamic favorability of Mo incorporation.</w:t>
      </w:r>
    </w:p>
    <w:p w14:paraId="617679BF" w14:textId="2833226F" w:rsidR="0003311C" w:rsidRPr="00C71727" w:rsidRDefault="0003311C" w:rsidP="0003311C">
      <w:pPr>
        <w:jc w:val="left"/>
      </w:pPr>
      <w:r w:rsidRPr="00C71727">
        <w:fldChar w:fldCharType="begin"/>
      </w:r>
      <w:r w:rsidRPr="00C71727">
        <w:instrText xml:space="preserve"> </w:instrText>
      </w:r>
      <w:r w:rsidRPr="00C71727">
        <w:rPr>
          <w:rFonts w:hint="eastAsia"/>
        </w:rPr>
        <w:instrText>REF _Ref177995914 \h</w:instrText>
      </w:r>
      <w:r w:rsidRPr="00C71727">
        <w:instrText xml:space="preserve">  \* MERGEFORMAT </w:instrText>
      </w:r>
      <w:r w:rsidRPr="00C71727">
        <w:fldChar w:fldCharType="separate"/>
      </w:r>
      <w:r w:rsidR="00E67E0E" w:rsidRPr="00E67E0E">
        <w:rPr>
          <w:rFonts w:hint="eastAsia"/>
        </w:rPr>
        <w:t>FIG. S</w:t>
      </w:r>
      <w:r w:rsidR="00E67E0E" w:rsidRPr="00E67E0E">
        <w:t>5</w:t>
      </w:r>
      <w:r w:rsidRPr="00C71727">
        <w:fldChar w:fldCharType="end"/>
      </w:r>
      <w:r w:rsidRPr="00C71727">
        <w:rPr>
          <w:rFonts w:hint="eastAsia"/>
        </w:rPr>
        <w:t>(c) focuses on the stability of the formed SMoMoS structure over an extended period of about 10,000 fs. The top images demonstrate that the SMoMoS structure remains intact throughout the simulation, with no significant structural changes observed. The bottom graph shows a stable energy curve over time, confirming the structural integrity and thermodynamic stability of the SMoMoS intermediate.</w:t>
      </w:r>
    </w:p>
    <w:p w14:paraId="19296F0D" w14:textId="77777777" w:rsidR="0003311C" w:rsidRPr="00C71727" w:rsidRDefault="0003311C" w:rsidP="0003311C">
      <w:pPr>
        <w:jc w:val="left"/>
      </w:pPr>
      <w:r w:rsidRPr="00C71727">
        <w:rPr>
          <w:rFonts w:hint="eastAsia"/>
        </w:rPr>
        <w:t>These AIMD simulations serve as a robust validation of our Machine Learning Potential (MLP) results, confirming the accuracy and reliability of our MLP in predicting the behavior of Mo atoms on MoS</w:t>
      </w:r>
      <w:r w:rsidRPr="0082282B">
        <w:rPr>
          <w:rFonts w:hint="eastAsia"/>
          <w:vertAlign w:val="subscript"/>
        </w:rPr>
        <w:t>2</w:t>
      </w:r>
      <w:r w:rsidRPr="00C71727">
        <w:rPr>
          <w:rFonts w:hint="eastAsia"/>
        </w:rPr>
        <w:t xml:space="preserve"> surfaces.</w:t>
      </w:r>
    </w:p>
    <w:p w14:paraId="2CD7A8CE" w14:textId="77777777" w:rsidR="0003311C" w:rsidRPr="0003311C" w:rsidRDefault="0003311C"/>
    <w:p w14:paraId="7F4D3C84" w14:textId="48AD385B" w:rsidR="00F967BB" w:rsidRPr="00C71727" w:rsidRDefault="00000000">
      <w:pPr>
        <w:pStyle w:val="2"/>
        <w:numPr>
          <w:ilvl w:val="0"/>
          <w:numId w:val="1"/>
        </w:numPr>
      </w:pPr>
      <w:r w:rsidRPr="00C71727">
        <w:rPr>
          <w:rFonts w:hint="eastAsia"/>
        </w:rPr>
        <w:t xml:space="preserve">SMMS </w:t>
      </w:r>
      <w:r w:rsidRPr="00C71727">
        <w:t>Intermediate Structures</w:t>
      </w:r>
      <w:r w:rsidR="0067527A">
        <w:rPr>
          <w:rFonts w:hint="eastAsia"/>
        </w:rPr>
        <w:t xml:space="preserve"> to Bilayer TMDs</w:t>
      </w:r>
    </w:p>
    <w:p w14:paraId="511784B8" w14:textId="77777777" w:rsidR="00F967BB" w:rsidRPr="00C71727" w:rsidRDefault="00F967BB"/>
    <w:p w14:paraId="0E4B6EEC" w14:textId="77777777" w:rsidR="00F967BB" w:rsidRPr="00C71727" w:rsidRDefault="00000000">
      <w:pPr>
        <w:jc w:val="center"/>
      </w:pPr>
      <w:r w:rsidRPr="00C71727">
        <w:rPr>
          <w:rFonts w:hint="eastAsia"/>
          <w:noProof/>
        </w:rPr>
        <w:lastRenderedPageBreak/>
        <w:drawing>
          <wp:inline distT="0" distB="0" distL="114300" distR="114300" wp14:anchorId="36DD69DB" wp14:editId="6732C6E1">
            <wp:extent cx="4806315" cy="3269615"/>
            <wp:effectExtent l="0" t="0" r="0" b="0"/>
            <wp:docPr id="5" name="图片 5" descr="fig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ig_4"/>
                    <pic:cNvPicPr>
                      <a:picLocks noChangeAspect="1"/>
                    </pic:cNvPicPr>
                  </pic:nvPicPr>
                  <pic:blipFill>
                    <a:blip r:embed="rId13"/>
                    <a:stretch>
                      <a:fillRect/>
                    </a:stretch>
                  </pic:blipFill>
                  <pic:spPr>
                    <a:xfrm>
                      <a:off x="0" y="0"/>
                      <a:ext cx="4806315" cy="3269615"/>
                    </a:xfrm>
                    <a:prstGeom prst="rect">
                      <a:avLst/>
                    </a:prstGeom>
                  </pic:spPr>
                </pic:pic>
              </a:graphicData>
            </a:graphic>
          </wp:inline>
        </w:drawing>
      </w:r>
    </w:p>
    <w:p w14:paraId="7EEB12AC" w14:textId="77777777" w:rsidR="00F967BB" w:rsidRPr="00C71727" w:rsidRDefault="00F967BB">
      <w:pPr>
        <w:jc w:val="center"/>
      </w:pPr>
    </w:p>
    <w:p w14:paraId="1B384081" w14:textId="535ED2AE" w:rsidR="00F967BB" w:rsidRPr="00C71727" w:rsidRDefault="00000000">
      <w:r w:rsidRPr="00C71727">
        <w:rPr>
          <w:rFonts w:hint="eastAsia"/>
          <w:b/>
          <w:bCs/>
        </w:rPr>
        <w:t>F</w:t>
      </w:r>
      <w:r w:rsidR="00AC546A">
        <w:rPr>
          <w:rFonts w:hint="eastAsia"/>
          <w:b/>
          <w:bCs/>
        </w:rPr>
        <w:t>IG</w:t>
      </w:r>
      <w:r w:rsidRPr="00C71727">
        <w:rPr>
          <w:rFonts w:hint="eastAsia"/>
          <w:b/>
          <w:bCs/>
        </w:rPr>
        <w:t>. S</w:t>
      </w:r>
      <w:r w:rsidRPr="00C71727">
        <w:rPr>
          <w:b/>
          <w:bCs/>
        </w:rPr>
        <w:fldChar w:fldCharType="begin"/>
      </w:r>
      <w:r w:rsidRPr="00C71727">
        <w:rPr>
          <w:b/>
          <w:bCs/>
        </w:rPr>
        <w:instrText xml:space="preserve"> SEQ Fig._S \* ARABIC </w:instrText>
      </w:r>
      <w:r w:rsidRPr="00C71727">
        <w:rPr>
          <w:b/>
          <w:bCs/>
        </w:rPr>
        <w:fldChar w:fldCharType="separate"/>
      </w:r>
      <w:r w:rsidR="00E67E0E">
        <w:rPr>
          <w:b/>
          <w:bCs/>
          <w:noProof/>
        </w:rPr>
        <w:t>6</w:t>
      </w:r>
      <w:r w:rsidRPr="00C71727">
        <w:rPr>
          <w:b/>
          <w:bCs/>
        </w:rPr>
        <w:fldChar w:fldCharType="end"/>
      </w:r>
      <w:r w:rsidR="00AC546A">
        <w:rPr>
          <w:rFonts w:hint="eastAsia"/>
          <w:b/>
          <w:bCs/>
        </w:rPr>
        <w:t>:</w:t>
      </w:r>
      <w:r w:rsidRPr="00C71727">
        <w:t xml:space="preserve"> (a-e) MLPMD simulation of the growth of bilayer MoS</w:t>
      </w:r>
      <w:r w:rsidRPr="0082282B">
        <w:rPr>
          <w:vertAlign w:val="subscript"/>
        </w:rPr>
        <w:t>2</w:t>
      </w:r>
      <w:r w:rsidRPr="00C71727">
        <w:t xml:space="preserve"> structure by depositing S atoms on the SMoMoS intermediate phase. (f-j) MLPMD simulation of the growth of alloyed Mo</w:t>
      </w:r>
      <w:r w:rsidRPr="0082282B">
        <w:rPr>
          <w:vertAlign w:val="subscript"/>
        </w:rPr>
        <w:t>x</w:t>
      </w:r>
      <w:r w:rsidRPr="00C71727">
        <w:t>W</w:t>
      </w:r>
      <w:r w:rsidRPr="0082282B">
        <w:rPr>
          <w:vertAlign w:val="subscript"/>
        </w:rPr>
        <w:t>1-x</w:t>
      </w:r>
      <w:r w:rsidRPr="00C71727">
        <w:t>S</w:t>
      </w:r>
      <w:r w:rsidRPr="0082282B">
        <w:rPr>
          <w:vertAlign w:val="subscript"/>
        </w:rPr>
        <w:t>2</w:t>
      </w:r>
      <w:r w:rsidRPr="00C71727">
        <w:t>/Mo</w:t>
      </w:r>
      <w:r w:rsidRPr="0082282B">
        <w:rPr>
          <w:vertAlign w:val="subscript"/>
        </w:rPr>
        <w:t>1-x</w:t>
      </w:r>
      <w:r w:rsidRPr="00C71727">
        <w:t>W</w:t>
      </w:r>
      <w:r w:rsidRPr="0082282B">
        <w:rPr>
          <w:vertAlign w:val="subscript"/>
        </w:rPr>
        <w:t>x</w:t>
      </w:r>
      <w:r w:rsidRPr="00C71727">
        <w:t>S</w:t>
      </w:r>
      <w:r w:rsidRPr="0082282B">
        <w:rPr>
          <w:vertAlign w:val="subscript"/>
        </w:rPr>
        <w:t>2</w:t>
      </w:r>
      <w:r w:rsidRPr="00C71727">
        <w:t xml:space="preserve"> heterostructure by depositing S atoms on the alloyed SMMS intermediate phase.</w:t>
      </w:r>
    </w:p>
    <w:p w14:paraId="580F5D9E" w14:textId="77777777" w:rsidR="00F967BB" w:rsidRPr="00C71727" w:rsidRDefault="00F967BB"/>
    <w:p w14:paraId="60875E8C" w14:textId="69AEAA03" w:rsidR="00F967BB" w:rsidRPr="00C71727" w:rsidRDefault="00000000">
      <w:pPr>
        <w:pStyle w:val="2"/>
        <w:numPr>
          <w:ilvl w:val="0"/>
          <w:numId w:val="1"/>
        </w:numPr>
      </w:pPr>
      <w:r w:rsidRPr="00C71727">
        <w:rPr>
          <w:rFonts w:hint="eastAsia"/>
        </w:rPr>
        <w:t>Simulation of MOCVD TMD</w:t>
      </w:r>
      <w:r w:rsidR="00657AE1">
        <w:rPr>
          <w:rFonts w:hint="eastAsia"/>
        </w:rPr>
        <w:t>s</w:t>
      </w:r>
      <w:r w:rsidRPr="00C71727">
        <w:rPr>
          <w:rFonts w:hint="eastAsia"/>
        </w:rPr>
        <w:t xml:space="preserve"> Growth</w:t>
      </w:r>
    </w:p>
    <w:p w14:paraId="44430D21" w14:textId="77777777" w:rsidR="00F967BB" w:rsidRPr="00C71727" w:rsidRDefault="00000000">
      <w:pPr>
        <w:rPr>
          <w:b/>
          <w:bCs/>
        </w:rPr>
      </w:pPr>
      <w:r w:rsidRPr="00C71727">
        <w:rPr>
          <w:b/>
          <w:bCs/>
        </w:rPr>
        <w:tab/>
      </w:r>
    </w:p>
    <w:p w14:paraId="5B5B96E2" w14:textId="77777777" w:rsidR="00F967BB" w:rsidRPr="00C71727" w:rsidRDefault="00000000">
      <w:pPr>
        <w:jc w:val="center"/>
      </w:pPr>
      <w:r w:rsidRPr="00C71727">
        <w:rPr>
          <w:rFonts w:hint="eastAsia"/>
          <w:noProof/>
        </w:rPr>
        <w:lastRenderedPageBreak/>
        <w:drawing>
          <wp:inline distT="0" distB="0" distL="0" distR="0" wp14:anchorId="22049B27" wp14:editId="25C0F2D9">
            <wp:extent cx="4806315" cy="5492115"/>
            <wp:effectExtent l="0" t="0" r="6985" b="6985"/>
            <wp:docPr id="169603366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033661" name="图片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4806315" cy="5492115"/>
                    </a:xfrm>
                    <a:prstGeom prst="rect">
                      <a:avLst/>
                    </a:prstGeom>
                    <a:noFill/>
                    <a:ln>
                      <a:noFill/>
                    </a:ln>
                  </pic:spPr>
                </pic:pic>
              </a:graphicData>
            </a:graphic>
          </wp:inline>
        </w:drawing>
      </w:r>
    </w:p>
    <w:p w14:paraId="63B84B85" w14:textId="33EF5BBC" w:rsidR="00F967BB" w:rsidRPr="00C71727" w:rsidRDefault="00000000">
      <w:pPr>
        <w:jc w:val="center"/>
      </w:pPr>
      <w:r w:rsidRPr="00C71727">
        <w:rPr>
          <w:rFonts w:hint="eastAsia"/>
          <w:b/>
          <w:bCs/>
        </w:rPr>
        <w:t>F</w:t>
      </w:r>
      <w:r w:rsidR="003F3C58">
        <w:rPr>
          <w:rFonts w:hint="eastAsia"/>
          <w:b/>
          <w:bCs/>
        </w:rPr>
        <w:t>IG</w:t>
      </w:r>
      <w:r w:rsidRPr="00C71727">
        <w:rPr>
          <w:rFonts w:hint="eastAsia"/>
          <w:b/>
          <w:bCs/>
        </w:rPr>
        <w:t>. S</w:t>
      </w:r>
      <w:r w:rsidRPr="00C71727">
        <w:rPr>
          <w:b/>
          <w:bCs/>
        </w:rPr>
        <w:fldChar w:fldCharType="begin"/>
      </w:r>
      <w:r w:rsidRPr="00C71727">
        <w:rPr>
          <w:b/>
          <w:bCs/>
        </w:rPr>
        <w:instrText xml:space="preserve"> SEQ Fig._S \* ARABIC </w:instrText>
      </w:r>
      <w:r w:rsidRPr="00C71727">
        <w:rPr>
          <w:b/>
          <w:bCs/>
        </w:rPr>
        <w:fldChar w:fldCharType="separate"/>
      </w:r>
      <w:r w:rsidR="00E67E0E">
        <w:rPr>
          <w:b/>
          <w:bCs/>
          <w:noProof/>
        </w:rPr>
        <w:t>7</w:t>
      </w:r>
      <w:r w:rsidRPr="00C71727">
        <w:rPr>
          <w:b/>
          <w:bCs/>
        </w:rPr>
        <w:fldChar w:fldCharType="end"/>
      </w:r>
      <w:r w:rsidR="003F3C58">
        <w:rPr>
          <w:rFonts w:hint="eastAsia"/>
          <w:b/>
          <w:bCs/>
        </w:rPr>
        <w:t>:</w:t>
      </w:r>
      <w:r w:rsidRPr="00C71727">
        <w:rPr>
          <w:rFonts w:hint="eastAsia"/>
          <w:b/>
          <w:bCs/>
        </w:rPr>
        <w:t xml:space="preserve"> </w:t>
      </w:r>
      <w:r w:rsidRPr="00C71727">
        <w:t>MLPMD simulations of various Mo-based clusters on MoS</w:t>
      </w:r>
      <w:r w:rsidRPr="0082282B">
        <w:rPr>
          <w:vertAlign w:val="subscript"/>
        </w:rPr>
        <w:t>2</w:t>
      </w:r>
      <w:r w:rsidRPr="00C71727">
        <w:t xml:space="preserve">: (a-d) Single Mo atom deposition; (e) Mo atom trajectory on the </w:t>
      </w:r>
      <w:r w:rsidRPr="00C71727">
        <w:rPr>
          <w:b/>
          <w:bCs/>
        </w:rPr>
        <w:t>xy</w:t>
      </w:r>
      <w:r w:rsidRPr="00C71727">
        <w:t xml:space="preserve"> plane; (f-j) Mo-S cluster; (k-o) Mo-S</w:t>
      </w:r>
      <w:r w:rsidRPr="0082282B">
        <w:rPr>
          <w:rFonts w:hint="eastAsia"/>
          <w:vertAlign w:val="subscript"/>
        </w:rPr>
        <w:t>2</w:t>
      </w:r>
      <w:r w:rsidRPr="00C71727">
        <w:t xml:space="preserve"> cluster; (p-t) Mo-S</w:t>
      </w:r>
      <w:r w:rsidRPr="0082282B">
        <w:rPr>
          <w:rFonts w:hint="eastAsia"/>
          <w:vertAlign w:val="subscript"/>
        </w:rPr>
        <w:t>3</w:t>
      </w:r>
      <w:r w:rsidRPr="00C71727">
        <w:rPr>
          <w:rFonts w:hint="eastAsia"/>
        </w:rPr>
        <w:t xml:space="preserve"> c</w:t>
      </w:r>
      <w:r w:rsidRPr="00C71727">
        <w:t>luster.</w:t>
      </w:r>
    </w:p>
    <w:p w14:paraId="30360AFA" w14:textId="77777777" w:rsidR="00F967BB" w:rsidRPr="00C71727" w:rsidRDefault="00F967BB">
      <w:pPr>
        <w:jc w:val="center"/>
      </w:pPr>
    </w:p>
    <w:p w14:paraId="244FF49C" w14:textId="77777777" w:rsidR="00F967BB" w:rsidRPr="00C71727" w:rsidRDefault="00F967BB">
      <w:pPr>
        <w:jc w:val="center"/>
      </w:pPr>
    </w:p>
    <w:p w14:paraId="2A67CBB5" w14:textId="77777777" w:rsidR="00F967BB" w:rsidRPr="00C71727" w:rsidRDefault="00000000">
      <w:pPr>
        <w:jc w:val="center"/>
      </w:pPr>
      <w:r w:rsidRPr="00C71727">
        <w:rPr>
          <w:rFonts w:hint="eastAsia"/>
          <w:noProof/>
        </w:rPr>
        <w:lastRenderedPageBreak/>
        <w:drawing>
          <wp:inline distT="0" distB="0" distL="114300" distR="114300" wp14:anchorId="763133D7" wp14:editId="589EA41C">
            <wp:extent cx="4806315" cy="2650490"/>
            <wp:effectExtent l="0" t="0" r="6985" b="3810"/>
            <wp:docPr id="6" name="图片 6" descr="fig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fig_6"/>
                    <pic:cNvPicPr>
                      <a:picLocks noChangeAspect="1"/>
                    </pic:cNvPicPr>
                  </pic:nvPicPr>
                  <pic:blipFill>
                    <a:blip r:embed="rId15"/>
                    <a:stretch>
                      <a:fillRect/>
                    </a:stretch>
                  </pic:blipFill>
                  <pic:spPr>
                    <a:xfrm>
                      <a:off x="0" y="0"/>
                      <a:ext cx="4806315" cy="2650490"/>
                    </a:xfrm>
                    <a:prstGeom prst="rect">
                      <a:avLst/>
                    </a:prstGeom>
                  </pic:spPr>
                </pic:pic>
              </a:graphicData>
            </a:graphic>
          </wp:inline>
        </w:drawing>
      </w:r>
    </w:p>
    <w:p w14:paraId="6AFE99B8" w14:textId="6916246F" w:rsidR="00F967BB" w:rsidRPr="00C71727" w:rsidRDefault="00000000">
      <w:r w:rsidRPr="00C71727">
        <w:rPr>
          <w:rFonts w:hint="eastAsia"/>
          <w:b/>
          <w:bCs/>
        </w:rPr>
        <w:t>F</w:t>
      </w:r>
      <w:r w:rsidR="00CB611A">
        <w:rPr>
          <w:rFonts w:hint="eastAsia"/>
          <w:b/>
          <w:bCs/>
        </w:rPr>
        <w:t>IG</w:t>
      </w:r>
      <w:r w:rsidRPr="00C71727">
        <w:rPr>
          <w:rFonts w:hint="eastAsia"/>
          <w:b/>
          <w:bCs/>
        </w:rPr>
        <w:t>. S</w:t>
      </w:r>
      <w:r w:rsidRPr="00C71727">
        <w:rPr>
          <w:b/>
          <w:bCs/>
        </w:rPr>
        <w:fldChar w:fldCharType="begin"/>
      </w:r>
      <w:r w:rsidRPr="00C71727">
        <w:rPr>
          <w:b/>
          <w:bCs/>
        </w:rPr>
        <w:instrText xml:space="preserve"> SEQ Fig._S \* ARABIC </w:instrText>
      </w:r>
      <w:r w:rsidRPr="00C71727">
        <w:rPr>
          <w:b/>
          <w:bCs/>
        </w:rPr>
        <w:fldChar w:fldCharType="separate"/>
      </w:r>
      <w:r w:rsidR="00E67E0E">
        <w:rPr>
          <w:b/>
          <w:bCs/>
          <w:noProof/>
        </w:rPr>
        <w:t>8</w:t>
      </w:r>
      <w:r w:rsidRPr="00C71727">
        <w:rPr>
          <w:b/>
          <w:bCs/>
        </w:rPr>
        <w:fldChar w:fldCharType="end"/>
      </w:r>
      <w:r w:rsidR="00CB611A">
        <w:rPr>
          <w:rFonts w:hint="eastAsia"/>
          <w:b/>
          <w:bCs/>
        </w:rPr>
        <w:t>:</w:t>
      </w:r>
      <w:r w:rsidRPr="00C71727">
        <w:rPr>
          <w:rFonts w:hint="eastAsia"/>
          <w:b/>
          <w:bCs/>
        </w:rPr>
        <w:t xml:space="preserve"> </w:t>
      </w:r>
      <w:r w:rsidRPr="00C71727">
        <w:t>The growth of the second layer of MoS</w:t>
      </w:r>
      <w:r w:rsidRPr="0082282B">
        <w:rPr>
          <w:vertAlign w:val="subscript"/>
        </w:rPr>
        <w:t>2</w:t>
      </w:r>
      <w:r w:rsidRPr="00C71727">
        <w:t xml:space="preserve"> on MoS</w:t>
      </w:r>
      <w:r w:rsidRPr="0082282B">
        <w:rPr>
          <w:vertAlign w:val="subscript"/>
        </w:rPr>
        <w:t>2</w:t>
      </w:r>
      <w:r w:rsidRPr="00C71727">
        <w:t xml:space="preserve"> and WS</w:t>
      </w:r>
      <w:r w:rsidRPr="0082282B">
        <w:rPr>
          <w:vertAlign w:val="subscript"/>
        </w:rPr>
        <w:t>2</w:t>
      </w:r>
      <w:r w:rsidRPr="00C71727">
        <w:t xml:space="preserve"> monolayer substrates through sequential MD simulations. For the MoS</w:t>
      </w:r>
      <w:r w:rsidRPr="0082282B">
        <w:rPr>
          <w:vertAlign w:val="subscript"/>
        </w:rPr>
        <w:t>2</w:t>
      </w:r>
      <w:r w:rsidRPr="00C71727">
        <w:t xml:space="preserve"> substrate: (a-e). In comparison, for the WS</w:t>
      </w:r>
      <w:r w:rsidRPr="0082282B">
        <w:rPr>
          <w:vertAlign w:val="subscript"/>
        </w:rPr>
        <w:t>2</w:t>
      </w:r>
      <w:r w:rsidRPr="00C71727">
        <w:t xml:space="preserve"> substrate: (f-j).</w:t>
      </w:r>
    </w:p>
    <w:p w14:paraId="445C262C" w14:textId="77777777" w:rsidR="00F967BB" w:rsidRPr="00C71727" w:rsidRDefault="00F967BB"/>
    <w:p w14:paraId="1E31496B" w14:textId="77777777" w:rsidR="00F967BB" w:rsidRPr="00C71727" w:rsidRDefault="00000000">
      <w:pPr>
        <w:pStyle w:val="2"/>
        <w:numPr>
          <w:ilvl w:val="0"/>
          <w:numId w:val="1"/>
        </w:numPr>
      </w:pPr>
      <w:r w:rsidRPr="00C71727">
        <w:t>Electronic Properties of the SMMS Contact with MoS</w:t>
      </w:r>
      <w:r w:rsidRPr="00C57FE4">
        <w:rPr>
          <w:rFonts w:hint="eastAsia"/>
          <w:vertAlign w:val="subscript"/>
        </w:rPr>
        <w:t>2</w:t>
      </w:r>
      <w:r w:rsidRPr="00C71727">
        <w:rPr>
          <w:rFonts w:hint="eastAsia"/>
        </w:rPr>
        <w:tab/>
      </w:r>
    </w:p>
    <w:p w14:paraId="63DA42C5" w14:textId="77777777" w:rsidR="00F967BB" w:rsidRPr="00C71727" w:rsidRDefault="00000000" w:rsidP="007D09D0">
      <w:pPr>
        <w:jc w:val="center"/>
      </w:pPr>
      <w:r w:rsidRPr="00C71727">
        <w:rPr>
          <w:rFonts w:hint="eastAsia"/>
          <w:noProof/>
        </w:rPr>
        <w:drawing>
          <wp:inline distT="0" distB="0" distL="114300" distR="114300" wp14:anchorId="590A9A51" wp14:editId="06CEEE98">
            <wp:extent cx="4806315" cy="2327910"/>
            <wp:effectExtent l="0" t="0" r="6985" b="8890"/>
            <wp:docPr id="8" name="图片 8" descr="图片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图片6"/>
                    <pic:cNvPicPr>
                      <a:picLocks noChangeAspect="1"/>
                    </pic:cNvPicPr>
                  </pic:nvPicPr>
                  <pic:blipFill>
                    <a:blip r:embed="rId16"/>
                    <a:stretch>
                      <a:fillRect/>
                    </a:stretch>
                  </pic:blipFill>
                  <pic:spPr>
                    <a:xfrm>
                      <a:off x="0" y="0"/>
                      <a:ext cx="4806315" cy="2327910"/>
                    </a:xfrm>
                    <a:prstGeom prst="rect">
                      <a:avLst/>
                    </a:prstGeom>
                  </pic:spPr>
                </pic:pic>
              </a:graphicData>
            </a:graphic>
          </wp:inline>
        </w:drawing>
      </w:r>
    </w:p>
    <w:p w14:paraId="4740628C" w14:textId="3B0C402A" w:rsidR="00F967BB" w:rsidRPr="00C71727" w:rsidRDefault="00000000">
      <w:pPr>
        <w:keepNext/>
      </w:pPr>
      <w:bookmarkStart w:id="5" w:name="_Ref177995943"/>
      <w:r w:rsidRPr="00C71727">
        <w:rPr>
          <w:rFonts w:hint="eastAsia"/>
          <w:b/>
          <w:bCs/>
        </w:rPr>
        <w:t>F</w:t>
      </w:r>
      <w:r w:rsidR="00A3169F">
        <w:rPr>
          <w:rFonts w:hint="eastAsia"/>
          <w:b/>
          <w:bCs/>
        </w:rPr>
        <w:t>IG</w:t>
      </w:r>
      <w:r w:rsidRPr="00C71727">
        <w:rPr>
          <w:rFonts w:hint="eastAsia"/>
          <w:b/>
          <w:bCs/>
        </w:rPr>
        <w:t>. S</w:t>
      </w:r>
      <w:r w:rsidRPr="00C71727">
        <w:rPr>
          <w:b/>
          <w:bCs/>
        </w:rPr>
        <w:fldChar w:fldCharType="begin"/>
      </w:r>
      <w:r w:rsidRPr="00C71727">
        <w:rPr>
          <w:b/>
          <w:bCs/>
        </w:rPr>
        <w:instrText xml:space="preserve"> SEQ Fig._S \* ARABIC </w:instrText>
      </w:r>
      <w:r w:rsidRPr="00C71727">
        <w:rPr>
          <w:b/>
          <w:bCs/>
        </w:rPr>
        <w:fldChar w:fldCharType="separate"/>
      </w:r>
      <w:r w:rsidR="00E67E0E">
        <w:rPr>
          <w:b/>
          <w:bCs/>
          <w:noProof/>
        </w:rPr>
        <w:t>9</w:t>
      </w:r>
      <w:r w:rsidRPr="00C71727">
        <w:rPr>
          <w:b/>
          <w:bCs/>
        </w:rPr>
        <w:fldChar w:fldCharType="end"/>
      </w:r>
      <w:bookmarkEnd w:id="5"/>
      <w:r w:rsidR="00A3169F">
        <w:rPr>
          <w:rFonts w:hint="eastAsia"/>
          <w:b/>
          <w:bCs/>
        </w:rPr>
        <w:t>:</w:t>
      </w:r>
      <w:r w:rsidRPr="00C71727">
        <w:rPr>
          <w:rFonts w:hint="eastAsia"/>
          <w:b/>
          <w:bCs/>
        </w:rPr>
        <w:t xml:space="preserve"> </w:t>
      </w:r>
      <w:r w:rsidRPr="00C71727">
        <w:t>Local density of states (LDOS) at the interface of TMD heterostructures calculated using PBE functional. (a) LDOS of the SMoMoS-MoS</w:t>
      </w:r>
      <w:r w:rsidRPr="0082282B">
        <w:rPr>
          <w:vertAlign w:val="subscript"/>
        </w:rPr>
        <w:t>2</w:t>
      </w:r>
      <w:r w:rsidRPr="00C71727">
        <w:t xml:space="preserve"> interface. (b) LDOS of the alloyed SMMS-MoS</w:t>
      </w:r>
      <w:r w:rsidRPr="0082282B">
        <w:rPr>
          <w:vertAlign w:val="subscript"/>
        </w:rPr>
        <w:t>2</w:t>
      </w:r>
      <w:r w:rsidRPr="00C71727">
        <w:t xml:space="preserve"> interface. Top panels show the atomic configurations of the interfaces, with yellow spheres representing S atoms, green spheres representing Mo atoms, and white spheres representing W atoms. Bottom panels display the calculated LDOS, where the blue dashed lines represent the LDOS of the intermediate structures (SMoMoS or SMMS), and the green solid lines represent the LDOS of MoS</w:t>
      </w:r>
      <w:r w:rsidRPr="00C57FE4">
        <w:rPr>
          <w:vertAlign w:val="subscript"/>
        </w:rPr>
        <w:t>2</w:t>
      </w:r>
      <w:r w:rsidRPr="00C71727">
        <w:t xml:space="preserve">. The Fermi level is set to 0 </w:t>
      </w:r>
      <w:r w:rsidRPr="00C71727">
        <w:lastRenderedPageBreak/>
        <w:t>eV.</w:t>
      </w:r>
    </w:p>
    <w:p w14:paraId="0C116CAE" w14:textId="77777777" w:rsidR="00F967BB" w:rsidRPr="00C71727" w:rsidRDefault="00F967BB">
      <w:pPr>
        <w:keepNext/>
      </w:pPr>
    </w:p>
    <w:p w14:paraId="1382FE32" w14:textId="6512A714" w:rsidR="00F967BB" w:rsidRPr="00C71727" w:rsidRDefault="00000000">
      <w:r w:rsidRPr="00C71727">
        <w:t>To investigate the electronic properties and potential applications of the identified intermediate structures, we constructed heterostructures and calculated the p-type Schottky barrier height</w:t>
      </w:r>
      <w:r w:rsidRPr="00C71727">
        <w:rPr>
          <w:rFonts w:hint="eastAsia"/>
        </w:rPr>
        <w:t>(SBH)</w:t>
      </w:r>
      <w:r w:rsidRPr="00C71727">
        <w:t xml:space="preserve"> using the PBE functional</w:t>
      </w:r>
      <w:r w:rsidRPr="00C71727">
        <w:fldChar w:fldCharType="begin"/>
      </w:r>
      <w:r w:rsidRPr="00C71727">
        <w:instrText xml:space="preserve"> ADDIN ZOTERO_ITEM CSL_CITATION {"citationID":"5fFS5tI7","properties":{"formattedCitation":"\\uc0\\u160{}[12,13]","plainCitation":" [12,13]","noteIndex":0},"citationItems":[{"id":5637,"uris":["http://zotero.org/users/7775255/items/A6XL7I5J"],"itemData":{"id":5637,"type":"article-journal","abstract":"Recent experimental synthesis of two-dimensional (2D) heterostructures opens a door to new opportunities in tailoring the electronic properties for novel 2D devices. Here, we show that a wide range of lateral 2D heterostructures could have a prominent advantage over the traditional threedimensional (3D) heterostructures, because their band alignments are insensitive to the interfacial conditions. They should be at the Schottky–Mott limits for semiconductor–metal junctions and at the Anderson limits for semiconductor junctions, respectively. This fundamental difference from the 3D heterostructures is rooted in the fact that, in the asymptotic limit of large distance, the effect of the interfacial dipole vanishes for 2D systems. Due to the slow decay of the dipole ﬁeld and the dependence on the vacuum thickness, however, studies based on ﬁrst-principles calculations often failed to reach such a conclusion. Taking graphene/hexagonal-BN and MoS2/WS2 lateral heterostructures as the respective prototypes, we show that the converged junction width can be order of magnitude longer than that for 3D junctions. The present results provide vital guidance to high-quality transport devices wherever a lateral 2D heterostructure is involved.","container-title":"2D Materials","DOI":"10.1088/2053-1583/aa50cc","ISSN":"2053-1583","issue":"1","journalAbbreviation":"2D Mater.","language":"en","page":"015038","source":"DOI.org (Crossref)","title":"Band alignment of two-dimensional lateral heterostructures","volume":"4","author":[{"family":"Zhang","given":"Junfeng"},{"family":"Xie","given":"Weiyu"},{"family":"Zhao","given":"Jijun"},{"family":"Zhang","given":"Shengbai"}],"issued":{"date-parts":[["2016",12,19]]},"citation-key":"zhangBandAlignmentTwodimensional2016"}},{"id":5647,"uris":["http://zotero.org/users/7775255/items/VK47LZJL"],"itemData":{"id":5647,"type":"article-journal","abstract":"The formation of the Schottky barrier height (SBH) is a complex problem because of the dependence of the SBH on the atomic structure of the metal-semiconductor (MS) interface. Existing models of the SBH are too simple to realistically treat the chemistry exhibited at MS interfaces. This article points out, through examination of available experimental and theoretical results, that a comprehensive, quantum-mechanics-based picture of SBH formation can already be constructed, although no simple equations can emerge, which are applicable for all MS interfaces. Important concepts and principles in physics and chemistry that govern the formation of the SBH are described in detail, from which the experimental and theoretical results for individual MS interfaces can be understood. Strategies used and results obtained from recent investigations to systematically modify the SBH are also examined from the perspective of the physical and chemical principles of the MS interface.","container-title":"Applied Physics Reviews","DOI":"10.1063/1.4858400","ISSN":"1931-9401","issue":"1","language":"en","page":"011304","source":"DOI.org (Crossref)","title":"The physics and chemistry of the Schottky barrier height","volume":"1","author":[{"family":"Tung","given":"Raymond T."}],"issued":{"date-parts":[["2014",3,1]]},"citation-key":"tungPhysicsChemistrySchottky2014"}}],"schema":"https://github.com/citation-style-language/schema/raw/master/csl-citation.json"} </w:instrText>
      </w:r>
      <w:r w:rsidRPr="00C71727">
        <w:fldChar w:fldCharType="separate"/>
      </w:r>
      <w:r w:rsidRPr="00C71727">
        <w:t> [2]</w:t>
      </w:r>
      <w:r w:rsidRPr="00C71727">
        <w:fldChar w:fldCharType="end"/>
      </w:r>
      <w:r w:rsidRPr="00C71727">
        <w:t>. Figure S4 presents the local density of states (LDOS) at the interfaces of these TMD heterostructures.</w:t>
      </w:r>
      <w:r w:rsidRPr="00C71727">
        <w:rPr>
          <w:rFonts w:hint="eastAsia"/>
        </w:rPr>
        <w:t xml:space="preserve"> </w:t>
      </w:r>
    </w:p>
    <w:p w14:paraId="235E735F" w14:textId="3A61B686" w:rsidR="00F967BB" w:rsidRPr="00C71727" w:rsidRDefault="00000000">
      <w:r w:rsidRPr="00C71727">
        <w:fldChar w:fldCharType="begin"/>
      </w:r>
      <w:r w:rsidRPr="00C71727">
        <w:instrText xml:space="preserve"> </w:instrText>
      </w:r>
      <w:r w:rsidRPr="00C71727">
        <w:rPr>
          <w:rFonts w:hint="eastAsia"/>
        </w:rPr>
        <w:instrText>REF _Ref177995943 \h</w:instrText>
      </w:r>
      <w:r w:rsidRPr="00C71727">
        <w:instrText xml:space="preserve">  \* MERGEFORMAT </w:instrText>
      </w:r>
      <w:r w:rsidRPr="00C71727">
        <w:fldChar w:fldCharType="separate"/>
      </w:r>
      <w:r w:rsidR="00E67E0E" w:rsidRPr="00E67E0E">
        <w:rPr>
          <w:rFonts w:hint="eastAsia"/>
        </w:rPr>
        <w:t>FIG. S</w:t>
      </w:r>
      <w:r w:rsidR="00E67E0E" w:rsidRPr="00E67E0E">
        <w:t>9</w:t>
      </w:r>
      <w:r w:rsidRPr="00C71727">
        <w:fldChar w:fldCharType="end"/>
      </w:r>
      <w:r w:rsidRPr="00C71727">
        <w:rPr>
          <w:rFonts w:hint="eastAsia"/>
        </w:rPr>
        <w:t>(</w:t>
      </w:r>
      <w:r w:rsidRPr="00C71727">
        <w:t>a</w:t>
      </w:r>
      <w:r w:rsidRPr="00C71727">
        <w:rPr>
          <w:rFonts w:hint="eastAsia"/>
        </w:rPr>
        <w:t>)</w:t>
      </w:r>
      <w:r w:rsidRPr="00C71727">
        <w:t xml:space="preserve"> shows the LDOS of the SMoMoS-MoS</w:t>
      </w:r>
      <w:r w:rsidRPr="0082282B">
        <w:rPr>
          <w:vertAlign w:val="subscript"/>
        </w:rPr>
        <w:t>2</w:t>
      </w:r>
      <w:r w:rsidRPr="00C71727">
        <w:t xml:space="preserve"> interface, while </w:t>
      </w:r>
      <w:r w:rsidRPr="00C71727">
        <w:fldChar w:fldCharType="begin"/>
      </w:r>
      <w:r w:rsidRPr="00C71727">
        <w:instrText xml:space="preserve"> </w:instrText>
      </w:r>
      <w:r w:rsidRPr="00C71727">
        <w:rPr>
          <w:rFonts w:hint="eastAsia"/>
        </w:rPr>
        <w:instrText>REF _Ref177995943 \h</w:instrText>
      </w:r>
      <w:r w:rsidRPr="00C71727">
        <w:instrText xml:space="preserve">  \* MERGEFORMAT </w:instrText>
      </w:r>
      <w:r w:rsidRPr="00C71727">
        <w:fldChar w:fldCharType="separate"/>
      </w:r>
      <w:r w:rsidR="00E67E0E" w:rsidRPr="00E67E0E">
        <w:rPr>
          <w:rFonts w:hint="eastAsia"/>
        </w:rPr>
        <w:t>FIG. S</w:t>
      </w:r>
      <w:r w:rsidR="00E67E0E" w:rsidRPr="00E67E0E">
        <w:t>9</w:t>
      </w:r>
      <w:r w:rsidRPr="00C71727">
        <w:fldChar w:fldCharType="end"/>
      </w:r>
      <w:r w:rsidRPr="00C71727">
        <w:rPr>
          <w:rFonts w:hint="eastAsia"/>
        </w:rPr>
        <w:t>(</w:t>
      </w:r>
      <w:r w:rsidRPr="00C71727">
        <w:t>b</w:t>
      </w:r>
      <w:r w:rsidRPr="00C71727">
        <w:rPr>
          <w:rFonts w:hint="eastAsia"/>
        </w:rPr>
        <w:t>)</w:t>
      </w:r>
      <w:r w:rsidRPr="00C71727">
        <w:t xml:space="preserve"> displays the LDOS of the alloyed SMMS-MoS</w:t>
      </w:r>
      <w:r w:rsidRPr="0082282B">
        <w:rPr>
          <w:vertAlign w:val="subscript"/>
        </w:rPr>
        <w:t>2</w:t>
      </w:r>
      <w:r w:rsidRPr="00C71727">
        <w:t xml:space="preserve"> interface. The top panels illustrate the atomic configurations of these interfaces, with yellow, green, and white spheres representing S, Mo, and W atoms, respectively. In the bottom panels, the calculated LDOS is presented, where blue dashed lines represent the LDOS of the intermediate structures (SMoMoS or SMMS), and green solid lines represent the LDOS of MoS</w:t>
      </w:r>
      <w:r w:rsidRPr="0082282B">
        <w:rPr>
          <w:vertAlign w:val="subscript"/>
        </w:rPr>
        <w:t>2</w:t>
      </w:r>
      <w:r w:rsidRPr="00C71727">
        <w:t>. The Fermi level is set to 0 eV.</w:t>
      </w:r>
    </w:p>
    <w:p w14:paraId="797CC79E" w14:textId="19A4A80E" w:rsidR="00F967BB" w:rsidRPr="00C71727" w:rsidRDefault="00000000">
      <w:r w:rsidRPr="00C71727">
        <w:t>Analysis of these LDOS profiles reveals the formation of p-type Schottky barriers at both interfaces. For the SMoMoS-MoS</w:t>
      </w:r>
      <w:r w:rsidRPr="0082282B">
        <w:rPr>
          <w:vertAlign w:val="subscript"/>
        </w:rPr>
        <w:t>2</w:t>
      </w:r>
      <w:r w:rsidRPr="00C71727">
        <w:rPr>
          <w:rFonts w:hint="eastAsia"/>
        </w:rPr>
        <w:t xml:space="preserve"> </w:t>
      </w:r>
      <w:r w:rsidRPr="00C71727">
        <w:t>interface (</w:t>
      </w:r>
      <w:r w:rsidRPr="00C71727">
        <w:fldChar w:fldCharType="begin"/>
      </w:r>
      <w:r w:rsidRPr="00C71727">
        <w:instrText xml:space="preserve"> </w:instrText>
      </w:r>
      <w:r w:rsidRPr="00C71727">
        <w:rPr>
          <w:rFonts w:hint="eastAsia"/>
        </w:rPr>
        <w:instrText>REF _Ref177995943 \h</w:instrText>
      </w:r>
      <w:r w:rsidRPr="00C71727">
        <w:instrText xml:space="preserve">  \* MERGEFORMAT </w:instrText>
      </w:r>
      <w:r w:rsidRPr="00C71727">
        <w:fldChar w:fldCharType="separate"/>
      </w:r>
      <w:r w:rsidR="00E67E0E" w:rsidRPr="00E67E0E">
        <w:rPr>
          <w:rFonts w:hint="eastAsia"/>
        </w:rPr>
        <w:t>FIG. S</w:t>
      </w:r>
      <w:r w:rsidR="00E67E0E" w:rsidRPr="00E67E0E">
        <w:t>9</w:t>
      </w:r>
      <w:r w:rsidRPr="00C71727">
        <w:fldChar w:fldCharType="end"/>
      </w:r>
      <w:r w:rsidRPr="00C71727">
        <w:rPr>
          <w:rFonts w:hint="eastAsia"/>
        </w:rPr>
        <w:t>(</w:t>
      </w:r>
      <w:r w:rsidRPr="00C71727">
        <w:t>a</w:t>
      </w:r>
      <w:r w:rsidRPr="00C71727">
        <w:rPr>
          <w:rFonts w:hint="eastAsia"/>
        </w:rPr>
        <w:t>)</w:t>
      </w:r>
      <w:r w:rsidRPr="00C71727">
        <w:t xml:space="preserve">), we estimate a </w:t>
      </w:r>
      <w:r w:rsidRPr="00C71727">
        <w:rPr>
          <w:rFonts w:hint="eastAsia"/>
        </w:rPr>
        <w:t>SBH</w:t>
      </w:r>
      <w:r w:rsidRPr="00C71727">
        <w:t xml:space="preserve"> of approximately 0.5 eV. In contrast, the alloyed SMMS-MoS</w:t>
      </w:r>
      <w:r w:rsidRPr="0082282B">
        <w:rPr>
          <w:vertAlign w:val="subscript"/>
        </w:rPr>
        <w:t>2</w:t>
      </w:r>
      <w:r w:rsidRPr="00C71727">
        <w:t xml:space="preserve"> interface (</w:t>
      </w:r>
      <w:r w:rsidRPr="00C71727">
        <w:fldChar w:fldCharType="begin"/>
      </w:r>
      <w:r w:rsidRPr="00C71727">
        <w:instrText xml:space="preserve"> </w:instrText>
      </w:r>
      <w:r w:rsidRPr="00C71727">
        <w:rPr>
          <w:rFonts w:hint="eastAsia"/>
        </w:rPr>
        <w:instrText>REF _Ref177995943 \h</w:instrText>
      </w:r>
      <w:r w:rsidRPr="00C71727">
        <w:instrText xml:space="preserve">  \* MERGEFORMAT </w:instrText>
      </w:r>
      <w:r w:rsidRPr="00C71727">
        <w:fldChar w:fldCharType="separate"/>
      </w:r>
      <w:r w:rsidR="00E67E0E" w:rsidRPr="00E67E0E">
        <w:rPr>
          <w:rFonts w:hint="eastAsia"/>
        </w:rPr>
        <w:t>FIG. S</w:t>
      </w:r>
      <w:r w:rsidR="00E67E0E" w:rsidRPr="00E67E0E">
        <w:t>9</w:t>
      </w:r>
      <w:r w:rsidRPr="00C71727">
        <w:fldChar w:fldCharType="end"/>
      </w:r>
      <w:r w:rsidRPr="00C71727">
        <w:rPr>
          <w:rFonts w:hint="eastAsia"/>
        </w:rPr>
        <w:t>(</w:t>
      </w:r>
      <w:r w:rsidRPr="00C71727">
        <w:t>b</w:t>
      </w:r>
      <w:r w:rsidRPr="00C71727">
        <w:rPr>
          <w:rFonts w:hint="eastAsia"/>
        </w:rPr>
        <w:t>)</w:t>
      </w:r>
      <w:r w:rsidRPr="00C71727">
        <w:t>) exhibits a slightly higher barrier of about 0.6 eV. These findings are significant as they suggest that these intermediate structures, particularly SMoMoS, could potentially serve as low-resistance contacts for MoS</w:t>
      </w:r>
      <w:r w:rsidRPr="00C57FE4">
        <w:rPr>
          <w:vertAlign w:val="subscript"/>
        </w:rPr>
        <w:t>2</w:t>
      </w:r>
      <w:r w:rsidRPr="00C71727">
        <w:t xml:space="preserve">-based electronic devices. The relatively low </w:t>
      </w:r>
      <w:r w:rsidRPr="00C71727">
        <w:rPr>
          <w:rFonts w:hint="eastAsia"/>
        </w:rPr>
        <w:t>SBHs</w:t>
      </w:r>
      <w:r w:rsidRPr="00C71727">
        <w:t xml:space="preserve"> indicate favorable charge transport characteristics, which could be advantageous for various applications in nanoelectronics and optoelectronics utilizing TMD heterostructures.</w:t>
      </w:r>
    </w:p>
    <w:p w14:paraId="4302FCDF" w14:textId="77777777" w:rsidR="00F967BB" w:rsidRPr="00C71727" w:rsidRDefault="00F967BB"/>
    <w:p w14:paraId="64ABD63E" w14:textId="77777777" w:rsidR="00F967BB" w:rsidRPr="00C71727" w:rsidRDefault="00000000">
      <w:pPr>
        <w:pStyle w:val="ae"/>
        <w:widowControl/>
      </w:pPr>
      <w:r w:rsidRPr="00C71727">
        <w:rPr>
          <w:noProof/>
        </w:rPr>
        <w:drawing>
          <wp:inline distT="0" distB="0" distL="114300" distR="114300" wp14:anchorId="4BA3F68A" wp14:editId="6C35E43F">
            <wp:extent cx="6390005" cy="1929765"/>
            <wp:effectExtent l="0" t="0" r="10795" b="635"/>
            <wp:docPr id="10"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descr="IMG_256"/>
                    <pic:cNvPicPr>
                      <a:picLocks noChangeAspect="1"/>
                    </pic:cNvPicPr>
                  </pic:nvPicPr>
                  <pic:blipFill>
                    <a:blip r:embed="rId17"/>
                    <a:stretch>
                      <a:fillRect/>
                    </a:stretch>
                  </pic:blipFill>
                  <pic:spPr>
                    <a:xfrm>
                      <a:off x="0" y="0"/>
                      <a:ext cx="6390005" cy="1929765"/>
                    </a:xfrm>
                    <a:prstGeom prst="rect">
                      <a:avLst/>
                    </a:prstGeom>
                    <a:noFill/>
                    <a:ln w="9525">
                      <a:noFill/>
                    </a:ln>
                  </pic:spPr>
                </pic:pic>
              </a:graphicData>
            </a:graphic>
          </wp:inline>
        </w:drawing>
      </w:r>
    </w:p>
    <w:p w14:paraId="2F47038F" w14:textId="77777777" w:rsidR="00F967BB" w:rsidRPr="00C71727" w:rsidRDefault="00F967BB">
      <w:pPr>
        <w:jc w:val="center"/>
      </w:pPr>
    </w:p>
    <w:p w14:paraId="5260422A" w14:textId="434D1652" w:rsidR="00F967BB" w:rsidRPr="00C71727" w:rsidRDefault="00000000">
      <w:bookmarkStart w:id="6" w:name="_Ref177995976"/>
      <w:r w:rsidRPr="00C71727">
        <w:rPr>
          <w:rFonts w:hint="eastAsia"/>
          <w:b/>
          <w:bCs/>
        </w:rPr>
        <w:t>F</w:t>
      </w:r>
      <w:r w:rsidR="00D538A3">
        <w:rPr>
          <w:rFonts w:hint="eastAsia"/>
          <w:b/>
          <w:bCs/>
        </w:rPr>
        <w:t>IG</w:t>
      </w:r>
      <w:r w:rsidRPr="00C71727">
        <w:rPr>
          <w:rFonts w:hint="eastAsia"/>
          <w:b/>
          <w:bCs/>
        </w:rPr>
        <w:t>. S</w:t>
      </w:r>
      <w:r w:rsidRPr="00C71727">
        <w:rPr>
          <w:b/>
          <w:bCs/>
        </w:rPr>
        <w:fldChar w:fldCharType="begin"/>
      </w:r>
      <w:r w:rsidRPr="00C71727">
        <w:rPr>
          <w:b/>
          <w:bCs/>
        </w:rPr>
        <w:instrText xml:space="preserve"> SEQ Fig._S \* ARABIC </w:instrText>
      </w:r>
      <w:r w:rsidRPr="00C71727">
        <w:rPr>
          <w:b/>
          <w:bCs/>
        </w:rPr>
        <w:fldChar w:fldCharType="separate"/>
      </w:r>
      <w:r w:rsidR="00E67E0E">
        <w:rPr>
          <w:b/>
          <w:bCs/>
          <w:noProof/>
        </w:rPr>
        <w:t>10</w:t>
      </w:r>
      <w:r w:rsidRPr="00C71727">
        <w:rPr>
          <w:b/>
          <w:bCs/>
        </w:rPr>
        <w:fldChar w:fldCharType="end"/>
      </w:r>
      <w:bookmarkEnd w:id="6"/>
      <w:r w:rsidR="00D538A3">
        <w:rPr>
          <w:rFonts w:hint="eastAsia"/>
          <w:b/>
          <w:bCs/>
        </w:rPr>
        <w:t>:</w:t>
      </w:r>
      <w:r w:rsidRPr="00C71727">
        <w:rPr>
          <w:rFonts w:hint="eastAsia"/>
          <w:b/>
          <w:bCs/>
        </w:rPr>
        <w:t xml:space="preserve"> </w:t>
      </w:r>
      <w:r w:rsidRPr="00C71727">
        <w:t>Work function calculations using HSE06 functional for different structures. (a) MoS</w:t>
      </w:r>
      <w:r w:rsidRPr="0082282B">
        <w:rPr>
          <w:vertAlign w:val="subscript"/>
        </w:rPr>
        <w:t>2</w:t>
      </w:r>
      <w:r w:rsidRPr="00C71727">
        <w:t xml:space="preserve"> </w:t>
      </w:r>
      <w:r w:rsidRPr="00C71727">
        <w:lastRenderedPageBreak/>
        <w:t>monolayer with a ionization energy</w:t>
      </w:r>
      <w:r w:rsidRPr="00C71727">
        <w:rPr>
          <w:rFonts w:hint="eastAsia"/>
        </w:rPr>
        <w:t xml:space="preserve"> </w:t>
      </w:r>
      <w:r w:rsidRPr="00C71727">
        <w:t>of 6.31 eV. (b) SMoMoS intermediate structure with a work function of 5.76 eV. (c) Alloyed SMMS structure with a work function of 5.62 eV. The plots show the planar-averaged electrostatic potential as a function of position perpendicular to the layer, demonstrating the potential difference between vacuum level and Fermi level.</w:t>
      </w:r>
    </w:p>
    <w:p w14:paraId="471E193E" w14:textId="4CDB5809" w:rsidR="00F967BB" w:rsidRPr="00170F3D" w:rsidRDefault="00000000">
      <w:pPr>
        <w:rPr>
          <w:rFonts w:hint="eastAsia"/>
        </w:rPr>
      </w:pPr>
      <w:r w:rsidRPr="00C71727">
        <w:t>To further validate our findings on the electronic properties of the intermediate structures and their potential applications, we performed more accurate work function calculations using the HSE06 functional.</w:t>
      </w:r>
      <w:r w:rsidRPr="00C71727">
        <w:rPr>
          <w:rFonts w:hint="eastAsia"/>
        </w:rPr>
        <w:t xml:space="preserve"> </w:t>
      </w:r>
      <w:r w:rsidRPr="00C71727">
        <w:fldChar w:fldCharType="begin"/>
      </w:r>
      <w:r w:rsidRPr="00C71727">
        <w:instrText xml:space="preserve"> REF _Ref177995976 \h  \* MERGEFORMAT </w:instrText>
      </w:r>
      <w:r w:rsidRPr="00C71727">
        <w:fldChar w:fldCharType="separate"/>
      </w:r>
      <w:r w:rsidR="00E67E0E" w:rsidRPr="00E67E0E">
        <w:rPr>
          <w:rFonts w:hint="eastAsia"/>
        </w:rPr>
        <w:t>FIG. S</w:t>
      </w:r>
      <w:r w:rsidR="00E67E0E" w:rsidRPr="00E67E0E">
        <w:t>10</w:t>
      </w:r>
      <w:r w:rsidRPr="00C71727">
        <w:fldChar w:fldCharType="end"/>
      </w:r>
      <w:r w:rsidRPr="00C71727">
        <w:t xml:space="preserve"> presents these results for different structures. The MoS</w:t>
      </w:r>
      <w:r w:rsidRPr="0082282B">
        <w:rPr>
          <w:vertAlign w:val="subscript"/>
        </w:rPr>
        <w:t>2</w:t>
      </w:r>
      <w:r w:rsidRPr="00C71727">
        <w:t xml:space="preserve"> monolayer exhibits a ionization energy of 6.31 eV (</w:t>
      </w:r>
      <w:r w:rsidRPr="00C71727">
        <w:fldChar w:fldCharType="begin"/>
      </w:r>
      <w:r w:rsidRPr="00C71727">
        <w:instrText xml:space="preserve"> REF _Ref177995976 \h  \* MERGEFORMAT </w:instrText>
      </w:r>
      <w:r w:rsidRPr="00C71727">
        <w:fldChar w:fldCharType="separate"/>
      </w:r>
      <w:r w:rsidR="00E67E0E" w:rsidRPr="00E67E0E">
        <w:rPr>
          <w:rFonts w:hint="eastAsia"/>
        </w:rPr>
        <w:t>FIG. S</w:t>
      </w:r>
      <w:r w:rsidR="00E67E0E" w:rsidRPr="00E67E0E">
        <w:t>10</w:t>
      </w:r>
      <w:r w:rsidRPr="00C71727">
        <w:fldChar w:fldCharType="end"/>
      </w:r>
      <w:r w:rsidRPr="00C71727">
        <w:rPr>
          <w:rFonts w:hint="eastAsia"/>
        </w:rPr>
        <w:t>(</w:t>
      </w:r>
      <w:r w:rsidRPr="00C71727">
        <w:t>a</w:t>
      </w:r>
      <w:r w:rsidRPr="00C71727">
        <w:rPr>
          <w:rFonts w:hint="eastAsia"/>
        </w:rPr>
        <w:t>)</w:t>
      </w:r>
      <w:r w:rsidRPr="00C71727">
        <w:t>), serving as our reference. The SMoMoS intermediate structure shows a lower work function of 5.76 eV (</w:t>
      </w:r>
      <w:r w:rsidRPr="00C71727">
        <w:fldChar w:fldCharType="begin"/>
      </w:r>
      <w:r w:rsidRPr="00C71727">
        <w:instrText xml:space="preserve"> REF _Ref177995976 \h  \* MERGEFORMAT </w:instrText>
      </w:r>
      <w:r w:rsidRPr="00C71727">
        <w:fldChar w:fldCharType="separate"/>
      </w:r>
      <w:r w:rsidR="00E67E0E" w:rsidRPr="00E67E0E">
        <w:rPr>
          <w:rFonts w:hint="eastAsia"/>
        </w:rPr>
        <w:t>FIG. S</w:t>
      </w:r>
      <w:r w:rsidR="00E67E0E" w:rsidRPr="00E67E0E">
        <w:t>10</w:t>
      </w:r>
      <w:r w:rsidRPr="00C71727">
        <w:fldChar w:fldCharType="end"/>
      </w:r>
      <w:r w:rsidRPr="00C71727">
        <w:rPr>
          <w:rFonts w:hint="eastAsia"/>
        </w:rPr>
        <w:t>(</w:t>
      </w:r>
      <w:r w:rsidRPr="00C71727">
        <w:t>b</w:t>
      </w:r>
      <w:r w:rsidRPr="00C71727">
        <w:rPr>
          <w:rFonts w:hint="eastAsia"/>
        </w:rPr>
        <w:t>)</w:t>
      </w:r>
      <w:r w:rsidRPr="00C71727">
        <w:t>), while the alloyed SMMS structure has a work function of 5.62 eV (</w:t>
      </w:r>
      <w:r w:rsidRPr="00C71727">
        <w:fldChar w:fldCharType="begin"/>
      </w:r>
      <w:r w:rsidRPr="00C71727">
        <w:instrText xml:space="preserve"> REF _Ref177995976 \h  \* MERGEFORMAT </w:instrText>
      </w:r>
      <w:r w:rsidRPr="00C71727">
        <w:fldChar w:fldCharType="separate"/>
      </w:r>
      <w:r w:rsidR="00E67E0E" w:rsidRPr="00E67E0E">
        <w:rPr>
          <w:rFonts w:hint="eastAsia"/>
        </w:rPr>
        <w:t>FIG. S</w:t>
      </w:r>
      <w:r w:rsidR="00E67E0E" w:rsidRPr="00E67E0E">
        <w:t>10</w:t>
      </w:r>
      <w:r w:rsidRPr="00C71727">
        <w:fldChar w:fldCharType="end"/>
      </w:r>
      <w:r w:rsidRPr="00C71727">
        <w:rPr>
          <w:rFonts w:hint="eastAsia"/>
        </w:rPr>
        <w:t>(</w:t>
      </w:r>
      <w:r w:rsidRPr="00C71727">
        <w:t>c</w:t>
      </w:r>
      <w:r w:rsidRPr="00C71727">
        <w:rPr>
          <w:rFonts w:hint="eastAsia"/>
        </w:rPr>
        <w:t>)</w:t>
      </w:r>
      <w:r w:rsidRPr="00C71727">
        <w:t>). Using these values, we can calculate the p-type SBH by subtracting the metal-like intermediate structure's work function from that of MoS</w:t>
      </w:r>
      <w:r w:rsidRPr="0082282B">
        <w:rPr>
          <w:vertAlign w:val="subscript"/>
        </w:rPr>
        <w:t>2</w:t>
      </w:r>
      <w:r w:rsidRPr="00C71727">
        <w:t>. This yields a SBH of 0.55 eV for the SMoMoS-MoS</w:t>
      </w:r>
      <w:r w:rsidRPr="0082282B">
        <w:rPr>
          <w:vertAlign w:val="subscript"/>
        </w:rPr>
        <w:t>2</w:t>
      </w:r>
      <w:r w:rsidRPr="00C71727">
        <w:t xml:space="preserve"> interface and 0.69 eV for the SMMS-MoS</w:t>
      </w:r>
      <w:r w:rsidRPr="0082282B">
        <w:rPr>
          <w:vertAlign w:val="subscript"/>
        </w:rPr>
        <w:t>2</w:t>
      </w:r>
      <w:r w:rsidRPr="00C71727">
        <w:t xml:space="preserve"> interface. These results align well with our previous LDOS analysis and provide more precise quantification of the barrier heights. The relatively low SBH values, particularly for the SMoMoS-MoS</w:t>
      </w:r>
      <w:r w:rsidRPr="0082282B">
        <w:rPr>
          <w:vertAlign w:val="subscript"/>
        </w:rPr>
        <w:t>2</w:t>
      </w:r>
      <w:r w:rsidRPr="00C71727">
        <w:t xml:space="preserve"> interface, further support the potential of these intermediate structures as favorable electrical contacts in MoS</w:t>
      </w:r>
      <w:r w:rsidRPr="0082282B">
        <w:rPr>
          <w:vertAlign w:val="subscript"/>
        </w:rPr>
        <w:t>2</w:t>
      </w:r>
      <w:r w:rsidRPr="00C71727">
        <w:t>-based devices, potentially enabling efficient hole injection or extraction in electronic and optoelectronic applications.</w:t>
      </w:r>
    </w:p>
    <w:p w14:paraId="68BB3816" w14:textId="77777777" w:rsidR="00F967BB" w:rsidRDefault="00000000">
      <w:pPr>
        <w:pStyle w:val="2"/>
      </w:pPr>
      <w:r w:rsidRPr="00C71727">
        <w:rPr>
          <w:rFonts w:hint="eastAsia"/>
        </w:rPr>
        <w:t>References</w:t>
      </w:r>
    </w:p>
    <w:p w14:paraId="44C8AD16" w14:textId="29AE11F8" w:rsidR="00566E3B" w:rsidRPr="00566E3B" w:rsidRDefault="00566E3B" w:rsidP="00566E3B">
      <w:pPr>
        <w:pStyle w:val="2"/>
        <w:rPr>
          <w:b w:val="0"/>
        </w:rPr>
      </w:pPr>
      <w:r w:rsidRPr="00566E3B">
        <w:rPr>
          <w:b w:val="0"/>
        </w:rPr>
        <w:t>[1]</w:t>
      </w:r>
      <w:r w:rsidRPr="00566E3B">
        <w:rPr>
          <w:b w:val="0"/>
        </w:rPr>
        <w:tab/>
        <w:t>J. D. Morrow, J. L. A. Gardner, and V. L. Deringer, How to Validate Machine-Learned Interatomic Potentials, The Journal of Chemical Physics 158, 121501 (2023).</w:t>
      </w:r>
    </w:p>
    <w:p w14:paraId="1099DAD7" w14:textId="15F414C3" w:rsidR="00566E3B" w:rsidRPr="00C71727" w:rsidRDefault="00566E3B" w:rsidP="00566E3B">
      <w:pPr>
        <w:pStyle w:val="22"/>
      </w:pPr>
      <w:r w:rsidRPr="00566E3B">
        <w:t>[2]</w:t>
      </w:r>
      <w:r w:rsidRPr="00566E3B">
        <w:tab/>
        <w:t>R. T. Tung, The Physics and Chemistry of the Schottky Barrier Height, Applied Physics Reviews 1, 011304 (2014).</w:t>
      </w:r>
      <w:r w:rsidRPr="00C71727">
        <w:fldChar w:fldCharType="begin"/>
      </w:r>
      <w:r w:rsidRPr="00C71727">
        <w:instrText xml:space="preserve"> ADDIN ZOTERO_BIBL {"uncited":[],"omitted":[],"custom":[]} CSL_BIBLIOGRAPHY </w:instrText>
      </w:r>
      <w:r w:rsidRPr="00C71727">
        <w:fldChar w:fldCharType="separate"/>
      </w:r>
    </w:p>
    <w:p w14:paraId="4FE47020" w14:textId="0901EB57" w:rsidR="00566E3B" w:rsidRPr="00C71727" w:rsidRDefault="00566E3B" w:rsidP="00566E3B">
      <w:r w:rsidRPr="00C71727">
        <w:fldChar w:fldCharType="end"/>
      </w:r>
    </w:p>
    <w:p w14:paraId="4C0C7950" w14:textId="3D497B03" w:rsidR="00F967BB" w:rsidRPr="00C71727" w:rsidRDefault="00F967BB"/>
    <w:sectPr w:rsidR="00F967BB" w:rsidRPr="00C71727">
      <w:headerReference w:type="even" r:id="rId18"/>
      <w:headerReference w:type="default" r:id="rId19"/>
      <w:footerReference w:type="even" r:id="rId20"/>
      <w:footerReference w:type="default" r:id="rId21"/>
      <w:headerReference w:type="first" r:id="rId22"/>
      <w:footerReference w:type="first" r:id="rId23"/>
      <w:pgSz w:w="12240" w:h="15839"/>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EDA3D6" w14:textId="77777777" w:rsidR="00D556D2" w:rsidRDefault="00D556D2">
      <w:pPr>
        <w:spacing w:line="240" w:lineRule="auto"/>
      </w:pPr>
      <w:r>
        <w:separator/>
      </w:r>
    </w:p>
  </w:endnote>
  <w:endnote w:type="continuationSeparator" w:id="0">
    <w:p w14:paraId="4E1761BD" w14:textId="77777777" w:rsidR="00D556D2" w:rsidRDefault="00D556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A81337" w14:textId="77777777" w:rsidR="00F967BB" w:rsidRDefault="00F967BB">
    <w:pPr>
      <w:pStyle w:val="aa"/>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2462243"/>
    </w:sdtPr>
    <w:sdtContent>
      <w:p w14:paraId="77DF36C1" w14:textId="77777777" w:rsidR="00F967BB" w:rsidRDefault="00000000">
        <w:pPr>
          <w:pStyle w:val="aa"/>
          <w:ind w:firstLine="360"/>
          <w:jc w:val="center"/>
        </w:pPr>
        <w:r>
          <w:fldChar w:fldCharType="begin"/>
        </w:r>
        <w:r>
          <w:instrText>PAGE   \* MERGEFORMAT</w:instrText>
        </w:r>
        <w:r>
          <w:fldChar w:fldCharType="separate"/>
        </w:r>
        <w:r>
          <w:rPr>
            <w:lang w:val="zh-CN"/>
          </w:rPr>
          <w:t>2</w:t>
        </w:r>
        <w:r>
          <w:fldChar w:fldCharType="end"/>
        </w:r>
      </w:p>
    </w:sdtContent>
  </w:sdt>
  <w:p w14:paraId="4944928F" w14:textId="77777777" w:rsidR="00F967BB" w:rsidRDefault="00F967BB">
    <w:pPr>
      <w:pStyle w:val="aa"/>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F8AC9E" w14:textId="77777777" w:rsidR="00F967BB" w:rsidRDefault="00F967BB">
    <w:pPr>
      <w:pStyle w:val="aa"/>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DE87B8" w14:textId="77777777" w:rsidR="00D556D2" w:rsidRDefault="00D556D2">
      <w:r>
        <w:separator/>
      </w:r>
    </w:p>
  </w:footnote>
  <w:footnote w:type="continuationSeparator" w:id="0">
    <w:p w14:paraId="4573FEEF" w14:textId="77777777" w:rsidR="00D556D2" w:rsidRDefault="00D556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082287" w14:textId="77777777" w:rsidR="00F967BB" w:rsidRDefault="00F967BB">
    <w:pPr>
      <w:pStyle w:val="ac"/>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459328" w14:textId="77777777" w:rsidR="00F967BB" w:rsidRDefault="00F967BB">
    <w:pPr>
      <w:pStyle w:val="ac"/>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765351" w14:textId="77777777" w:rsidR="00F967BB" w:rsidRDefault="00F967BB">
    <w:pPr>
      <w:pStyle w:val="ac"/>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3C12CA5"/>
    <w:multiLevelType w:val="singleLevel"/>
    <w:tmpl w:val="83C12CA5"/>
    <w:lvl w:ilvl="0">
      <w:start w:val="1"/>
      <w:numFmt w:val="decimal"/>
      <w:suff w:val="space"/>
      <w:lvlText w:val="%1."/>
      <w:lvlJc w:val="left"/>
    </w:lvl>
  </w:abstractNum>
  <w:num w:numId="1" w16cid:durableId="12006288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J Physical Chem C&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x0eep0rvod05faeds5x5edru0x0zdtd02pd9&quot;&gt;My EndNote Library&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record-ids&gt;&lt;/item&gt;&lt;/Libraries&gt;"/>
  </w:docVars>
  <w:rsids>
    <w:rsidRoot w:val="00172A27"/>
    <w:rsid w:val="00002286"/>
    <w:rsid w:val="00004D5F"/>
    <w:rsid w:val="00011ED4"/>
    <w:rsid w:val="000128C6"/>
    <w:rsid w:val="00012C00"/>
    <w:rsid w:val="00012E49"/>
    <w:rsid w:val="0001420E"/>
    <w:rsid w:val="0001574B"/>
    <w:rsid w:val="00015BC2"/>
    <w:rsid w:val="00016A19"/>
    <w:rsid w:val="00016EFC"/>
    <w:rsid w:val="00020FB2"/>
    <w:rsid w:val="00024ED7"/>
    <w:rsid w:val="000258D8"/>
    <w:rsid w:val="0002736D"/>
    <w:rsid w:val="0003311C"/>
    <w:rsid w:val="000349DC"/>
    <w:rsid w:val="00034EFE"/>
    <w:rsid w:val="0003763A"/>
    <w:rsid w:val="00041A17"/>
    <w:rsid w:val="00042A17"/>
    <w:rsid w:val="00043694"/>
    <w:rsid w:val="00050B34"/>
    <w:rsid w:val="00050C90"/>
    <w:rsid w:val="00051DFF"/>
    <w:rsid w:val="00051E2B"/>
    <w:rsid w:val="0005314D"/>
    <w:rsid w:val="00056C2D"/>
    <w:rsid w:val="00057ECB"/>
    <w:rsid w:val="00061D8A"/>
    <w:rsid w:val="000632C5"/>
    <w:rsid w:val="000635C9"/>
    <w:rsid w:val="000638E0"/>
    <w:rsid w:val="0006499C"/>
    <w:rsid w:val="0006500E"/>
    <w:rsid w:val="00066585"/>
    <w:rsid w:val="00071948"/>
    <w:rsid w:val="00071D32"/>
    <w:rsid w:val="000728EC"/>
    <w:rsid w:val="000742E0"/>
    <w:rsid w:val="000776F7"/>
    <w:rsid w:val="000805D5"/>
    <w:rsid w:val="0008073B"/>
    <w:rsid w:val="00086436"/>
    <w:rsid w:val="000874A2"/>
    <w:rsid w:val="000906F2"/>
    <w:rsid w:val="00091079"/>
    <w:rsid w:val="00096400"/>
    <w:rsid w:val="00097102"/>
    <w:rsid w:val="000A03AE"/>
    <w:rsid w:val="000A10B0"/>
    <w:rsid w:val="000A271C"/>
    <w:rsid w:val="000A4082"/>
    <w:rsid w:val="000A6827"/>
    <w:rsid w:val="000A74BF"/>
    <w:rsid w:val="000B18BB"/>
    <w:rsid w:val="000C22E2"/>
    <w:rsid w:val="000C2D4D"/>
    <w:rsid w:val="000C3316"/>
    <w:rsid w:val="000C511A"/>
    <w:rsid w:val="000C5300"/>
    <w:rsid w:val="000C60E0"/>
    <w:rsid w:val="000C6C28"/>
    <w:rsid w:val="000C718C"/>
    <w:rsid w:val="000C71AD"/>
    <w:rsid w:val="000D0028"/>
    <w:rsid w:val="000D08CA"/>
    <w:rsid w:val="000D0EDE"/>
    <w:rsid w:val="000D19B3"/>
    <w:rsid w:val="000D3D0A"/>
    <w:rsid w:val="000D5B49"/>
    <w:rsid w:val="000E193E"/>
    <w:rsid w:val="000E1CED"/>
    <w:rsid w:val="000E1F51"/>
    <w:rsid w:val="000E28F1"/>
    <w:rsid w:val="000E3683"/>
    <w:rsid w:val="000E4074"/>
    <w:rsid w:val="000E458D"/>
    <w:rsid w:val="000E56C2"/>
    <w:rsid w:val="000F27A5"/>
    <w:rsid w:val="000F2F78"/>
    <w:rsid w:val="000F698B"/>
    <w:rsid w:val="000F7610"/>
    <w:rsid w:val="000F7CDB"/>
    <w:rsid w:val="00103A63"/>
    <w:rsid w:val="00103B33"/>
    <w:rsid w:val="00103FE5"/>
    <w:rsid w:val="00105BAF"/>
    <w:rsid w:val="00112A95"/>
    <w:rsid w:val="0011404A"/>
    <w:rsid w:val="001179E3"/>
    <w:rsid w:val="00117B38"/>
    <w:rsid w:val="001210AF"/>
    <w:rsid w:val="00121233"/>
    <w:rsid w:val="001224AC"/>
    <w:rsid w:val="00122A12"/>
    <w:rsid w:val="00123453"/>
    <w:rsid w:val="001234BA"/>
    <w:rsid w:val="00123701"/>
    <w:rsid w:val="00124523"/>
    <w:rsid w:val="00126035"/>
    <w:rsid w:val="00126A8A"/>
    <w:rsid w:val="0012766E"/>
    <w:rsid w:val="00127A27"/>
    <w:rsid w:val="0013165D"/>
    <w:rsid w:val="00131858"/>
    <w:rsid w:val="001324E6"/>
    <w:rsid w:val="00132D0D"/>
    <w:rsid w:val="001334BC"/>
    <w:rsid w:val="00133516"/>
    <w:rsid w:val="00142BE3"/>
    <w:rsid w:val="00147314"/>
    <w:rsid w:val="00147352"/>
    <w:rsid w:val="0015176A"/>
    <w:rsid w:val="00163F85"/>
    <w:rsid w:val="00164929"/>
    <w:rsid w:val="00170F3D"/>
    <w:rsid w:val="001721FB"/>
    <w:rsid w:val="001723DD"/>
    <w:rsid w:val="00172A27"/>
    <w:rsid w:val="0017622F"/>
    <w:rsid w:val="00180289"/>
    <w:rsid w:val="00180348"/>
    <w:rsid w:val="001831B9"/>
    <w:rsid w:val="0019000E"/>
    <w:rsid w:val="0019062B"/>
    <w:rsid w:val="00191253"/>
    <w:rsid w:val="00196396"/>
    <w:rsid w:val="001A2AF6"/>
    <w:rsid w:val="001A2FDB"/>
    <w:rsid w:val="001A63A7"/>
    <w:rsid w:val="001B2214"/>
    <w:rsid w:val="001B235A"/>
    <w:rsid w:val="001B3721"/>
    <w:rsid w:val="001B76BA"/>
    <w:rsid w:val="001C0D03"/>
    <w:rsid w:val="001C151C"/>
    <w:rsid w:val="001C19DB"/>
    <w:rsid w:val="001C1C4E"/>
    <w:rsid w:val="001C6316"/>
    <w:rsid w:val="001C71CF"/>
    <w:rsid w:val="001C7D84"/>
    <w:rsid w:val="001D09A9"/>
    <w:rsid w:val="001D0C12"/>
    <w:rsid w:val="001D104B"/>
    <w:rsid w:val="001D23BD"/>
    <w:rsid w:val="001D25C2"/>
    <w:rsid w:val="001D34F9"/>
    <w:rsid w:val="001D42F4"/>
    <w:rsid w:val="001D532F"/>
    <w:rsid w:val="001D57A7"/>
    <w:rsid w:val="001D63E2"/>
    <w:rsid w:val="001D7EB8"/>
    <w:rsid w:val="001E2390"/>
    <w:rsid w:val="001E532E"/>
    <w:rsid w:val="001E5F62"/>
    <w:rsid w:val="001E7662"/>
    <w:rsid w:val="001F2B05"/>
    <w:rsid w:val="001F3663"/>
    <w:rsid w:val="001F3B95"/>
    <w:rsid w:val="001F6CF6"/>
    <w:rsid w:val="00201B4E"/>
    <w:rsid w:val="00202CCD"/>
    <w:rsid w:val="00203F31"/>
    <w:rsid w:val="00205225"/>
    <w:rsid w:val="002061B0"/>
    <w:rsid w:val="002074E8"/>
    <w:rsid w:val="00213575"/>
    <w:rsid w:val="002152B6"/>
    <w:rsid w:val="00215BF7"/>
    <w:rsid w:val="00216BE3"/>
    <w:rsid w:val="00216D4B"/>
    <w:rsid w:val="002203C8"/>
    <w:rsid w:val="00222011"/>
    <w:rsid w:val="00222BC6"/>
    <w:rsid w:val="00222E8A"/>
    <w:rsid w:val="0022354B"/>
    <w:rsid w:val="00227460"/>
    <w:rsid w:val="00227CA0"/>
    <w:rsid w:val="00230C03"/>
    <w:rsid w:val="00230F96"/>
    <w:rsid w:val="00233B91"/>
    <w:rsid w:val="00234805"/>
    <w:rsid w:val="0023619C"/>
    <w:rsid w:val="002368FA"/>
    <w:rsid w:val="00236A04"/>
    <w:rsid w:val="00237DA2"/>
    <w:rsid w:val="00240529"/>
    <w:rsid w:val="00240950"/>
    <w:rsid w:val="00245F25"/>
    <w:rsid w:val="00251E8F"/>
    <w:rsid w:val="002556AD"/>
    <w:rsid w:val="00256D00"/>
    <w:rsid w:val="0026256A"/>
    <w:rsid w:val="00262F83"/>
    <w:rsid w:val="00266AFF"/>
    <w:rsid w:val="00272355"/>
    <w:rsid w:val="00273BC8"/>
    <w:rsid w:val="0027613D"/>
    <w:rsid w:val="00282822"/>
    <w:rsid w:val="0028356F"/>
    <w:rsid w:val="0028520F"/>
    <w:rsid w:val="002870E6"/>
    <w:rsid w:val="00287F79"/>
    <w:rsid w:val="0029040F"/>
    <w:rsid w:val="00290C28"/>
    <w:rsid w:val="0029227B"/>
    <w:rsid w:val="00292CC4"/>
    <w:rsid w:val="002933CC"/>
    <w:rsid w:val="0029531C"/>
    <w:rsid w:val="00296367"/>
    <w:rsid w:val="00297C6C"/>
    <w:rsid w:val="002A1D49"/>
    <w:rsid w:val="002A2339"/>
    <w:rsid w:val="002A30A9"/>
    <w:rsid w:val="002A327E"/>
    <w:rsid w:val="002A3802"/>
    <w:rsid w:val="002A3FF8"/>
    <w:rsid w:val="002A4758"/>
    <w:rsid w:val="002A5236"/>
    <w:rsid w:val="002A5343"/>
    <w:rsid w:val="002B1BC9"/>
    <w:rsid w:val="002B4770"/>
    <w:rsid w:val="002B485E"/>
    <w:rsid w:val="002B4C58"/>
    <w:rsid w:val="002C0DB1"/>
    <w:rsid w:val="002C21A7"/>
    <w:rsid w:val="002C277D"/>
    <w:rsid w:val="002C3F63"/>
    <w:rsid w:val="002C40A7"/>
    <w:rsid w:val="002C4264"/>
    <w:rsid w:val="002D0010"/>
    <w:rsid w:val="002D00F4"/>
    <w:rsid w:val="002D2261"/>
    <w:rsid w:val="002D317D"/>
    <w:rsid w:val="002D3EA7"/>
    <w:rsid w:val="002D4792"/>
    <w:rsid w:val="002D4F71"/>
    <w:rsid w:val="002D6F64"/>
    <w:rsid w:val="002E0936"/>
    <w:rsid w:val="002E181D"/>
    <w:rsid w:val="002E5E77"/>
    <w:rsid w:val="002E7FBE"/>
    <w:rsid w:val="002F0428"/>
    <w:rsid w:val="002F12F6"/>
    <w:rsid w:val="002F2136"/>
    <w:rsid w:val="002F2ED8"/>
    <w:rsid w:val="002F4E8C"/>
    <w:rsid w:val="002F6E8A"/>
    <w:rsid w:val="003020B3"/>
    <w:rsid w:val="00303DD3"/>
    <w:rsid w:val="003056DE"/>
    <w:rsid w:val="003057FB"/>
    <w:rsid w:val="00305F8C"/>
    <w:rsid w:val="00307627"/>
    <w:rsid w:val="0031092D"/>
    <w:rsid w:val="00311709"/>
    <w:rsid w:val="003122A9"/>
    <w:rsid w:val="00313862"/>
    <w:rsid w:val="00315585"/>
    <w:rsid w:val="00315C10"/>
    <w:rsid w:val="00317540"/>
    <w:rsid w:val="00317EBE"/>
    <w:rsid w:val="003200CD"/>
    <w:rsid w:val="00320339"/>
    <w:rsid w:val="003261CE"/>
    <w:rsid w:val="003278B6"/>
    <w:rsid w:val="00327BCC"/>
    <w:rsid w:val="003317F7"/>
    <w:rsid w:val="00336914"/>
    <w:rsid w:val="00336A7E"/>
    <w:rsid w:val="00341F21"/>
    <w:rsid w:val="00345812"/>
    <w:rsid w:val="003509B0"/>
    <w:rsid w:val="003515EA"/>
    <w:rsid w:val="0035174E"/>
    <w:rsid w:val="00353543"/>
    <w:rsid w:val="00354B65"/>
    <w:rsid w:val="0035697A"/>
    <w:rsid w:val="00357F97"/>
    <w:rsid w:val="00360742"/>
    <w:rsid w:val="00360F63"/>
    <w:rsid w:val="0036483C"/>
    <w:rsid w:val="00364F9A"/>
    <w:rsid w:val="00367B5F"/>
    <w:rsid w:val="00371F8A"/>
    <w:rsid w:val="00372970"/>
    <w:rsid w:val="00377AD0"/>
    <w:rsid w:val="00377F9D"/>
    <w:rsid w:val="00380471"/>
    <w:rsid w:val="00380AAD"/>
    <w:rsid w:val="003818D3"/>
    <w:rsid w:val="0038318F"/>
    <w:rsid w:val="0038365D"/>
    <w:rsid w:val="003853B1"/>
    <w:rsid w:val="003905EF"/>
    <w:rsid w:val="0039185C"/>
    <w:rsid w:val="00391F02"/>
    <w:rsid w:val="00391FF9"/>
    <w:rsid w:val="0039217C"/>
    <w:rsid w:val="0039280B"/>
    <w:rsid w:val="00393125"/>
    <w:rsid w:val="00396174"/>
    <w:rsid w:val="003A206B"/>
    <w:rsid w:val="003A6DB4"/>
    <w:rsid w:val="003A6FDC"/>
    <w:rsid w:val="003B0131"/>
    <w:rsid w:val="003B0239"/>
    <w:rsid w:val="003B09A1"/>
    <w:rsid w:val="003B0EE4"/>
    <w:rsid w:val="003B28A5"/>
    <w:rsid w:val="003B3C70"/>
    <w:rsid w:val="003B449E"/>
    <w:rsid w:val="003B60B2"/>
    <w:rsid w:val="003B6C36"/>
    <w:rsid w:val="003C0B31"/>
    <w:rsid w:val="003C10C6"/>
    <w:rsid w:val="003C12DB"/>
    <w:rsid w:val="003C1619"/>
    <w:rsid w:val="003C39FF"/>
    <w:rsid w:val="003C3CC3"/>
    <w:rsid w:val="003C3F0E"/>
    <w:rsid w:val="003C5C74"/>
    <w:rsid w:val="003C759B"/>
    <w:rsid w:val="003D1369"/>
    <w:rsid w:val="003D513F"/>
    <w:rsid w:val="003D51CF"/>
    <w:rsid w:val="003D5DE7"/>
    <w:rsid w:val="003D632C"/>
    <w:rsid w:val="003D7C79"/>
    <w:rsid w:val="003E0CA6"/>
    <w:rsid w:val="003E3A9F"/>
    <w:rsid w:val="003F1EDE"/>
    <w:rsid w:val="003F32F3"/>
    <w:rsid w:val="003F355E"/>
    <w:rsid w:val="003F3C58"/>
    <w:rsid w:val="003F69A2"/>
    <w:rsid w:val="003F78BB"/>
    <w:rsid w:val="00400D69"/>
    <w:rsid w:val="00402519"/>
    <w:rsid w:val="004030D8"/>
    <w:rsid w:val="004055D1"/>
    <w:rsid w:val="004113E7"/>
    <w:rsid w:val="004123EA"/>
    <w:rsid w:val="004127F2"/>
    <w:rsid w:val="00413844"/>
    <w:rsid w:val="00417A27"/>
    <w:rsid w:val="00417A41"/>
    <w:rsid w:val="004221A8"/>
    <w:rsid w:val="0042275E"/>
    <w:rsid w:val="00423056"/>
    <w:rsid w:val="00423AF3"/>
    <w:rsid w:val="00424036"/>
    <w:rsid w:val="00427DEE"/>
    <w:rsid w:val="0043091B"/>
    <w:rsid w:val="0043101F"/>
    <w:rsid w:val="00431D1C"/>
    <w:rsid w:val="00431E6B"/>
    <w:rsid w:val="00434EAD"/>
    <w:rsid w:val="004351FB"/>
    <w:rsid w:val="004415F0"/>
    <w:rsid w:val="00443692"/>
    <w:rsid w:val="0044510E"/>
    <w:rsid w:val="004479F3"/>
    <w:rsid w:val="00454BFD"/>
    <w:rsid w:val="00455E6A"/>
    <w:rsid w:val="0045679A"/>
    <w:rsid w:val="00457CC4"/>
    <w:rsid w:val="00461DAB"/>
    <w:rsid w:val="004629ED"/>
    <w:rsid w:val="00463C6F"/>
    <w:rsid w:val="004643BB"/>
    <w:rsid w:val="0046477D"/>
    <w:rsid w:val="004651AC"/>
    <w:rsid w:val="004653C4"/>
    <w:rsid w:val="00465AE4"/>
    <w:rsid w:val="004665FD"/>
    <w:rsid w:val="00470D32"/>
    <w:rsid w:val="00471BFD"/>
    <w:rsid w:val="004721D0"/>
    <w:rsid w:val="0047325A"/>
    <w:rsid w:val="00473DF9"/>
    <w:rsid w:val="00474748"/>
    <w:rsid w:val="00475705"/>
    <w:rsid w:val="004765FA"/>
    <w:rsid w:val="004768BE"/>
    <w:rsid w:val="00476922"/>
    <w:rsid w:val="00482D64"/>
    <w:rsid w:val="00483226"/>
    <w:rsid w:val="00483852"/>
    <w:rsid w:val="004857E1"/>
    <w:rsid w:val="00486350"/>
    <w:rsid w:val="00487D1B"/>
    <w:rsid w:val="00490428"/>
    <w:rsid w:val="004905E6"/>
    <w:rsid w:val="00496259"/>
    <w:rsid w:val="00497E23"/>
    <w:rsid w:val="004A29E5"/>
    <w:rsid w:val="004A2B9D"/>
    <w:rsid w:val="004A381E"/>
    <w:rsid w:val="004A4119"/>
    <w:rsid w:val="004A51E4"/>
    <w:rsid w:val="004A54ED"/>
    <w:rsid w:val="004A5B33"/>
    <w:rsid w:val="004A6581"/>
    <w:rsid w:val="004A7B15"/>
    <w:rsid w:val="004B21A3"/>
    <w:rsid w:val="004B29D5"/>
    <w:rsid w:val="004B4B13"/>
    <w:rsid w:val="004B4DED"/>
    <w:rsid w:val="004B4F90"/>
    <w:rsid w:val="004B5355"/>
    <w:rsid w:val="004B6FFC"/>
    <w:rsid w:val="004C06FC"/>
    <w:rsid w:val="004C3EE5"/>
    <w:rsid w:val="004C48BE"/>
    <w:rsid w:val="004C4910"/>
    <w:rsid w:val="004C5ACC"/>
    <w:rsid w:val="004C735E"/>
    <w:rsid w:val="004C7E8E"/>
    <w:rsid w:val="004D0439"/>
    <w:rsid w:val="004D2A81"/>
    <w:rsid w:val="004D3617"/>
    <w:rsid w:val="004D3AF4"/>
    <w:rsid w:val="004D4F47"/>
    <w:rsid w:val="004D5877"/>
    <w:rsid w:val="004D6903"/>
    <w:rsid w:val="004D6BEE"/>
    <w:rsid w:val="004D734A"/>
    <w:rsid w:val="004E0F14"/>
    <w:rsid w:val="004E1727"/>
    <w:rsid w:val="004E1A42"/>
    <w:rsid w:val="004E2265"/>
    <w:rsid w:val="004E3337"/>
    <w:rsid w:val="004E447E"/>
    <w:rsid w:val="00502229"/>
    <w:rsid w:val="00502A83"/>
    <w:rsid w:val="00502E75"/>
    <w:rsid w:val="00503F1F"/>
    <w:rsid w:val="00505B63"/>
    <w:rsid w:val="005064E2"/>
    <w:rsid w:val="0050705E"/>
    <w:rsid w:val="005074C4"/>
    <w:rsid w:val="005076C0"/>
    <w:rsid w:val="00514022"/>
    <w:rsid w:val="00514BF1"/>
    <w:rsid w:val="00516A01"/>
    <w:rsid w:val="005231E2"/>
    <w:rsid w:val="00526B67"/>
    <w:rsid w:val="00533862"/>
    <w:rsid w:val="005340AE"/>
    <w:rsid w:val="00535D15"/>
    <w:rsid w:val="005403F7"/>
    <w:rsid w:val="0054104C"/>
    <w:rsid w:val="00543D7C"/>
    <w:rsid w:val="0054520D"/>
    <w:rsid w:val="0054668C"/>
    <w:rsid w:val="00550F1C"/>
    <w:rsid w:val="005571B7"/>
    <w:rsid w:val="005628C2"/>
    <w:rsid w:val="00566E3B"/>
    <w:rsid w:val="0057268E"/>
    <w:rsid w:val="00572BFF"/>
    <w:rsid w:val="00573595"/>
    <w:rsid w:val="00573CD0"/>
    <w:rsid w:val="00575437"/>
    <w:rsid w:val="00577354"/>
    <w:rsid w:val="00584BFB"/>
    <w:rsid w:val="0058525B"/>
    <w:rsid w:val="0058729C"/>
    <w:rsid w:val="00590A18"/>
    <w:rsid w:val="00590FD5"/>
    <w:rsid w:val="005926B0"/>
    <w:rsid w:val="005946C5"/>
    <w:rsid w:val="0059529D"/>
    <w:rsid w:val="0059652C"/>
    <w:rsid w:val="00597EAF"/>
    <w:rsid w:val="005A0014"/>
    <w:rsid w:val="005A1FBA"/>
    <w:rsid w:val="005A434D"/>
    <w:rsid w:val="005A453D"/>
    <w:rsid w:val="005A48B9"/>
    <w:rsid w:val="005B06A5"/>
    <w:rsid w:val="005B5386"/>
    <w:rsid w:val="005C037D"/>
    <w:rsid w:val="005C3A2F"/>
    <w:rsid w:val="005C5F00"/>
    <w:rsid w:val="005C747E"/>
    <w:rsid w:val="005D056C"/>
    <w:rsid w:val="005D068B"/>
    <w:rsid w:val="005D70B6"/>
    <w:rsid w:val="005E11E0"/>
    <w:rsid w:val="005E229B"/>
    <w:rsid w:val="005E285A"/>
    <w:rsid w:val="005E344E"/>
    <w:rsid w:val="005E66C3"/>
    <w:rsid w:val="005E76D2"/>
    <w:rsid w:val="005F00C5"/>
    <w:rsid w:val="005F02C3"/>
    <w:rsid w:val="005F1C23"/>
    <w:rsid w:val="005F1E98"/>
    <w:rsid w:val="005F228D"/>
    <w:rsid w:val="005F5143"/>
    <w:rsid w:val="005F60CD"/>
    <w:rsid w:val="00600CA9"/>
    <w:rsid w:val="006010D9"/>
    <w:rsid w:val="00601E99"/>
    <w:rsid w:val="00601E9E"/>
    <w:rsid w:val="006021E2"/>
    <w:rsid w:val="006053F0"/>
    <w:rsid w:val="00605A8D"/>
    <w:rsid w:val="00607517"/>
    <w:rsid w:val="00607F4B"/>
    <w:rsid w:val="00614722"/>
    <w:rsid w:val="00630368"/>
    <w:rsid w:val="006330E0"/>
    <w:rsid w:val="00636D75"/>
    <w:rsid w:val="00636E7B"/>
    <w:rsid w:val="00641E1C"/>
    <w:rsid w:val="0064333F"/>
    <w:rsid w:val="0064483D"/>
    <w:rsid w:val="00645864"/>
    <w:rsid w:val="00645F41"/>
    <w:rsid w:val="00646937"/>
    <w:rsid w:val="00651791"/>
    <w:rsid w:val="006519F3"/>
    <w:rsid w:val="006523EA"/>
    <w:rsid w:val="00652E34"/>
    <w:rsid w:val="006543AB"/>
    <w:rsid w:val="00655345"/>
    <w:rsid w:val="0065547C"/>
    <w:rsid w:val="00657AE1"/>
    <w:rsid w:val="00657F33"/>
    <w:rsid w:val="0066111D"/>
    <w:rsid w:val="00661CD4"/>
    <w:rsid w:val="00671506"/>
    <w:rsid w:val="0067527A"/>
    <w:rsid w:val="00676635"/>
    <w:rsid w:val="00677149"/>
    <w:rsid w:val="006773A1"/>
    <w:rsid w:val="006816CC"/>
    <w:rsid w:val="00681D20"/>
    <w:rsid w:val="0068375B"/>
    <w:rsid w:val="006908D6"/>
    <w:rsid w:val="00692D20"/>
    <w:rsid w:val="00694070"/>
    <w:rsid w:val="00694189"/>
    <w:rsid w:val="00694B5A"/>
    <w:rsid w:val="006963C8"/>
    <w:rsid w:val="006964C4"/>
    <w:rsid w:val="00696A80"/>
    <w:rsid w:val="00697027"/>
    <w:rsid w:val="006A203F"/>
    <w:rsid w:val="006A350A"/>
    <w:rsid w:val="006A398C"/>
    <w:rsid w:val="006A46DB"/>
    <w:rsid w:val="006A5194"/>
    <w:rsid w:val="006A65C6"/>
    <w:rsid w:val="006A7182"/>
    <w:rsid w:val="006B1568"/>
    <w:rsid w:val="006B29C6"/>
    <w:rsid w:val="006B5DE8"/>
    <w:rsid w:val="006B6545"/>
    <w:rsid w:val="006B6549"/>
    <w:rsid w:val="006C35E7"/>
    <w:rsid w:val="006C584F"/>
    <w:rsid w:val="006C637C"/>
    <w:rsid w:val="006C6BEE"/>
    <w:rsid w:val="006C7F7C"/>
    <w:rsid w:val="006D32AF"/>
    <w:rsid w:val="006D3CDD"/>
    <w:rsid w:val="006D41F6"/>
    <w:rsid w:val="006D4757"/>
    <w:rsid w:val="006D5A05"/>
    <w:rsid w:val="006E12EC"/>
    <w:rsid w:val="006E26A2"/>
    <w:rsid w:val="006E2C65"/>
    <w:rsid w:val="006E3234"/>
    <w:rsid w:val="006F0F31"/>
    <w:rsid w:val="006F1EE1"/>
    <w:rsid w:val="006F5F8B"/>
    <w:rsid w:val="00700DEF"/>
    <w:rsid w:val="007019D8"/>
    <w:rsid w:val="00702094"/>
    <w:rsid w:val="00702D2C"/>
    <w:rsid w:val="00705F68"/>
    <w:rsid w:val="00707E8C"/>
    <w:rsid w:val="0071159C"/>
    <w:rsid w:val="00711C8A"/>
    <w:rsid w:val="00713131"/>
    <w:rsid w:val="00714AD4"/>
    <w:rsid w:val="00715861"/>
    <w:rsid w:val="00720163"/>
    <w:rsid w:val="007215EC"/>
    <w:rsid w:val="00721E0E"/>
    <w:rsid w:val="0072257D"/>
    <w:rsid w:val="00722D61"/>
    <w:rsid w:val="007232C6"/>
    <w:rsid w:val="0072737E"/>
    <w:rsid w:val="00727404"/>
    <w:rsid w:val="00727DFC"/>
    <w:rsid w:val="0073007E"/>
    <w:rsid w:val="007341E2"/>
    <w:rsid w:val="00735DA4"/>
    <w:rsid w:val="0073673A"/>
    <w:rsid w:val="00736788"/>
    <w:rsid w:val="007375F6"/>
    <w:rsid w:val="00740C81"/>
    <w:rsid w:val="00743456"/>
    <w:rsid w:val="007437BA"/>
    <w:rsid w:val="00747331"/>
    <w:rsid w:val="00750681"/>
    <w:rsid w:val="0075175C"/>
    <w:rsid w:val="007541FE"/>
    <w:rsid w:val="007551CE"/>
    <w:rsid w:val="00760FE6"/>
    <w:rsid w:val="00764C91"/>
    <w:rsid w:val="00766D28"/>
    <w:rsid w:val="0077068E"/>
    <w:rsid w:val="0077268B"/>
    <w:rsid w:val="0077320F"/>
    <w:rsid w:val="00775453"/>
    <w:rsid w:val="00776FBB"/>
    <w:rsid w:val="0077776F"/>
    <w:rsid w:val="00777974"/>
    <w:rsid w:val="00781A02"/>
    <w:rsid w:val="0078225B"/>
    <w:rsid w:val="00785FB9"/>
    <w:rsid w:val="0078660C"/>
    <w:rsid w:val="00786B68"/>
    <w:rsid w:val="00787819"/>
    <w:rsid w:val="00794295"/>
    <w:rsid w:val="007943DB"/>
    <w:rsid w:val="00795C36"/>
    <w:rsid w:val="007962FA"/>
    <w:rsid w:val="007A1670"/>
    <w:rsid w:val="007A1981"/>
    <w:rsid w:val="007A3CFF"/>
    <w:rsid w:val="007A4752"/>
    <w:rsid w:val="007A4B03"/>
    <w:rsid w:val="007A4CB0"/>
    <w:rsid w:val="007B0B2C"/>
    <w:rsid w:val="007B0FF7"/>
    <w:rsid w:val="007B1596"/>
    <w:rsid w:val="007B4EAF"/>
    <w:rsid w:val="007C2848"/>
    <w:rsid w:val="007C3384"/>
    <w:rsid w:val="007C3C48"/>
    <w:rsid w:val="007C42B9"/>
    <w:rsid w:val="007C49D6"/>
    <w:rsid w:val="007C5105"/>
    <w:rsid w:val="007C6BC3"/>
    <w:rsid w:val="007C72D0"/>
    <w:rsid w:val="007D09D0"/>
    <w:rsid w:val="007D1167"/>
    <w:rsid w:val="007D17CD"/>
    <w:rsid w:val="007D3535"/>
    <w:rsid w:val="007D3D86"/>
    <w:rsid w:val="007D4FB0"/>
    <w:rsid w:val="007D54A8"/>
    <w:rsid w:val="007D5CC3"/>
    <w:rsid w:val="007E11FC"/>
    <w:rsid w:val="007E1861"/>
    <w:rsid w:val="007E2835"/>
    <w:rsid w:val="007E2C06"/>
    <w:rsid w:val="007E486F"/>
    <w:rsid w:val="007E4B54"/>
    <w:rsid w:val="007E5F88"/>
    <w:rsid w:val="007E724B"/>
    <w:rsid w:val="007E72A4"/>
    <w:rsid w:val="007E774D"/>
    <w:rsid w:val="007E7BA8"/>
    <w:rsid w:val="007F029F"/>
    <w:rsid w:val="007F2B35"/>
    <w:rsid w:val="007F748D"/>
    <w:rsid w:val="008006D2"/>
    <w:rsid w:val="00802D26"/>
    <w:rsid w:val="00802FBC"/>
    <w:rsid w:val="00805F64"/>
    <w:rsid w:val="008067F9"/>
    <w:rsid w:val="008120FF"/>
    <w:rsid w:val="00812BFC"/>
    <w:rsid w:val="00815BA2"/>
    <w:rsid w:val="00817E4B"/>
    <w:rsid w:val="008227ED"/>
    <w:rsid w:val="0082282B"/>
    <w:rsid w:val="00823457"/>
    <w:rsid w:val="00824BA7"/>
    <w:rsid w:val="0082687B"/>
    <w:rsid w:val="00826F1C"/>
    <w:rsid w:val="00827D7E"/>
    <w:rsid w:val="00832477"/>
    <w:rsid w:val="00833219"/>
    <w:rsid w:val="00834F20"/>
    <w:rsid w:val="008356C4"/>
    <w:rsid w:val="00836667"/>
    <w:rsid w:val="008366F2"/>
    <w:rsid w:val="0083751B"/>
    <w:rsid w:val="0083765E"/>
    <w:rsid w:val="0083786E"/>
    <w:rsid w:val="00840EDA"/>
    <w:rsid w:val="00843E7B"/>
    <w:rsid w:val="00846560"/>
    <w:rsid w:val="00846D1E"/>
    <w:rsid w:val="00846DDF"/>
    <w:rsid w:val="00847559"/>
    <w:rsid w:val="00850047"/>
    <w:rsid w:val="00851944"/>
    <w:rsid w:val="00852268"/>
    <w:rsid w:val="00855386"/>
    <w:rsid w:val="00855A47"/>
    <w:rsid w:val="008569C5"/>
    <w:rsid w:val="008611FE"/>
    <w:rsid w:val="00864C16"/>
    <w:rsid w:val="008650D1"/>
    <w:rsid w:val="008652FF"/>
    <w:rsid w:val="0086551B"/>
    <w:rsid w:val="00865564"/>
    <w:rsid w:val="00865AC6"/>
    <w:rsid w:val="008730DC"/>
    <w:rsid w:val="0087325F"/>
    <w:rsid w:val="008742A3"/>
    <w:rsid w:val="00875A53"/>
    <w:rsid w:val="00875F50"/>
    <w:rsid w:val="0087761B"/>
    <w:rsid w:val="00880CF4"/>
    <w:rsid w:val="00883571"/>
    <w:rsid w:val="0088394C"/>
    <w:rsid w:val="00890C94"/>
    <w:rsid w:val="00891AF8"/>
    <w:rsid w:val="0089476E"/>
    <w:rsid w:val="00895282"/>
    <w:rsid w:val="008A196C"/>
    <w:rsid w:val="008A2668"/>
    <w:rsid w:val="008A37FC"/>
    <w:rsid w:val="008A6D54"/>
    <w:rsid w:val="008B1815"/>
    <w:rsid w:val="008B3725"/>
    <w:rsid w:val="008B3944"/>
    <w:rsid w:val="008B485A"/>
    <w:rsid w:val="008B5597"/>
    <w:rsid w:val="008C069A"/>
    <w:rsid w:val="008C3A58"/>
    <w:rsid w:val="008C3BBD"/>
    <w:rsid w:val="008D0509"/>
    <w:rsid w:val="008D1EBE"/>
    <w:rsid w:val="008D21F6"/>
    <w:rsid w:val="008D25B3"/>
    <w:rsid w:val="008D757D"/>
    <w:rsid w:val="008E04EE"/>
    <w:rsid w:val="008E228C"/>
    <w:rsid w:val="008E4939"/>
    <w:rsid w:val="008E611B"/>
    <w:rsid w:val="008E74FC"/>
    <w:rsid w:val="008F1806"/>
    <w:rsid w:val="008F1B79"/>
    <w:rsid w:val="008F1FAF"/>
    <w:rsid w:val="008F5610"/>
    <w:rsid w:val="008F5C1E"/>
    <w:rsid w:val="008F6483"/>
    <w:rsid w:val="009004D7"/>
    <w:rsid w:val="0090237C"/>
    <w:rsid w:val="009035F5"/>
    <w:rsid w:val="00905B70"/>
    <w:rsid w:val="009061F4"/>
    <w:rsid w:val="0090746A"/>
    <w:rsid w:val="00914D2C"/>
    <w:rsid w:val="00921752"/>
    <w:rsid w:val="009254BF"/>
    <w:rsid w:val="00925B54"/>
    <w:rsid w:val="00927173"/>
    <w:rsid w:val="00927B75"/>
    <w:rsid w:val="00931AC3"/>
    <w:rsid w:val="009333EA"/>
    <w:rsid w:val="00934011"/>
    <w:rsid w:val="00935EA6"/>
    <w:rsid w:val="009364E6"/>
    <w:rsid w:val="00937016"/>
    <w:rsid w:val="00942C34"/>
    <w:rsid w:val="0094477E"/>
    <w:rsid w:val="00945C14"/>
    <w:rsid w:val="00950CAB"/>
    <w:rsid w:val="00951ADF"/>
    <w:rsid w:val="0095301D"/>
    <w:rsid w:val="00957300"/>
    <w:rsid w:val="00957F79"/>
    <w:rsid w:val="009605A7"/>
    <w:rsid w:val="009619B3"/>
    <w:rsid w:val="00961FED"/>
    <w:rsid w:val="009623EE"/>
    <w:rsid w:val="00962605"/>
    <w:rsid w:val="00962B85"/>
    <w:rsid w:val="00962BA9"/>
    <w:rsid w:val="00962D57"/>
    <w:rsid w:val="009630D8"/>
    <w:rsid w:val="00975146"/>
    <w:rsid w:val="0097572F"/>
    <w:rsid w:val="00980ABC"/>
    <w:rsid w:val="00980E41"/>
    <w:rsid w:val="00982323"/>
    <w:rsid w:val="00983218"/>
    <w:rsid w:val="00984F5D"/>
    <w:rsid w:val="0098531B"/>
    <w:rsid w:val="00985ED9"/>
    <w:rsid w:val="00987252"/>
    <w:rsid w:val="00987505"/>
    <w:rsid w:val="00987BD1"/>
    <w:rsid w:val="00987FCF"/>
    <w:rsid w:val="009910A2"/>
    <w:rsid w:val="009914BC"/>
    <w:rsid w:val="00991A24"/>
    <w:rsid w:val="009931A7"/>
    <w:rsid w:val="009934C1"/>
    <w:rsid w:val="00995567"/>
    <w:rsid w:val="00996F97"/>
    <w:rsid w:val="00997B5A"/>
    <w:rsid w:val="009A1C8E"/>
    <w:rsid w:val="009A240A"/>
    <w:rsid w:val="009A291B"/>
    <w:rsid w:val="009A5638"/>
    <w:rsid w:val="009A6D28"/>
    <w:rsid w:val="009B2F64"/>
    <w:rsid w:val="009B3386"/>
    <w:rsid w:val="009B4223"/>
    <w:rsid w:val="009B48F7"/>
    <w:rsid w:val="009B6139"/>
    <w:rsid w:val="009B6201"/>
    <w:rsid w:val="009B7B9F"/>
    <w:rsid w:val="009C21BC"/>
    <w:rsid w:val="009C22F1"/>
    <w:rsid w:val="009C27B8"/>
    <w:rsid w:val="009C344F"/>
    <w:rsid w:val="009C5ACC"/>
    <w:rsid w:val="009C5B26"/>
    <w:rsid w:val="009C68F9"/>
    <w:rsid w:val="009C6EE3"/>
    <w:rsid w:val="009C7D1C"/>
    <w:rsid w:val="009D3499"/>
    <w:rsid w:val="009D5BCA"/>
    <w:rsid w:val="009D6AE2"/>
    <w:rsid w:val="009E4359"/>
    <w:rsid w:val="009F4B13"/>
    <w:rsid w:val="009F51AB"/>
    <w:rsid w:val="009F56A8"/>
    <w:rsid w:val="009F58EA"/>
    <w:rsid w:val="009F59DE"/>
    <w:rsid w:val="009F64BB"/>
    <w:rsid w:val="00A021B1"/>
    <w:rsid w:val="00A02C3D"/>
    <w:rsid w:val="00A0337B"/>
    <w:rsid w:val="00A057DB"/>
    <w:rsid w:val="00A07FEC"/>
    <w:rsid w:val="00A10379"/>
    <w:rsid w:val="00A11433"/>
    <w:rsid w:val="00A1278A"/>
    <w:rsid w:val="00A140B7"/>
    <w:rsid w:val="00A1493A"/>
    <w:rsid w:val="00A14B94"/>
    <w:rsid w:val="00A215DE"/>
    <w:rsid w:val="00A22EC6"/>
    <w:rsid w:val="00A22F63"/>
    <w:rsid w:val="00A25BA1"/>
    <w:rsid w:val="00A27191"/>
    <w:rsid w:val="00A27609"/>
    <w:rsid w:val="00A278BD"/>
    <w:rsid w:val="00A3169F"/>
    <w:rsid w:val="00A325CC"/>
    <w:rsid w:val="00A349A0"/>
    <w:rsid w:val="00A34BA0"/>
    <w:rsid w:val="00A34BEB"/>
    <w:rsid w:val="00A40DEC"/>
    <w:rsid w:val="00A41F27"/>
    <w:rsid w:val="00A42844"/>
    <w:rsid w:val="00A43E5E"/>
    <w:rsid w:val="00A4454E"/>
    <w:rsid w:val="00A44558"/>
    <w:rsid w:val="00A44B83"/>
    <w:rsid w:val="00A44C35"/>
    <w:rsid w:val="00A4511A"/>
    <w:rsid w:val="00A45140"/>
    <w:rsid w:val="00A459C7"/>
    <w:rsid w:val="00A52B8F"/>
    <w:rsid w:val="00A53DB6"/>
    <w:rsid w:val="00A5495E"/>
    <w:rsid w:val="00A56C3E"/>
    <w:rsid w:val="00A61130"/>
    <w:rsid w:val="00A6160D"/>
    <w:rsid w:val="00A626FA"/>
    <w:rsid w:val="00A63C94"/>
    <w:rsid w:val="00A712BC"/>
    <w:rsid w:val="00A73389"/>
    <w:rsid w:val="00A756EA"/>
    <w:rsid w:val="00A7776D"/>
    <w:rsid w:val="00A8063B"/>
    <w:rsid w:val="00A823EA"/>
    <w:rsid w:val="00A82A82"/>
    <w:rsid w:val="00A90C82"/>
    <w:rsid w:val="00A91185"/>
    <w:rsid w:val="00A913E5"/>
    <w:rsid w:val="00A93293"/>
    <w:rsid w:val="00A93EE2"/>
    <w:rsid w:val="00A95945"/>
    <w:rsid w:val="00A9654D"/>
    <w:rsid w:val="00A97B7F"/>
    <w:rsid w:val="00AA2789"/>
    <w:rsid w:val="00AA4791"/>
    <w:rsid w:val="00AA6022"/>
    <w:rsid w:val="00AA6296"/>
    <w:rsid w:val="00AA6DE7"/>
    <w:rsid w:val="00AB30D0"/>
    <w:rsid w:val="00AB4FAA"/>
    <w:rsid w:val="00AB5FE0"/>
    <w:rsid w:val="00AB734F"/>
    <w:rsid w:val="00AB7CFB"/>
    <w:rsid w:val="00AC48D9"/>
    <w:rsid w:val="00AC546A"/>
    <w:rsid w:val="00AC6F3F"/>
    <w:rsid w:val="00AD30E2"/>
    <w:rsid w:val="00AD3556"/>
    <w:rsid w:val="00AD4DEA"/>
    <w:rsid w:val="00AE1201"/>
    <w:rsid w:val="00AE1C3B"/>
    <w:rsid w:val="00AE4833"/>
    <w:rsid w:val="00AE7C22"/>
    <w:rsid w:val="00AF1B4D"/>
    <w:rsid w:val="00AF202D"/>
    <w:rsid w:val="00AF4237"/>
    <w:rsid w:val="00AF51DD"/>
    <w:rsid w:val="00AF5A92"/>
    <w:rsid w:val="00AF5AB9"/>
    <w:rsid w:val="00B000DD"/>
    <w:rsid w:val="00B0182D"/>
    <w:rsid w:val="00B01FA8"/>
    <w:rsid w:val="00B03C3D"/>
    <w:rsid w:val="00B04369"/>
    <w:rsid w:val="00B06007"/>
    <w:rsid w:val="00B064D0"/>
    <w:rsid w:val="00B078D3"/>
    <w:rsid w:val="00B10839"/>
    <w:rsid w:val="00B10A6B"/>
    <w:rsid w:val="00B10D0A"/>
    <w:rsid w:val="00B13229"/>
    <w:rsid w:val="00B1334D"/>
    <w:rsid w:val="00B141C8"/>
    <w:rsid w:val="00B15D98"/>
    <w:rsid w:val="00B17521"/>
    <w:rsid w:val="00B2110C"/>
    <w:rsid w:val="00B21C5F"/>
    <w:rsid w:val="00B22CE8"/>
    <w:rsid w:val="00B24031"/>
    <w:rsid w:val="00B2485E"/>
    <w:rsid w:val="00B30AE8"/>
    <w:rsid w:val="00B34431"/>
    <w:rsid w:val="00B344ED"/>
    <w:rsid w:val="00B37C56"/>
    <w:rsid w:val="00B40574"/>
    <w:rsid w:val="00B42C43"/>
    <w:rsid w:val="00B43B46"/>
    <w:rsid w:val="00B44B8D"/>
    <w:rsid w:val="00B4792B"/>
    <w:rsid w:val="00B53832"/>
    <w:rsid w:val="00B53E74"/>
    <w:rsid w:val="00B54949"/>
    <w:rsid w:val="00B55907"/>
    <w:rsid w:val="00B55DC7"/>
    <w:rsid w:val="00B571CB"/>
    <w:rsid w:val="00B6076F"/>
    <w:rsid w:val="00B60BCE"/>
    <w:rsid w:val="00B634F0"/>
    <w:rsid w:val="00B6390D"/>
    <w:rsid w:val="00B647EB"/>
    <w:rsid w:val="00B655F4"/>
    <w:rsid w:val="00B70990"/>
    <w:rsid w:val="00B717E8"/>
    <w:rsid w:val="00B72436"/>
    <w:rsid w:val="00B72932"/>
    <w:rsid w:val="00B747B9"/>
    <w:rsid w:val="00B75A6D"/>
    <w:rsid w:val="00B7710D"/>
    <w:rsid w:val="00B80CFB"/>
    <w:rsid w:val="00B81D9A"/>
    <w:rsid w:val="00B8233E"/>
    <w:rsid w:val="00B830F1"/>
    <w:rsid w:val="00B837EB"/>
    <w:rsid w:val="00B872D0"/>
    <w:rsid w:val="00B87C50"/>
    <w:rsid w:val="00B93A67"/>
    <w:rsid w:val="00B969BD"/>
    <w:rsid w:val="00B97A97"/>
    <w:rsid w:val="00BA0914"/>
    <w:rsid w:val="00BA0F5A"/>
    <w:rsid w:val="00BA196F"/>
    <w:rsid w:val="00BA2EEC"/>
    <w:rsid w:val="00BA443E"/>
    <w:rsid w:val="00BA5AAA"/>
    <w:rsid w:val="00BA6402"/>
    <w:rsid w:val="00BA739D"/>
    <w:rsid w:val="00BA7761"/>
    <w:rsid w:val="00BB27FD"/>
    <w:rsid w:val="00BB2861"/>
    <w:rsid w:val="00BB2AA3"/>
    <w:rsid w:val="00BB44B5"/>
    <w:rsid w:val="00BB46FB"/>
    <w:rsid w:val="00BB5786"/>
    <w:rsid w:val="00BC0D96"/>
    <w:rsid w:val="00BC22DF"/>
    <w:rsid w:val="00BC2AE3"/>
    <w:rsid w:val="00BC4CBE"/>
    <w:rsid w:val="00BC604D"/>
    <w:rsid w:val="00BC7A0D"/>
    <w:rsid w:val="00BD033B"/>
    <w:rsid w:val="00BD1D99"/>
    <w:rsid w:val="00BD4043"/>
    <w:rsid w:val="00BE0432"/>
    <w:rsid w:val="00BE0702"/>
    <w:rsid w:val="00BE1A8A"/>
    <w:rsid w:val="00BE1D20"/>
    <w:rsid w:val="00BE2A78"/>
    <w:rsid w:val="00BE32BF"/>
    <w:rsid w:val="00BE75EA"/>
    <w:rsid w:val="00BF175E"/>
    <w:rsid w:val="00BF278A"/>
    <w:rsid w:val="00BF5893"/>
    <w:rsid w:val="00BF7687"/>
    <w:rsid w:val="00BF76F5"/>
    <w:rsid w:val="00C00B3A"/>
    <w:rsid w:val="00C00D1C"/>
    <w:rsid w:val="00C01B4C"/>
    <w:rsid w:val="00C04207"/>
    <w:rsid w:val="00C07071"/>
    <w:rsid w:val="00C11AC2"/>
    <w:rsid w:val="00C14152"/>
    <w:rsid w:val="00C17010"/>
    <w:rsid w:val="00C21896"/>
    <w:rsid w:val="00C2260F"/>
    <w:rsid w:val="00C22CA1"/>
    <w:rsid w:val="00C265A5"/>
    <w:rsid w:val="00C27A3D"/>
    <w:rsid w:val="00C30FF4"/>
    <w:rsid w:val="00C32266"/>
    <w:rsid w:val="00C3249E"/>
    <w:rsid w:val="00C3557C"/>
    <w:rsid w:val="00C36009"/>
    <w:rsid w:val="00C36BDF"/>
    <w:rsid w:val="00C42319"/>
    <w:rsid w:val="00C425D8"/>
    <w:rsid w:val="00C42805"/>
    <w:rsid w:val="00C461AF"/>
    <w:rsid w:val="00C56CD8"/>
    <w:rsid w:val="00C57FE4"/>
    <w:rsid w:val="00C60B75"/>
    <w:rsid w:val="00C61CD2"/>
    <w:rsid w:val="00C647AE"/>
    <w:rsid w:val="00C65F3F"/>
    <w:rsid w:val="00C67A95"/>
    <w:rsid w:val="00C70221"/>
    <w:rsid w:val="00C70960"/>
    <w:rsid w:val="00C71727"/>
    <w:rsid w:val="00C72DEB"/>
    <w:rsid w:val="00C7467C"/>
    <w:rsid w:val="00C749C5"/>
    <w:rsid w:val="00C74E04"/>
    <w:rsid w:val="00C809B2"/>
    <w:rsid w:val="00C819F4"/>
    <w:rsid w:val="00C83B91"/>
    <w:rsid w:val="00C86243"/>
    <w:rsid w:val="00C915CB"/>
    <w:rsid w:val="00C916FC"/>
    <w:rsid w:val="00C93F2B"/>
    <w:rsid w:val="00C950A9"/>
    <w:rsid w:val="00C9671B"/>
    <w:rsid w:val="00C96F0F"/>
    <w:rsid w:val="00CA262F"/>
    <w:rsid w:val="00CA28A5"/>
    <w:rsid w:val="00CA6D8D"/>
    <w:rsid w:val="00CB067A"/>
    <w:rsid w:val="00CB0CA9"/>
    <w:rsid w:val="00CB2A14"/>
    <w:rsid w:val="00CB609E"/>
    <w:rsid w:val="00CB611A"/>
    <w:rsid w:val="00CB7B94"/>
    <w:rsid w:val="00CC06D6"/>
    <w:rsid w:val="00CC1503"/>
    <w:rsid w:val="00CC2128"/>
    <w:rsid w:val="00CC226F"/>
    <w:rsid w:val="00CC2DD9"/>
    <w:rsid w:val="00CC34DE"/>
    <w:rsid w:val="00CC35D4"/>
    <w:rsid w:val="00CC3B0A"/>
    <w:rsid w:val="00CC45AB"/>
    <w:rsid w:val="00CC4EB7"/>
    <w:rsid w:val="00CD0397"/>
    <w:rsid w:val="00CD3366"/>
    <w:rsid w:val="00CD48B1"/>
    <w:rsid w:val="00CD4C9B"/>
    <w:rsid w:val="00CD5359"/>
    <w:rsid w:val="00CE02D6"/>
    <w:rsid w:val="00CE0B10"/>
    <w:rsid w:val="00CE21C3"/>
    <w:rsid w:val="00CE4BD3"/>
    <w:rsid w:val="00CE4C39"/>
    <w:rsid w:val="00CE6367"/>
    <w:rsid w:val="00CE6B97"/>
    <w:rsid w:val="00CE727B"/>
    <w:rsid w:val="00CF1A6C"/>
    <w:rsid w:val="00CF2D2A"/>
    <w:rsid w:val="00CF2E6E"/>
    <w:rsid w:val="00CF3686"/>
    <w:rsid w:val="00D004A3"/>
    <w:rsid w:val="00D00B05"/>
    <w:rsid w:val="00D00C5D"/>
    <w:rsid w:val="00D01033"/>
    <w:rsid w:val="00D0438D"/>
    <w:rsid w:val="00D07964"/>
    <w:rsid w:val="00D10102"/>
    <w:rsid w:val="00D104FA"/>
    <w:rsid w:val="00D132BF"/>
    <w:rsid w:val="00D158EF"/>
    <w:rsid w:val="00D17466"/>
    <w:rsid w:val="00D17715"/>
    <w:rsid w:val="00D20837"/>
    <w:rsid w:val="00D21945"/>
    <w:rsid w:val="00D21CAE"/>
    <w:rsid w:val="00D22BE2"/>
    <w:rsid w:val="00D22CA4"/>
    <w:rsid w:val="00D23430"/>
    <w:rsid w:val="00D246DB"/>
    <w:rsid w:val="00D27D34"/>
    <w:rsid w:val="00D3090E"/>
    <w:rsid w:val="00D31C31"/>
    <w:rsid w:val="00D35BA7"/>
    <w:rsid w:val="00D360CD"/>
    <w:rsid w:val="00D362FC"/>
    <w:rsid w:val="00D42781"/>
    <w:rsid w:val="00D44A0A"/>
    <w:rsid w:val="00D45864"/>
    <w:rsid w:val="00D472E3"/>
    <w:rsid w:val="00D51061"/>
    <w:rsid w:val="00D538A3"/>
    <w:rsid w:val="00D556D2"/>
    <w:rsid w:val="00D55A15"/>
    <w:rsid w:val="00D56B3A"/>
    <w:rsid w:val="00D61E22"/>
    <w:rsid w:val="00D62129"/>
    <w:rsid w:val="00D629FC"/>
    <w:rsid w:val="00D6533E"/>
    <w:rsid w:val="00D72144"/>
    <w:rsid w:val="00D72505"/>
    <w:rsid w:val="00D728EB"/>
    <w:rsid w:val="00D73381"/>
    <w:rsid w:val="00D74AE6"/>
    <w:rsid w:val="00D75C59"/>
    <w:rsid w:val="00D76A19"/>
    <w:rsid w:val="00D77553"/>
    <w:rsid w:val="00D77F64"/>
    <w:rsid w:val="00D81B44"/>
    <w:rsid w:val="00D83589"/>
    <w:rsid w:val="00D840CE"/>
    <w:rsid w:val="00D84564"/>
    <w:rsid w:val="00D84CB4"/>
    <w:rsid w:val="00D86BA8"/>
    <w:rsid w:val="00D87BDD"/>
    <w:rsid w:val="00D87E10"/>
    <w:rsid w:val="00D93DE8"/>
    <w:rsid w:val="00D95C04"/>
    <w:rsid w:val="00D96B65"/>
    <w:rsid w:val="00DA49F5"/>
    <w:rsid w:val="00DA531F"/>
    <w:rsid w:val="00DA5701"/>
    <w:rsid w:val="00DB2319"/>
    <w:rsid w:val="00DB3989"/>
    <w:rsid w:val="00DB3CF6"/>
    <w:rsid w:val="00DC027D"/>
    <w:rsid w:val="00DC2342"/>
    <w:rsid w:val="00DC49EE"/>
    <w:rsid w:val="00DC7AD2"/>
    <w:rsid w:val="00DC7D0E"/>
    <w:rsid w:val="00DD232F"/>
    <w:rsid w:val="00DD263F"/>
    <w:rsid w:val="00DD78EE"/>
    <w:rsid w:val="00DD79D3"/>
    <w:rsid w:val="00DE0429"/>
    <w:rsid w:val="00DE35BC"/>
    <w:rsid w:val="00DE4F07"/>
    <w:rsid w:val="00DE72CD"/>
    <w:rsid w:val="00DE75F4"/>
    <w:rsid w:val="00DF076A"/>
    <w:rsid w:val="00DF0A4A"/>
    <w:rsid w:val="00DF415F"/>
    <w:rsid w:val="00DF5927"/>
    <w:rsid w:val="00DF5965"/>
    <w:rsid w:val="00DF6C55"/>
    <w:rsid w:val="00E00CFA"/>
    <w:rsid w:val="00E01434"/>
    <w:rsid w:val="00E052E6"/>
    <w:rsid w:val="00E06827"/>
    <w:rsid w:val="00E06DF9"/>
    <w:rsid w:val="00E10F4A"/>
    <w:rsid w:val="00E1127B"/>
    <w:rsid w:val="00E12F80"/>
    <w:rsid w:val="00E15FC2"/>
    <w:rsid w:val="00E17319"/>
    <w:rsid w:val="00E226F7"/>
    <w:rsid w:val="00E22C37"/>
    <w:rsid w:val="00E26167"/>
    <w:rsid w:val="00E27B8E"/>
    <w:rsid w:val="00E31811"/>
    <w:rsid w:val="00E31B0C"/>
    <w:rsid w:val="00E33BF4"/>
    <w:rsid w:val="00E36C99"/>
    <w:rsid w:val="00E37FD8"/>
    <w:rsid w:val="00E42448"/>
    <w:rsid w:val="00E44DCD"/>
    <w:rsid w:val="00E47594"/>
    <w:rsid w:val="00E52DB2"/>
    <w:rsid w:val="00E54060"/>
    <w:rsid w:val="00E541CC"/>
    <w:rsid w:val="00E5506A"/>
    <w:rsid w:val="00E56F16"/>
    <w:rsid w:val="00E57001"/>
    <w:rsid w:val="00E641AB"/>
    <w:rsid w:val="00E65432"/>
    <w:rsid w:val="00E67E0E"/>
    <w:rsid w:val="00E713D6"/>
    <w:rsid w:val="00E71924"/>
    <w:rsid w:val="00E730F7"/>
    <w:rsid w:val="00E732E6"/>
    <w:rsid w:val="00E7379A"/>
    <w:rsid w:val="00E751D7"/>
    <w:rsid w:val="00E75446"/>
    <w:rsid w:val="00E8175B"/>
    <w:rsid w:val="00E835A1"/>
    <w:rsid w:val="00E83722"/>
    <w:rsid w:val="00E859CC"/>
    <w:rsid w:val="00E87E44"/>
    <w:rsid w:val="00E91346"/>
    <w:rsid w:val="00E92FA8"/>
    <w:rsid w:val="00E92FB2"/>
    <w:rsid w:val="00E92FCF"/>
    <w:rsid w:val="00E96776"/>
    <w:rsid w:val="00E979C0"/>
    <w:rsid w:val="00E97E5B"/>
    <w:rsid w:val="00EA24DE"/>
    <w:rsid w:val="00EA3B49"/>
    <w:rsid w:val="00EA3BB2"/>
    <w:rsid w:val="00EA51EB"/>
    <w:rsid w:val="00EA7E45"/>
    <w:rsid w:val="00EB21FB"/>
    <w:rsid w:val="00EB26C1"/>
    <w:rsid w:val="00EB3367"/>
    <w:rsid w:val="00EB6B4A"/>
    <w:rsid w:val="00EB7825"/>
    <w:rsid w:val="00EC1383"/>
    <w:rsid w:val="00EC1A19"/>
    <w:rsid w:val="00EC1E43"/>
    <w:rsid w:val="00EC3C5F"/>
    <w:rsid w:val="00EC46F3"/>
    <w:rsid w:val="00EC4875"/>
    <w:rsid w:val="00EC5520"/>
    <w:rsid w:val="00EC6B1B"/>
    <w:rsid w:val="00ED12F3"/>
    <w:rsid w:val="00ED2997"/>
    <w:rsid w:val="00ED302F"/>
    <w:rsid w:val="00ED3B93"/>
    <w:rsid w:val="00ED7019"/>
    <w:rsid w:val="00EE1320"/>
    <w:rsid w:val="00EE1354"/>
    <w:rsid w:val="00EE20CB"/>
    <w:rsid w:val="00EE22A2"/>
    <w:rsid w:val="00EE5B1A"/>
    <w:rsid w:val="00EE613E"/>
    <w:rsid w:val="00EE62B5"/>
    <w:rsid w:val="00EE6B7B"/>
    <w:rsid w:val="00EF0C42"/>
    <w:rsid w:val="00EF0E9E"/>
    <w:rsid w:val="00EF362C"/>
    <w:rsid w:val="00EF3EAF"/>
    <w:rsid w:val="00EF4B3E"/>
    <w:rsid w:val="00EF517C"/>
    <w:rsid w:val="00EF59E5"/>
    <w:rsid w:val="00EF60B6"/>
    <w:rsid w:val="00F0353F"/>
    <w:rsid w:val="00F03BB6"/>
    <w:rsid w:val="00F079E6"/>
    <w:rsid w:val="00F15054"/>
    <w:rsid w:val="00F215A8"/>
    <w:rsid w:val="00F22B50"/>
    <w:rsid w:val="00F25BCB"/>
    <w:rsid w:val="00F2672B"/>
    <w:rsid w:val="00F303FD"/>
    <w:rsid w:val="00F324FC"/>
    <w:rsid w:val="00F34AFC"/>
    <w:rsid w:val="00F3659A"/>
    <w:rsid w:val="00F36FED"/>
    <w:rsid w:val="00F375B2"/>
    <w:rsid w:val="00F401EA"/>
    <w:rsid w:val="00F41159"/>
    <w:rsid w:val="00F42959"/>
    <w:rsid w:val="00F42F3C"/>
    <w:rsid w:val="00F43932"/>
    <w:rsid w:val="00F44901"/>
    <w:rsid w:val="00F44EB9"/>
    <w:rsid w:val="00F47F31"/>
    <w:rsid w:val="00F52027"/>
    <w:rsid w:val="00F5498D"/>
    <w:rsid w:val="00F557EF"/>
    <w:rsid w:val="00F560B8"/>
    <w:rsid w:val="00F56379"/>
    <w:rsid w:val="00F56547"/>
    <w:rsid w:val="00F56C1D"/>
    <w:rsid w:val="00F571DC"/>
    <w:rsid w:val="00F5790E"/>
    <w:rsid w:val="00F6191A"/>
    <w:rsid w:val="00F62681"/>
    <w:rsid w:val="00F634B9"/>
    <w:rsid w:val="00F66020"/>
    <w:rsid w:val="00F660B7"/>
    <w:rsid w:val="00F6644A"/>
    <w:rsid w:val="00F667C6"/>
    <w:rsid w:val="00F72C81"/>
    <w:rsid w:val="00F736AB"/>
    <w:rsid w:val="00F74BCB"/>
    <w:rsid w:val="00F74F21"/>
    <w:rsid w:val="00F76A65"/>
    <w:rsid w:val="00F77EB8"/>
    <w:rsid w:val="00F8122B"/>
    <w:rsid w:val="00F81484"/>
    <w:rsid w:val="00F81E49"/>
    <w:rsid w:val="00F82DA3"/>
    <w:rsid w:val="00F84C7A"/>
    <w:rsid w:val="00F868F0"/>
    <w:rsid w:val="00F87E81"/>
    <w:rsid w:val="00F90F7F"/>
    <w:rsid w:val="00F91F54"/>
    <w:rsid w:val="00F92740"/>
    <w:rsid w:val="00F93E31"/>
    <w:rsid w:val="00F95DA4"/>
    <w:rsid w:val="00F967BB"/>
    <w:rsid w:val="00FA37CF"/>
    <w:rsid w:val="00FA59AF"/>
    <w:rsid w:val="00FA5E24"/>
    <w:rsid w:val="00FB39B5"/>
    <w:rsid w:val="00FB4BC0"/>
    <w:rsid w:val="00FC177D"/>
    <w:rsid w:val="00FC3264"/>
    <w:rsid w:val="00FD1AA8"/>
    <w:rsid w:val="00FD306A"/>
    <w:rsid w:val="00FD3DD3"/>
    <w:rsid w:val="00FD5DC6"/>
    <w:rsid w:val="00FD7B45"/>
    <w:rsid w:val="00FE0146"/>
    <w:rsid w:val="00FE0D37"/>
    <w:rsid w:val="00FE5692"/>
    <w:rsid w:val="00FE5B7F"/>
    <w:rsid w:val="00FE65CD"/>
    <w:rsid w:val="00FE6B06"/>
    <w:rsid w:val="00FF3044"/>
    <w:rsid w:val="00FF46A1"/>
    <w:rsid w:val="00FF4E42"/>
    <w:rsid w:val="00FF5602"/>
    <w:rsid w:val="00FF560D"/>
    <w:rsid w:val="00FF7571"/>
    <w:rsid w:val="013B1094"/>
    <w:rsid w:val="02610E76"/>
    <w:rsid w:val="02A660E8"/>
    <w:rsid w:val="03256636"/>
    <w:rsid w:val="037C6FB6"/>
    <w:rsid w:val="039A317B"/>
    <w:rsid w:val="03FE6319"/>
    <w:rsid w:val="042F48EA"/>
    <w:rsid w:val="046A6CCD"/>
    <w:rsid w:val="053B15A4"/>
    <w:rsid w:val="064C13E1"/>
    <w:rsid w:val="06D05B2E"/>
    <w:rsid w:val="07231444"/>
    <w:rsid w:val="076F5347"/>
    <w:rsid w:val="084D7C2D"/>
    <w:rsid w:val="08536A17"/>
    <w:rsid w:val="09047D11"/>
    <w:rsid w:val="09B40479"/>
    <w:rsid w:val="0A2574B3"/>
    <w:rsid w:val="0B0A76E9"/>
    <w:rsid w:val="0B7C7A64"/>
    <w:rsid w:val="0BA666AA"/>
    <w:rsid w:val="0C6D7840"/>
    <w:rsid w:val="0CB258E3"/>
    <w:rsid w:val="0D6F1519"/>
    <w:rsid w:val="0E19594F"/>
    <w:rsid w:val="10423A34"/>
    <w:rsid w:val="11A77604"/>
    <w:rsid w:val="11CD086F"/>
    <w:rsid w:val="12A01D9B"/>
    <w:rsid w:val="12CF28EA"/>
    <w:rsid w:val="130F7E50"/>
    <w:rsid w:val="13DC75A4"/>
    <w:rsid w:val="13DF0529"/>
    <w:rsid w:val="148625F5"/>
    <w:rsid w:val="148C1946"/>
    <w:rsid w:val="15086DDB"/>
    <w:rsid w:val="153455D7"/>
    <w:rsid w:val="16036DA4"/>
    <w:rsid w:val="17AB72E5"/>
    <w:rsid w:val="188D4054"/>
    <w:rsid w:val="195C3428"/>
    <w:rsid w:val="19CD49E1"/>
    <w:rsid w:val="1A7E4804"/>
    <w:rsid w:val="1AC65738"/>
    <w:rsid w:val="1AD70716"/>
    <w:rsid w:val="1AE37DAC"/>
    <w:rsid w:val="1B1331B5"/>
    <w:rsid w:val="1B6E7990"/>
    <w:rsid w:val="1BAA4748"/>
    <w:rsid w:val="1BB7435D"/>
    <w:rsid w:val="1CA5548E"/>
    <w:rsid w:val="1CBF6038"/>
    <w:rsid w:val="1CDC7FA8"/>
    <w:rsid w:val="1EBE4E7B"/>
    <w:rsid w:val="1F672950"/>
    <w:rsid w:val="208D41D2"/>
    <w:rsid w:val="20D87472"/>
    <w:rsid w:val="21197EDC"/>
    <w:rsid w:val="215E734B"/>
    <w:rsid w:val="22135B75"/>
    <w:rsid w:val="223E69B9"/>
    <w:rsid w:val="22C6341A"/>
    <w:rsid w:val="22FF4879"/>
    <w:rsid w:val="234D7347"/>
    <w:rsid w:val="24672B46"/>
    <w:rsid w:val="25C65F86"/>
    <w:rsid w:val="25F72072"/>
    <w:rsid w:val="26B6111C"/>
    <w:rsid w:val="28D3610D"/>
    <w:rsid w:val="29A2755B"/>
    <w:rsid w:val="29F12B5D"/>
    <w:rsid w:val="29FF3178"/>
    <w:rsid w:val="2A755335"/>
    <w:rsid w:val="2B4E7A4E"/>
    <w:rsid w:val="2DAD387D"/>
    <w:rsid w:val="2DDC0B49"/>
    <w:rsid w:val="2E8B79E8"/>
    <w:rsid w:val="2F9C21A2"/>
    <w:rsid w:val="348D41C6"/>
    <w:rsid w:val="34987FD8"/>
    <w:rsid w:val="36700390"/>
    <w:rsid w:val="3717544B"/>
    <w:rsid w:val="37B214EF"/>
    <w:rsid w:val="38571C7D"/>
    <w:rsid w:val="39386D6D"/>
    <w:rsid w:val="39FF1B64"/>
    <w:rsid w:val="3A204AEC"/>
    <w:rsid w:val="3B2B2A20"/>
    <w:rsid w:val="3DAC723C"/>
    <w:rsid w:val="3DB3244A"/>
    <w:rsid w:val="3E7C38CA"/>
    <w:rsid w:val="3EAA07DB"/>
    <w:rsid w:val="3EF065CE"/>
    <w:rsid w:val="412D71FD"/>
    <w:rsid w:val="419633AA"/>
    <w:rsid w:val="41C45CB4"/>
    <w:rsid w:val="427F3327"/>
    <w:rsid w:val="42DA01BE"/>
    <w:rsid w:val="448B4301"/>
    <w:rsid w:val="44AF30FD"/>
    <w:rsid w:val="455517CB"/>
    <w:rsid w:val="460076E6"/>
    <w:rsid w:val="462A632B"/>
    <w:rsid w:val="47596A1D"/>
    <w:rsid w:val="47F859DB"/>
    <w:rsid w:val="49311755"/>
    <w:rsid w:val="498E313A"/>
    <w:rsid w:val="49CA551D"/>
    <w:rsid w:val="4AB33BAC"/>
    <w:rsid w:val="4AE301E8"/>
    <w:rsid w:val="4AF76973"/>
    <w:rsid w:val="4B205ACF"/>
    <w:rsid w:val="4BBA0971"/>
    <w:rsid w:val="4D0E7878"/>
    <w:rsid w:val="4E2A6D4B"/>
    <w:rsid w:val="4F1763C1"/>
    <w:rsid w:val="4F354C7F"/>
    <w:rsid w:val="501555F2"/>
    <w:rsid w:val="502A158D"/>
    <w:rsid w:val="51DB3C59"/>
    <w:rsid w:val="53987432"/>
    <w:rsid w:val="539B3B0B"/>
    <w:rsid w:val="54462559"/>
    <w:rsid w:val="57AC65E2"/>
    <w:rsid w:val="58882ACE"/>
    <w:rsid w:val="5C717B35"/>
    <w:rsid w:val="5C8A283C"/>
    <w:rsid w:val="5CCC5499"/>
    <w:rsid w:val="5CE147CE"/>
    <w:rsid w:val="5D514C25"/>
    <w:rsid w:val="5E9071F2"/>
    <w:rsid w:val="5F3D0B4F"/>
    <w:rsid w:val="6055781B"/>
    <w:rsid w:val="61D2367E"/>
    <w:rsid w:val="62CE5926"/>
    <w:rsid w:val="631B12A8"/>
    <w:rsid w:val="63AA1E11"/>
    <w:rsid w:val="6591131F"/>
    <w:rsid w:val="661824D8"/>
    <w:rsid w:val="67984605"/>
    <w:rsid w:val="6861404E"/>
    <w:rsid w:val="687669DD"/>
    <w:rsid w:val="68976726"/>
    <w:rsid w:val="6936532B"/>
    <w:rsid w:val="6AAF4B97"/>
    <w:rsid w:val="6AB44268"/>
    <w:rsid w:val="6BEC459F"/>
    <w:rsid w:val="6CD61F9E"/>
    <w:rsid w:val="6D77630A"/>
    <w:rsid w:val="6DB92513"/>
    <w:rsid w:val="6DDC72CD"/>
    <w:rsid w:val="6F303077"/>
    <w:rsid w:val="6FE4258E"/>
    <w:rsid w:val="713737CC"/>
    <w:rsid w:val="73E55634"/>
    <w:rsid w:val="76B52A9A"/>
    <w:rsid w:val="76B92B53"/>
    <w:rsid w:val="77F273D8"/>
    <w:rsid w:val="78607A0C"/>
    <w:rsid w:val="78807F41"/>
    <w:rsid w:val="7B1C3B93"/>
    <w:rsid w:val="7C4C3FD2"/>
    <w:rsid w:val="7D823B86"/>
    <w:rsid w:val="7DBB54B6"/>
    <w:rsid w:val="7E3E16AB"/>
    <w:rsid w:val="7E9640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3DC8E58"/>
  <w15:docId w15:val="{815F4F49-090B-47EC-9E86-AC2CA387C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djustRightInd w:val="0"/>
      <w:snapToGrid w:val="0"/>
      <w:spacing w:line="360" w:lineRule="auto"/>
      <w:jc w:val="both"/>
    </w:pPr>
    <w:rPr>
      <w:rFonts w:eastAsiaTheme="minorEastAsia"/>
      <w:kern w:val="2"/>
      <w:sz w:val="24"/>
      <w:szCs w:val="24"/>
    </w:rPr>
  </w:style>
  <w:style w:type="paragraph" w:styleId="1">
    <w:name w:val="heading 1"/>
    <w:basedOn w:val="a"/>
    <w:next w:val="a"/>
    <w:link w:val="10"/>
    <w:uiPriority w:val="9"/>
    <w:qFormat/>
    <w:pPr>
      <w:jc w:val="center"/>
      <w:outlineLvl w:val="0"/>
    </w:pPr>
    <w:rPr>
      <w:b/>
      <w:color w:val="000000" w:themeColor="text1"/>
      <w:sz w:val="28"/>
      <w:szCs w:val="28"/>
    </w:rPr>
  </w:style>
  <w:style w:type="paragraph" w:styleId="2">
    <w:name w:val="heading 2"/>
    <w:basedOn w:val="RSCB04AHeadingSection"/>
    <w:next w:val="a"/>
    <w:link w:val="20"/>
    <w:uiPriority w:val="9"/>
    <w:unhideWhenUsed/>
    <w:qFormat/>
    <w:pPr>
      <w:outlineLvl w:val="1"/>
    </w:pPr>
  </w:style>
  <w:style w:type="paragraph" w:styleId="3">
    <w:name w:val="heading 3"/>
    <w:basedOn w:val="RSCB04AHeadingSection"/>
    <w:link w:val="30"/>
    <w:uiPriority w:val="9"/>
    <w:qFormat/>
    <w:pPr>
      <w:outlineLvl w:val="2"/>
    </w:pPr>
    <w:rPr>
      <w:sz w:val="18"/>
    </w:rPr>
  </w:style>
  <w:style w:type="paragraph" w:styleId="4">
    <w:name w:val="heading 4"/>
    <w:basedOn w:val="RSCB04AHeadingSection"/>
    <w:next w:val="a"/>
    <w:link w:val="40"/>
    <w:uiPriority w:val="9"/>
    <w:unhideWhenUsed/>
    <w:qFormat/>
    <w:pPr>
      <w:outlineLvl w:val="3"/>
    </w:pPr>
    <w:rPr>
      <w:sz w:val="1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SCB04AHeadingSection">
    <w:name w:val="RSC B04 A Heading (Section)"/>
    <w:basedOn w:val="a"/>
    <w:link w:val="RSCB04AHeadingSectionChar"/>
    <w:qFormat/>
    <w:pPr>
      <w:widowControl/>
      <w:spacing w:before="400" w:after="80"/>
      <w:jc w:val="left"/>
    </w:pPr>
    <w:rPr>
      <w:b/>
    </w:rPr>
  </w:style>
  <w:style w:type="paragraph" w:styleId="a3">
    <w:name w:val="caption"/>
    <w:basedOn w:val="a"/>
    <w:next w:val="a"/>
    <w:uiPriority w:val="35"/>
    <w:unhideWhenUsed/>
    <w:qFormat/>
    <w:rPr>
      <w:rFonts w:asciiTheme="majorHAnsi" w:eastAsia="黑体" w:hAnsiTheme="majorHAnsi" w:cstheme="majorBidi"/>
      <w:sz w:val="20"/>
      <w:szCs w:val="20"/>
    </w:rPr>
  </w:style>
  <w:style w:type="paragraph" w:styleId="a4">
    <w:name w:val="annotation text"/>
    <w:basedOn w:val="a"/>
    <w:link w:val="a5"/>
    <w:uiPriority w:val="99"/>
    <w:semiHidden/>
    <w:unhideWhenUsed/>
    <w:qFormat/>
    <w:pPr>
      <w:jc w:val="left"/>
    </w:pPr>
  </w:style>
  <w:style w:type="paragraph" w:styleId="a6">
    <w:name w:val="Body Text"/>
    <w:basedOn w:val="a"/>
    <w:link w:val="a7"/>
    <w:qFormat/>
    <w:pPr>
      <w:widowControl/>
      <w:adjustRightInd/>
      <w:snapToGrid/>
      <w:spacing w:before="180" w:after="180" w:line="240" w:lineRule="auto"/>
      <w:jc w:val="left"/>
    </w:pPr>
    <w:rPr>
      <w:rFonts w:asciiTheme="minorHAnsi" w:hAnsiTheme="minorHAnsi" w:cstheme="minorBidi"/>
      <w:kern w:val="0"/>
      <w:lang w:eastAsia="en-US"/>
    </w:rPr>
  </w:style>
  <w:style w:type="paragraph" w:styleId="a8">
    <w:name w:val="Balloon Text"/>
    <w:basedOn w:val="a"/>
    <w:link w:val="a9"/>
    <w:uiPriority w:val="99"/>
    <w:semiHidden/>
    <w:unhideWhenUsed/>
    <w:qFormat/>
    <w:rPr>
      <w:sz w:val="18"/>
      <w:szCs w:val="18"/>
    </w:rPr>
  </w:style>
  <w:style w:type="paragraph" w:styleId="aa">
    <w:name w:val="footer"/>
    <w:basedOn w:val="a"/>
    <w:link w:val="ab"/>
    <w:uiPriority w:val="99"/>
    <w:unhideWhenUsed/>
    <w:qFormat/>
    <w:pPr>
      <w:tabs>
        <w:tab w:val="center" w:pos="4153"/>
        <w:tab w:val="right" w:pos="8306"/>
      </w:tabs>
      <w:jc w:val="left"/>
    </w:pPr>
    <w:rPr>
      <w:sz w:val="18"/>
      <w:szCs w:val="18"/>
    </w:rPr>
  </w:style>
  <w:style w:type="paragraph" w:styleId="ac">
    <w:name w:val="header"/>
    <w:basedOn w:val="a"/>
    <w:link w:val="ad"/>
    <w:uiPriority w:val="99"/>
    <w:unhideWhenUsed/>
    <w:pPr>
      <w:pBdr>
        <w:bottom w:val="single" w:sz="6" w:space="1" w:color="auto"/>
      </w:pBdr>
      <w:tabs>
        <w:tab w:val="center" w:pos="4153"/>
        <w:tab w:val="right" w:pos="8306"/>
      </w:tabs>
      <w:jc w:val="center"/>
    </w:pPr>
    <w:rPr>
      <w:sz w:val="18"/>
      <w:szCs w:val="18"/>
    </w:rPr>
  </w:style>
  <w:style w:type="paragraph" w:styleId="ae">
    <w:name w:val="Normal (Web)"/>
    <w:basedOn w:val="a"/>
    <w:uiPriority w:val="99"/>
    <w:semiHidden/>
    <w:unhideWhenUsed/>
    <w:qFormat/>
    <w:pPr>
      <w:spacing w:beforeAutospacing="1" w:afterAutospacing="1"/>
      <w:jc w:val="left"/>
    </w:pPr>
    <w:rPr>
      <w:kern w:val="0"/>
    </w:rPr>
  </w:style>
  <w:style w:type="paragraph" w:styleId="af">
    <w:name w:val="annotation subject"/>
    <w:basedOn w:val="a4"/>
    <w:next w:val="a4"/>
    <w:link w:val="af0"/>
    <w:uiPriority w:val="99"/>
    <w:semiHidden/>
    <w:unhideWhenUsed/>
    <w:qFormat/>
    <w:rPr>
      <w:b/>
      <w:bCs/>
    </w:rPr>
  </w:style>
  <w:style w:type="table" w:styleId="af1">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Emphasis"/>
    <w:basedOn w:val="a0"/>
    <w:uiPriority w:val="20"/>
    <w:qFormat/>
    <w:rPr>
      <w:i/>
      <w:iCs/>
    </w:rPr>
  </w:style>
  <w:style w:type="character" w:styleId="af3">
    <w:name w:val="Hyperlink"/>
    <w:basedOn w:val="a0"/>
    <w:uiPriority w:val="99"/>
    <w:unhideWhenUsed/>
    <w:qFormat/>
    <w:rPr>
      <w:color w:val="0000FF"/>
      <w:u w:val="single"/>
    </w:rPr>
  </w:style>
  <w:style w:type="character" w:styleId="af4">
    <w:name w:val="annotation reference"/>
    <w:basedOn w:val="a0"/>
    <w:uiPriority w:val="99"/>
    <w:semiHidden/>
    <w:unhideWhenUsed/>
    <w:rPr>
      <w:sz w:val="21"/>
      <w:szCs w:val="21"/>
    </w:rPr>
  </w:style>
  <w:style w:type="character" w:customStyle="1" w:styleId="ad">
    <w:name w:val="页眉 字符"/>
    <w:basedOn w:val="a0"/>
    <w:link w:val="ac"/>
    <w:uiPriority w:val="99"/>
    <w:rPr>
      <w:sz w:val="18"/>
      <w:szCs w:val="18"/>
    </w:rPr>
  </w:style>
  <w:style w:type="character" w:customStyle="1" w:styleId="ab">
    <w:name w:val="页脚 字符"/>
    <w:basedOn w:val="a0"/>
    <w:link w:val="aa"/>
    <w:uiPriority w:val="99"/>
    <w:rPr>
      <w:sz w:val="18"/>
      <w:szCs w:val="18"/>
    </w:rPr>
  </w:style>
  <w:style w:type="character" w:customStyle="1" w:styleId="img-tbleqn">
    <w:name w:val="img-tbl__eqn"/>
    <w:basedOn w:val="a0"/>
  </w:style>
  <w:style w:type="character" w:customStyle="1" w:styleId="img-tbleqn--number">
    <w:name w:val="img-tbl__eqn--number"/>
    <w:basedOn w:val="a0"/>
  </w:style>
  <w:style w:type="character" w:customStyle="1" w:styleId="stacked">
    <w:name w:val="stacked"/>
    <w:basedOn w:val="a0"/>
  </w:style>
  <w:style w:type="character" w:styleId="af5">
    <w:name w:val="Placeholder Text"/>
    <w:basedOn w:val="a0"/>
    <w:uiPriority w:val="99"/>
    <w:semiHidden/>
    <w:qFormat/>
    <w:rPr>
      <w:color w:val="808080"/>
    </w:rPr>
  </w:style>
  <w:style w:type="paragraph" w:styleId="af6">
    <w:name w:val="List Paragraph"/>
    <w:basedOn w:val="a"/>
    <w:uiPriority w:val="34"/>
    <w:qFormat/>
    <w:pPr>
      <w:ind w:firstLine="420"/>
    </w:pPr>
  </w:style>
  <w:style w:type="character" w:customStyle="1" w:styleId="11">
    <w:name w:val="未处理的提及1"/>
    <w:basedOn w:val="a0"/>
    <w:uiPriority w:val="99"/>
    <w:semiHidden/>
    <w:unhideWhenUsed/>
    <w:qFormat/>
    <w:rPr>
      <w:color w:val="605E5C"/>
      <w:shd w:val="clear" w:color="auto" w:fill="E1DFDD"/>
    </w:rPr>
  </w:style>
  <w:style w:type="character" w:customStyle="1" w:styleId="30">
    <w:name w:val="标题 3 字符"/>
    <w:basedOn w:val="a0"/>
    <w:link w:val="3"/>
    <w:uiPriority w:val="9"/>
    <w:rPr>
      <w:rFonts w:ascii="Times New Roman" w:hAnsi="Times New Roman" w:cs="Times New Roman"/>
      <w:b/>
      <w:sz w:val="18"/>
      <w:szCs w:val="24"/>
    </w:rPr>
  </w:style>
  <w:style w:type="character" w:customStyle="1" w:styleId="10">
    <w:name w:val="标题 1 字符"/>
    <w:basedOn w:val="a0"/>
    <w:link w:val="1"/>
    <w:uiPriority w:val="9"/>
    <w:qFormat/>
    <w:rPr>
      <w:rFonts w:ascii="Times New Roman" w:hAnsi="Times New Roman" w:cs="Times New Roman"/>
      <w:b/>
      <w:color w:val="000000" w:themeColor="text1"/>
      <w:sz w:val="28"/>
      <w:szCs w:val="28"/>
    </w:rPr>
  </w:style>
  <w:style w:type="paragraph" w:customStyle="1" w:styleId="EndNoteBibliographyTitle">
    <w:name w:val="EndNote Bibliography Title"/>
    <w:basedOn w:val="a"/>
    <w:link w:val="EndNoteBibliographyTitle0"/>
    <w:pPr>
      <w:jc w:val="center"/>
    </w:pPr>
    <w:rPr>
      <w:rFonts w:ascii="Calibri" w:hAnsi="Calibri" w:cs="Calibri"/>
      <w:sz w:val="20"/>
    </w:rPr>
  </w:style>
  <w:style w:type="character" w:customStyle="1" w:styleId="EndNoteBibliographyTitle0">
    <w:name w:val="EndNote Bibliography Title 字符"/>
    <w:basedOn w:val="a0"/>
    <w:link w:val="EndNoteBibliographyTitle"/>
    <w:qFormat/>
    <w:rPr>
      <w:rFonts w:ascii="Calibri" w:hAnsi="Calibri" w:cs="Calibri"/>
      <w:sz w:val="20"/>
    </w:rPr>
  </w:style>
  <w:style w:type="paragraph" w:customStyle="1" w:styleId="EndNoteBibliography">
    <w:name w:val="EndNote Bibliography"/>
    <w:basedOn w:val="a"/>
    <w:link w:val="EndNoteBibliography0"/>
    <w:pPr>
      <w:jc w:val="left"/>
    </w:pPr>
    <w:rPr>
      <w:rFonts w:ascii="Calibri" w:hAnsi="Calibri" w:cs="Calibri"/>
      <w:sz w:val="20"/>
    </w:rPr>
  </w:style>
  <w:style w:type="character" w:customStyle="1" w:styleId="EndNoteBibliography0">
    <w:name w:val="EndNote Bibliography 字符"/>
    <w:basedOn w:val="a0"/>
    <w:link w:val="EndNoteBibliography"/>
    <w:qFormat/>
    <w:rPr>
      <w:rFonts w:ascii="Calibri" w:hAnsi="Calibri" w:cs="Calibri"/>
      <w:sz w:val="20"/>
    </w:rPr>
  </w:style>
  <w:style w:type="character" w:customStyle="1" w:styleId="21">
    <w:name w:val="未处理的提及2"/>
    <w:basedOn w:val="a0"/>
    <w:uiPriority w:val="99"/>
    <w:semiHidden/>
    <w:unhideWhenUsed/>
    <w:qFormat/>
    <w:rPr>
      <w:color w:val="605E5C"/>
      <w:shd w:val="clear" w:color="auto" w:fill="E1DFDD"/>
    </w:rPr>
  </w:style>
  <w:style w:type="character" w:customStyle="1" w:styleId="a9">
    <w:name w:val="批注框文本 字符"/>
    <w:basedOn w:val="a0"/>
    <w:link w:val="a8"/>
    <w:uiPriority w:val="99"/>
    <w:semiHidden/>
    <w:rPr>
      <w:sz w:val="18"/>
      <w:szCs w:val="18"/>
    </w:rPr>
  </w:style>
  <w:style w:type="character" w:customStyle="1" w:styleId="a5">
    <w:name w:val="批注文字 字符"/>
    <w:basedOn w:val="a0"/>
    <w:link w:val="a4"/>
    <w:uiPriority w:val="99"/>
    <w:semiHidden/>
  </w:style>
  <w:style w:type="character" w:customStyle="1" w:styleId="af0">
    <w:name w:val="批注主题 字符"/>
    <w:basedOn w:val="a5"/>
    <w:link w:val="af"/>
    <w:uiPriority w:val="99"/>
    <w:semiHidden/>
    <w:rPr>
      <w:b/>
      <w:bCs/>
    </w:rPr>
  </w:style>
  <w:style w:type="paragraph" w:customStyle="1" w:styleId="12">
    <w:name w:val="修订1"/>
    <w:hidden/>
    <w:uiPriority w:val="99"/>
    <w:semiHidden/>
    <w:rPr>
      <w:rFonts w:asciiTheme="minorHAnsi" w:eastAsiaTheme="minorEastAsia" w:hAnsiTheme="minorHAnsi" w:cstheme="minorBidi"/>
      <w:kern w:val="2"/>
      <w:sz w:val="21"/>
      <w:szCs w:val="22"/>
    </w:rPr>
  </w:style>
  <w:style w:type="character" w:customStyle="1" w:styleId="RSCB04AHeadingSectionChar">
    <w:name w:val="RSC B04 A Heading (Section) Char"/>
    <w:basedOn w:val="a0"/>
    <w:link w:val="RSCB04AHeadingSection"/>
    <w:qFormat/>
    <w:locked/>
    <w:rPr>
      <w:b/>
      <w:sz w:val="24"/>
    </w:rPr>
  </w:style>
  <w:style w:type="character" w:customStyle="1" w:styleId="20">
    <w:name w:val="标题 2 字符"/>
    <w:basedOn w:val="a0"/>
    <w:link w:val="2"/>
    <w:uiPriority w:val="9"/>
    <w:qFormat/>
    <w:rPr>
      <w:rFonts w:ascii="Times New Roman" w:hAnsi="Times New Roman" w:cs="Times New Roman"/>
      <w:b/>
      <w:sz w:val="24"/>
      <w:szCs w:val="24"/>
    </w:rPr>
  </w:style>
  <w:style w:type="character" w:customStyle="1" w:styleId="40">
    <w:name w:val="标题 4 字符"/>
    <w:basedOn w:val="a0"/>
    <w:link w:val="4"/>
    <w:uiPriority w:val="9"/>
    <w:qFormat/>
    <w:rPr>
      <w:rFonts w:ascii="Times New Roman" w:hAnsi="Times New Roman" w:cs="Times New Roman"/>
      <w:b/>
      <w:sz w:val="13"/>
      <w:szCs w:val="24"/>
    </w:rPr>
  </w:style>
  <w:style w:type="paragraph" w:customStyle="1" w:styleId="13">
    <w:name w:val="书目1"/>
    <w:basedOn w:val="a"/>
    <w:next w:val="a"/>
    <w:uiPriority w:val="37"/>
    <w:unhideWhenUsed/>
    <w:qFormat/>
    <w:pPr>
      <w:tabs>
        <w:tab w:val="left" w:pos="264"/>
      </w:tabs>
      <w:spacing w:line="480" w:lineRule="auto"/>
      <w:ind w:left="264" w:hanging="264"/>
    </w:pPr>
  </w:style>
  <w:style w:type="character" w:customStyle="1" w:styleId="a7">
    <w:name w:val="正文文本 字符"/>
    <w:basedOn w:val="a0"/>
    <w:link w:val="a6"/>
    <w:qFormat/>
    <w:rPr>
      <w:rFonts w:asciiTheme="minorHAnsi" w:eastAsiaTheme="minorEastAsia" w:hAnsiTheme="minorHAnsi" w:cstheme="minorBidi"/>
      <w:sz w:val="24"/>
      <w:szCs w:val="24"/>
      <w:lang w:eastAsia="en-US"/>
    </w:rPr>
  </w:style>
  <w:style w:type="paragraph" w:customStyle="1" w:styleId="22">
    <w:name w:val="书目2"/>
    <w:basedOn w:val="a"/>
    <w:next w:val="a"/>
    <w:uiPriority w:val="37"/>
    <w:unhideWhenUsed/>
    <w:qFormat/>
    <w:pPr>
      <w:tabs>
        <w:tab w:val="left" w:pos="504"/>
      </w:tabs>
      <w:spacing w:line="240" w:lineRule="auto"/>
      <w:ind w:left="504" w:hanging="504"/>
    </w:pPr>
  </w:style>
  <w:style w:type="character" w:customStyle="1" w:styleId="15">
    <w:name w:val="15"/>
    <w:basedOn w:val="a0"/>
    <w:qFormat/>
    <w:rPr>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3.xml"/><Relationship Id="rId10" Type="http://schemas.openxmlformats.org/officeDocument/2006/relationships/image" Target="media/image3.jpe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56D8B1-A7BA-4B97-ADCC-DCA8BE3D4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284</TotalTime>
  <Pages>11</Pages>
  <Words>3003</Words>
  <Characters>17121</Characters>
  <Application>Microsoft Office Word</Application>
  <DocSecurity>0</DocSecurity>
  <Lines>142</Lines>
  <Paragraphs>40</Paragraphs>
  <ScaleCrop>false</ScaleCrop>
  <Company>Microsoft</Company>
  <LinksUpToDate>false</LinksUpToDate>
  <CharactersWithSpaces>20084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luneng zhao</cp:lastModifiedBy>
  <cp:revision>88</cp:revision>
  <cp:lastPrinted>2024-09-27T08:52:00Z</cp:lastPrinted>
  <dcterms:created xsi:type="dcterms:W3CDTF">2024-09-15T15:40:00Z</dcterms:created>
  <dcterms:modified xsi:type="dcterms:W3CDTF">2024-11-08T08:22:00Z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id="F5dUTQjM"/&gt;&lt;style id="http://www.zotero.org/styles/american-physical-society" hasBibliography="1" bibliographyStyleHasBeenSet="1"/&gt;&lt;prefs&gt;&lt;pref name="fieldType" value="Field"/&gt;&lt;/prefs&gt;&lt;/data&gt;</vt:lpwstr>
  </property>
  <property fmtid="{D5CDD505-2E9C-101B-9397-08002B2CF9AE}" pid="3" name="KSOProductBuildVer">
    <vt:lpwstr>2052-12.8.2.18205</vt:lpwstr>
  </property>
  <property fmtid="{D5CDD505-2E9C-101B-9397-08002B2CF9AE}" pid="4" name="ICV">
    <vt:lpwstr>AAC02005588E4C9B81274AC34D3E3954_12</vt:lpwstr>
  </property>
</Properties>
</file>