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D0184">
      <w:pPr>
        <w:ind w:left="0" w:leftChars="0" w:firstLine="0" w:firstLineChars="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Figures and Tables</w:t>
      </w:r>
    </w:p>
    <w:p w14:paraId="15AAE7F4">
      <w:pPr>
        <w:ind w:left="0" w:leftChars="0" w:firstLine="0" w:firstLineChars="0"/>
        <w:jc w:val="left"/>
        <w:rPr>
          <w:rFonts w:hint="eastAsia"/>
          <w:b/>
          <w:bCs/>
          <w:sz w:val="24"/>
          <w:szCs w:val="24"/>
          <w:lang w:val="en-US" w:eastAsia="zh-CN"/>
        </w:rPr>
      </w:pPr>
    </w:p>
    <w:p w14:paraId="5584E0D8">
      <w:pPr>
        <w:ind w:left="0" w:leftChars="0"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20615" cy="3234690"/>
            <wp:effectExtent l="0" t="0" r="6985" b="3810"/>
            <wp:docPr id="1" name="图片 1" descr="微信截图_20240407185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404071853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0615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CE693">
      <w:r>
        <w:rPr>
          <w:rFonts w:hint="eastAsia"/>
        </w:rPr>
        <w:t>Supplementary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Figure 1. The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constructed three-dimensional finite element model</w:t>
      </w:r>
    </w:p>
    <w:p w14:paraId="49B686E8">
      <w:pPr>
        <w:ind w:left="0" w:leftChars="0" w:firstLine="0" w:firstLineChars="0"/>
        <w:jc w:val="left"/>
        <w:rPr>
          <w:rFonts w:hint="eastAsia" w:eastAsiaTheme="minorEastAsia"/>
          <w:lang w:eastAsia="zh-CN"/>
        </w:rPr>
      </w:pPr>
    </w:p>
    <w:p w14:paraId="55EC4BA5">
      <w:pPr>
        <w:ind w:left="0" w:leftChars="0"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4783455"/>
            <wp:effectExtent l="0" t="0" r="11430" b="444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8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5BFBC">
      <w:pPr>
        <w:ind w:left="0" w:leftChars="0" w:firstLine="0" w:firstLineChars="0"/>
        <w:jc w:val="left"/>
        <w:rPr>
          <w:rFonts w:hint="eastAsia" w:eastAsiaTheme="minorEastAsia"/>
          <w:lang w:eastAsia="zh-CN"/>
        </w:rPr>
      </w:pPr>
      <w:r>
        <w:rPr>
          <w:rFonts w:hint="eastAsia"/>
        </w:rPr>
        <w:t>Supplementary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t xml:space="preserve">Figure </w:t>
      </w:r>
      <w:r>
        <w:rPr>
          <w:rFonts w:hint="eastAsia" w:eastAsiaTheme="minorEastAsia"/>
          <w:lang w:val="en-US" w:eastAsia="zh-CN"/>
        </w:rPr>
        <w:t>2</w:t>
      </w:r>
      <w:r>
        <w:rPr>
          <w:rFonts w:hint="eastAsia" w:eastAsiaTheme="minorEastAsia"/>
          <w:lang w:eastAsia="zh-CN"/>
        </w:rPr>
        <w:t>. Establishment of coordinate system. (a) right central incisor (b) left central incisor (c) right first molar (d) left first molar</w:t>
      </w:r>
    </w:p>
    <w:p w14:paraId="57A68976">
      <w:pPr>
        <w:ind w:left="0" w:leftChars="0" w:firstLine="0" w:firstLineChars="0"/>
        <w:jc w:val="left"/>
        <w:rPr>
          <w:rFonts w:hint="eastAsia" w:eastAsiaTheme="minorEastAsia"/>
          <w:lang w:eastAsia="zh-CN"/>
        </w:rPr>
      </w:pPr>
    </w:p>
    <w:p w14:paraId="439143C7">
      <w:pPr>
        <w:ind w:left="0" w:leftChars="0" w:firstLine="0" w:firstLineChars="0"/>
        <w:jc w:val="left"/>
        <w:rPr>
          <w:rFonts w:hint="default" w:eastAsiaTheme="minorEastAsia"/>
          <w:lang w:val="en-US" w:eastAsia="zh-CN"/>
        </w:rPr>
      </w:pPr>
      <w:bookmarkStart w:id="0" w:name="_GoBack"/>
      <w:bookmarkEnd w:id="0"/>
    </w:p>
    <w:p w14:paraId="28F15723">
      <w:pPr>
        <w:ind w:left="0" w:leftChars="0" w:firstLine="0" w:firstLineChars="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</w:rPr>
        <w:t>Supplementary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Table 1. </w:t>
      </w:r>
      <w:r>
        <w:rPr>
          <w:rFonts w:hint="eastAsia"/>
          <w:lang w:val="en-US" w:eastAsia="zh-CN"/>
        </w:rPr>
        <w:t>T</w:t>
      </w:r>
      <w:r>
        <w:rPr>
          <w:rFonts w:hint="eastAsia"/>
        </w:rPr>
        <w:t xml:space="preserve">he process of maxillary second molar distalization from the beginning to the desired position (a distance of </w:t>
      </w:r>
      <w:r>
        <w:rPr>
          <w:rFonts w:hint="eastAsia"/>
          <w:lang w:val="en-US" w:eastAsia="zh-CN"/>
        </w:rPr>
        <w:t xml:space="preserve">2.0 </w:t>
      </w:r>
      <w:r>
        <w:rPr>
          <w:rFonts w:hint="eastAsia"/>
        </w:rPr>
        <w:t>mm)</w:t>
      </w:r>
    </w:p>
    <w:tbl>
      <w:tblPr>
        <w:tblStyle w:val="3"/>
        <w:tblW w:w="11224" w:type="dxa"/>
        <w:tblInd w:w="-126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040"/>
        <w:gridCol w:w="1040"/>
        <w:gridCol w:w="1041"/>
        <w:gridCol w:w="1041"/>
        <w:gridCol w:w="1041"/>
        <w:gridCol w:w="1041"/>
        <w:gridCol w:w="1041"/>
        <w:gridCol w:w="1041"/>
        <w:gridCol w:w="1041"/>
      </w:tblGrid>
      <w:tr w14:paraId="06B3EB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44" w:type="dxa"/>
            <w:tcBorders>
              <w:bottom w:val="single" w:color="auto" w:sz="4" w:space="0"/>
            </w:tcBorders>
            <w:vAlign w:val="center"/>
          </w:tcPr>
          <w:p w14:paraId="34AC5A49">
            <w:pPr>
              <w:jc w:val="center"/>
              <w:rPr>
                <w:sz w:val="22"/>
                <w:szCs w:val="22"/>
                <w:vertAlign w:val="baseline"/>
              </w:rPr>
            </w:pPr>
            <w:r>
              <w:rPr>
                <w:rFonts w:hint="eastAsia"/>
                <w:sz w:val="22"/>
                <w:szCs w:val="22"/>
                <w:vertAlign w:val="baseline"/>
              </w:rPr>
              <w:t>Teeth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4FDE38FD">
            <w:pPr>
              <w:jc w:val="center"/>
              <w:rPr>
                <w:rFonts w:hint="default" w:eastAsia="宋体"/>
                <w:color w:val="FF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vertAlign w:val="baseline"/>
                <w:lang w:val="en-US" w:eastAsia="zh-CN"/>
              </w:rPr>
              <w:t>Step 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0F24AC76">
            <w:pPr>
              <w:jc w:val="center"/>
              <w:rPr>
                <w:rFonts w:hint="default" w:eastAsia="宋体"/>
                <w:color w:val="FF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vertAlign w:val="baseline"/>
                <w:lang w:val="en-US" w:eastAsia="zh-CN"/>
              </w:rPr>
              <w:t>Step 2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475A2687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Step 3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78ED50A5">
            <w:pPr>
              <w:jc w:val="center"/>
              <w:rPr>
                <w:rFonts w:hint="default" w:eastAsia="宋体"/>
                <w:color w:val="FF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vertAlign w:val="baseline"/>
                <w:lang w:val="en-US" w:eastAsia="zh-CN"/>
              </w:rPr>
              <w:t>Step 4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31A5FF78">
            <w:pPr>
              <w:jc w:val="center"/>
              <w:rPr>
                <w:rFonts w:hint="default" w:eastAsia="宋体"/>
                <w:color w:val="FF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vertAlign w:val="baseline"/>
                <w:lang w:val="en-US" w:eastAsia="zh-CN"/>
              </w:rPr>
              <w:t>Step 5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0987FB12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Step 6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23E35256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Step 7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75CFD570">
            <w:pPr>
              <w:jc w:val="center"/>
              <w:rPr>
                <w:rFonts w:hint="default"/>
                <w:color w:val="FF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vertAlign w:val="baseline"/>
                <w:lang w:val="en-US" w:eastAsia="zh-CN"/>
              </w:rPr>
              <w:t>Step 8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550E76AE"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Step 9</w:t>
            </w:r>
          </w:p>
        </w:tc>
      </w:tr>
      <w:tr w14:paraId="18000A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9051265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</w:rPr>
              <w:t>Second molar</w:t>
            </w: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09205D5E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661EF0E6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53DD890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80D9DD2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6A97486B">
            <w:pPr>
              <w:jc w:val="center"/>
              <w:rPr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154DDADF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0876E10C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0.2 mm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8DB12F7">
            <w:pPr>
              <w:jc w:val="center"/>
              <w:rPr>
                <w:rFonts w:hint="default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1A6FDD13"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...</w:t>
            </w:r>
          </w:p>
        </w:tc>
      </w:tr>
      <w:tr w14:paraId="5E8271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44" w:type="dxa"/>
            <w:tcBorders>
              <w:tl2br w:val="nil"/>
              <w:tr2bl w:val="nil"/>
            </w:tcBorders>
            <w:vAlign w:val="center"/>
          </w:tcPr>
          <w:p w14:paraId="35329656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</w:rPr>
              <w:t>First molar</w:t>
            </w: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857C77F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894F3B0">
            <w:pPr>
              <w:jc w:val="center"/>
              <w:rPr>
                <w:rFonts w:hint="eastAsia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7A66530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00C5D00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FEAF431">
            <w:pPr>
              <w:jc w:val="center"/>
              <w:rPr>
                <w:rFonts w:hint="default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172F772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7E163CD">
            <w:pPr>
              <w:jc w:val="center"/>
              <w:rPr>
                <w:rFonts w:hint="default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26A1077">
            <w:pPr>
              <w:jc w:val="center"/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2A98F98"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...</w:t>
            </w:r>
          </w:p>
        </w:tc>
      </w:tr>
      <w:tr w14:paraId="1EB12A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44" w:type="dxa"/>
            <w:tcBorders>
              <w:tl2br w:val="nil"/>
              <w:tr2bl w:val="nil"/>
            </w:tcBorders>
            <w:vAlign w:val="center"/>
          </w:tcPr>
          <w:p w14:paraId="072369DD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</w:rPr>
              <w:t>Second premolar</w:t>
            </w: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s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A7172C8">
            <w:pPr>
              <w:jc w:val="center"/>
              <w:rPr>
                <w:rFonts w:hint="eastAsia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2B1F2F3">
            <w:pPr>
              <w:jc w:val="center"/>
              <w:rPr>
                <w:rFonts w:hint="eastAsia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3DBF5D4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11A7DC6">
            <w:pPr>
              <w:jc w:val="center"/>
              <w:rPr>
                <w:rFonts w:hint="eastAsia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264354D">
            <w:pPr>
              <w:jc w:val="center"/>
              <w:rPr>
                <w:rFonts w:hint="eastAsia" w:eastAsia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59D9FCD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FB350E7">
            <w:pPr>
              <w:jc w:val="center"/>
              <w:rPr>
                <w:rFonts w:hint="eastAsia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2CA5A70">
            <w:pPr>
              <w:jc w:val="center"/>
              <w:rPr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auto"/>
                <w:sz w:val="22"/>
                <w:szCs w:val="22"/>
                <w:vertAlign w:val="baseline"/>
                <w:lang w:val="en-US" w:eastAsia="zh-CN"/>
              </w:rPr>
              <w:t>0.3 mm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E8B3726"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...</w:t>
            </w:r>
          </w:p>
        </w:tc>
      </w:tr>
    </w:tbl>
    <w:p w14:paraId="6EAC2980"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Tips:</w:t>
      </w:r>
      <w:r>
        <w:rPr>
          <w:rFonts w:hint="eastAsia"/>
          <w:lang w:val="en-US" w:eastAsia="zh-CN"/>
        </w:rPr>
        <w:t xml:space="preserve"> ①the Step 1, 2, 4, 5, and 8 were simulated utilizing the FEM and demonstrated in this study; ②Prior to the commencement of bilateral first molar movement (Step 4), the patient underwent a Cone Beam Computed Tomography (CBCT) scan and a digital model capture again in anticipation of mini-screw implantation. Additionally, the patient wore Class II elastics as a preparatory device before the mini-screws were implanted. </w:t>
      </w:r>
    </w:p>
    <w:p w14:paraId="04F45C2A">
      <w:pPr>
        <w:rPr>
          <w:rFonts w:hint="eastAsia"/>
          <w:lang w:val="en-US" w:eastAsia="zh-CN"/>
        </w:rPr>
      </w:pPr>
    </w:p>
    <w:p w14:paraId="0804DB5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NGFkNzA4MmIyY2ZlMTgxMWZhNDUyMzI5YTdjOTYifQ=="/>
  </w:docVars>
  <w:rsids>
    <w:rsidRoot w:val="25D90846"/>
    <w:rsid w:val="08AF5FB9"/>
    <w:rsid w:val="0CF24169"/>
    <w:rsid w:val="160D33FD"/>
    <w:rsid w:val="17A834B1"/>
    <w:rsid w:val="19E801ED"/>
    <w:rsid w:val="25D90846"/>
    <w:rsid w:val="26FE1506"/>
    <w:rsid w:val="2A796FA6"/>
    <w:rsid w:val="2D6B5B42"/>
    <w:rsid w:val="3A9D770C"/>
    <w:rsid w:val="3B40671F"/>
    <w:rsid w:val="42F62146"/>
    <w:rsid w:val="4AC52021"/>
    <w:rsid w:val="4AFE3E0E"/>
    <w:rsid w:val="528B1C1B"/>
    <w:rsid w:val="55014E8B"/>
    <w:rsid w:val="595F3D09"/>
    <w:rsid w:val="631018DF"/>
    <w:rsid w:val="676645AE"/>
    <w:rsid w:val="74F65A83"/>
    <w:rsid w:val="77A8713B"/>
    <w:rsid w:val="7B872369"/>
    <w:rsid w:val="7E8E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220</Words>
  <Characters>1075</Characters>
  <Lines>0</Lines>
  <Paragraphs>0</Paragraphs>
  <TotalTime>89</TotalTime>
  <ScaleCrop>false</ScaleCrop>
  <LinksUpToDate>false</LinksUpToDate>
  <CharactersWithSpaces>1248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2024-05-14T05:16:00Z</dcterms:created>
  <dc:creator>陈欢欢</dc:creator>
  <cp:lastModifiedBy>陈欢欢</cp:lastModifiedBy>
  <dcterms:modified xsi:type="dcterms:W3CDTF">2024-11-09T08:00:06Z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344779AD444C41F685AEFC7E7254F9FF_11</vt:lpwstr>
  </property>
</Properties>
</file>