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3ECA10" w14:textId="38E5075F" w:rsidR="00A23425" w:rsidRPr="00A23425" w:rsidRDefault="00A23425" w:rsidP="00B9219A">
      <w:pPr>
        <w:rPr>
          <w:b/>
          <w:bCs/>
        </w:rPr>
      </w:pPr>
      <w:r w:rsidRPr="00A23425">
        <w:rPr>
          <w:b/>
          <w:bCs/>
        </w:rPr>
        <w:t>Evidence before this study</w:t>
      </w:r>
    </w:p>
    <w:p w14:paraId="32C18740" w14:textId="310C6AF8" w:rsidR="00D35021" w:rsidRDefault="00A23425" w:rsidP="00A41338">
      <w:r>
        <w:t xml:space="preserve">We searched </w:t>
      </w:r>
      <w:r w:rsidR="00CF53FC">
        <w:t xml:space="preserve">in </w:t>
      </w:r>
      <w:r>
        <w:t>PubMed for</w:t>
      </w:r>
      <w:r w:rsidR="00CF53FC">
        <w:t xml:space="preserve"> </w:t>
      </w:r>
      <w:r w:rsidR="00CB3D1B">
        <w:t>articles</w:t>
      </w:r>
      <w:r>
        <w:t xml:space="preserve"> </w:t>
      </w:r>
      <w:r w:rsidR="00E5630D">
        <w:t>that</w:t>
      </w:r>
      <w:r>
        <w:t xml:space="preserve"> </w:t>
      </w:r>
      <w:r w:rsidR="00667EAA">
        <w:t>report</w:t>
      </w:r>
      <w:r w:rsidR="00E5630D">
        <w:t>ed</w:t>
      </w:r>
      <w:r w:rsidR="00667EAA">
        <w:t xml:space="preserve"> </w:t>
      </w:r>
      <w:r w:rsidR="00E5630D">
        <w:t>or</w:t>
      </w:r>
      <w:r w:rsidR="00667EAA">
        <w:t xml:space="preserve"> </w:t>
      </w:r>
      <w:r>
        <w:t>evaluat</w:t>
      </w:r>
      <w:r w:rsidR="00E5630D">
        <w:t>ed</w:t>
      </w:r>
      <w:r>
        <w:t xml:space="preserve"> </w:t>
      </w:r>
      <w:r w:rsidR="00667EAA">
        <w:t>the utility of the population-wide testing programmes for COVID-19</w:t>
      </w:r>
      <w:r>
        <w:t xml:space="preserve"> on </w:t>
      </w:r>
      <w:r w:rsidR="00667EAA">
        <w:t>21</w:t>
      </w:r>
      <w:r>
        <w:t xml:space="preserve"> </w:t>
      </w:r>
      <w:r w:rsidR="00667EAA">
        <w:t>April</w:t>
      </w:r>
      <w:r>
        <w:t xml:space="preserve">, 2021 with no restrictions on publication time and language. We </w:t>
      </w:r>
      <w:r w:rsidR="00E720A4">
        <w:t xml:space="preserve">searched in title and abstract </w:t>
      </w:r>
      <w:r>
        <w:t>us</w:t>
      </w:r>
      <w:r w:rsidR="00E720A4">
        <w:t>ing</w:t>
      </w:r>
      <w:r>
        <w:t xml:space="preserve"> terms of </w:t>
      </w:r>
      <w:r w:rsidR="002018F6">
        <w:t>(</w:t>
      </w:r>
      <w:r>
        <w:t>“COVID-19</w:t>
      </w:r>
      <w:r w:rsidR="002018F6">
        <w:t>”</w:t>
      </w:r>
      <w:r>
        <w:t xml:space="preserve"> OR </w:t>
      </w:r>
      <w:r w:rsidR="002018F6">
        <w:t>“</w:t>
      </w:r>
      <w:r>
        <w:t>SARS-CoV-2”</w:t>
      </w:r>
      <w:r w:rsidR="002018F6">
        <w:t>)</w:t>
      </w:r>
      <w:r>
        <w:t xml:space="preserve"> AND </w:t>
      </w:r>
      <w:r w:rsidR="002018F6">
        <w:t>(</w:t>
      </w:r>
      <w:r>
        <w:t>“</w:t>
      </w:r>
      <w:r w:rsidR="00E720A4">
        <w:t>mass</w:t>
      </w:r>
      <w:r w:rsidR="00BF58C8">
        <w:t xml:space="preserve"> testing</w:t>
      </w:r>
      <w:r w:rsidR="002018F6">
        <w:t>”</w:t>
      </w:r>
      <w:r w:rsidR="009848FB">
        <w:t xml:space="preserve"> OR </w:t>
      </w:r>
      <w:r w:rsidR="002018F6">
        <w:t>“</w:t>
      </w:r>
      <w:r w:rsidR="009848FB">
        <w:t>mass screening</w:t>
      </w:r>
      <w:r w:rsidR="002018F6">
        <w:t>”</w:t>
      </w:r>
      <w:r w:rsidR="00D35021">
        <w:t xml:space="preserve"> OR </w:t>
      </w:r>
      <w:r w:rsidR="002018F6">
        <w:t>“</w:t>
      </w:r>
      <w:r w:rsidR="00D35021">
        <w:t>population-wide</w:t>
      </w:r>
      <w:r w:rsidR="002018F6">
        <w:t>”</w:t>
      </w:r>
      <w:r w:rsidR="00D35021">
        <w:t xml:space="preserve"> OR </w:t>
      </w:r>
      <w:r w:rsidR="002018F6">
        <w:t>“</w:t>
      </w:r>
      <w:r w:rsidR="00D35021">
        <w:t>large-scale</w:t>
      </w:r>
      <w:r>
        <w:t>”</w:t>
      </w:r>
      <w:r w:rsidR="002018F6">
        <w:t>) AND</w:t>
      </w:r>
      <w:r w:rsidR="00667EAA">
        <w:t xml:space="preserve"> </w:t>
      </w:r>
      <w:r w:rsidR="002018F6">
        <w:t>(</w:t>
      </w:r>
      <w:r>
        <w:t>“</w:t>
      </w:r>
      <w:r w:rsidR="00667EAA" w:rsidRPr="008C0495">
        <w:t>nucleic acid</w:t>
      </w:r>
      <w:r w:rsidR="00980EBF">
        <w:t>”</w:t>
      </w:r>
      <w:r>
        <w:t xml:space="preserve"> OR </w:t>
      </w:r>
      <w:r w:rsidR="00980EBF">
        <w:t>“</w:t>
      </w:r>
      <w:r w:rsidR="00667EAA" w:rsidRPr="008C0495">
        <w:t>antigen</w:t>
      </w:r>
      <w:r w:rsidR="00980EBF">
        <w:t>”</w:t>
      </w:r>
      <w:r>
        <w:t xml:space="preserve"> </w:t>
      </w:r>
      <w:r w:rsidR="00AE4B69">
        <w:t>OR</w:t>
      </w:r>
      <w:r>
        <w:t xml:space="preserve"> </w:t>
      </w:r>
      <w:r w:rsidR="00980EBF">
        <w:t>“</w:t>
      </w:r>
      <w:r w:rsidR="00AE4B69" w:rsidRPr="00AE4B69">
        <w:t>reverse transcription polymerase chain reaction</w:t>
      </w:r>
      <w:r w:rsidR="00980EBF">
        <w:t>”</w:t>
      </w:r>
      <w:r w:rsidR="00667EAA">
        <w:t xml:space="preserve"> OR </w:t>
      </w:r>
      <w:r w:rsidR="00980EBF">
        <w:t>“</w:t>
      </w:r>
      <w:r w:rsidR="00AE4B69">
        <w:t>RT-PCR</w:t>
      </w:r>
      <w:r>
        <w:t>”</w:t>
      </w:r>
      <w:r w:rsidR="002018F6">
        <w:t>)</w:t>
      </w:r>
      <w:r>
        <w:t xml:space="preserve">. </w:t>
      </w:r>
      <w:r w:rsidR="00DB7FDE">
        <w:t xml:space="preserve">We found studies summarised several </w:t>
      </w:r>
      <w:r w:rsidR="00C65304">
        <w:t xml:space="preserve">city-wide nucleic acid </w:t>
      </w:r>
      <w:r w:rsidR="00BA7DFA">
        <w:t>testing</w:t>
      </w:r>
      <w:r w:rsidR="00DB7FDE">
        <w:t xml:space="preserve"> </w:t>
      </w:r>
      <w:r w:rsidR="00F55E43">
        <w:t xml:space="preserve">programmes </w:t>
      </w:r>
      <w:r w:rsidR="00DB7FDE">
        <w:t xml:space="preserve">that have been conducted in mainland China </w:t>
      </w:r>
      <w:r w:rsidR="00A336CF">
        <w:t>to</w:t>
      </w:r>
      <w:r w:rsidR="00DB7FDE">
        <w:t xml:space="preserve"> </w:t>
      </w:r>
      <w:r w:rsidR="007D4634">
        <w:t>inform</w:t>
      </w:r>
      <w:r w:rsidR="00DB7FDE">
        <w:t xml:space="preserve"> </w:t>
      </w:r>
      <w:r w:rsidR="007D4634">
        <w:t xml:space="preserve">the </w:t>
      </w:r>
      <w:r w:rsidR="00DB7FDE">
        <w:t xml:space="preserve">lockdown </w:t>
      </w:r>
      <w:r w:rsidR="00A336CF">
        <w:t xml:space="preserve">lifting </w:t>
      </w:r>
      <w:r w:rsidR="00DB7FDE">
        <w:t xml:space="preserve">or </w:t>
      </w:r>
      <w:r w:rsidR="00336AF0">
        <w:t xml:space="preserve">as a public health </w:t>
      </w:r>
      <w:r w:rsidR="00DB7FDE">
        <w:t>response to local outbreaks.</w:t>
      </w:r>
      <w:r w:rsidR="00B527FF">
        <w:fldChar w:fldCharType="begin" w:fldLock="1"/>
      </w:r>
      <w:r w:rsidR="00B527FF">
        <w:instrText>ADDIN CSL_CITATION {"citationItems":[{"id":"ITEM-1","itemData":{"DOI":"10.1038/s41591-021-01308-7","ISSN":"1078-8956","author":[{"dropping-particle":"","family":"Li","given":"Zhongjie","non-dropping-particle":"","parse-names":false,"suffix":""},{"dropping-particle":"","family":"Liu","given":"Fengfeng","non-dropping-particle":"","parse-names":false,"suffix":""},{"dropping-particle":"","family":"Cui","given":"Jinzhao","non-dropping-particle":"","parse-names":false,"suffix":""},{"dropping-particle":"","family":"Peng","given":"Zhibin","non-dropping-particle":"","parse-names":false,"suffix":""},{"dropping-particle":"","family":"Chang","given":"Zhaorui","non-dropping-particle":"","parse-names":false,"suffix":""},{"dropping-particle":"","family":"Lai","given":"Shengjie","non-dropping-particle":"","parse-names":false,"suffix":""},{"dropping-particle":"","family":"Chen","given":"Qiulan","non-dropping-particle":"","parse-names":false,"suffix":""},{"dropping-particle":"","family":"Wang","given":"Liping","non-dropping-particle":"","parse-names":false,"suffix":""},{"dropping-particle":"","family":"Gao","given":"George F.","non-dropping-particle":"","parse-names":false,"suffix":""},{"dropping-particle":"","family":"Feng","given":"Zijian","non-dropping-particle":"","parse-names":false,"suffix":""}],"container-title":"Nature Medicine","id":"ITEM-1","issued":{"date-parts":[["2021","4","15"]]},"page":"1-2","publisher":"Nature Publishing Group","title":"Comprehensive large-scale nucleic acid–testing strategies support China’s sustained containment of COVID-19","type":"article-journal"},"uris":["http://www.mendeley.com/documents/?uuid=80e7b3b9-4f73-34b6-a910-25d3721883d5"]},{"id":"ITEM-2","itemData":{"DOI":"10.1038/s41467-020-19802-w","ISSN":"20411723","PMID":"33219229","abstract":"Stringent COVID-19 control measures were imposed in Wuhan between January 23 and April 8, 2020. Estimates of the prevalence of infection following the release of restrictions could inform post-lockdown pandemic management. Here, we describe a city-wide SARS-CoV-2 nucleic acid screening programme between May 14 and June 1, 2020 in Wuhan. All city residents aged six years or older were eligible and 9,899,828 (92.9%) participated. No new symptomatic cases and 300 asymptomatic cases (detection rate 0.303/10,000, 95% CI 0.270–0.339/10,000) were identified. There were no positive tests amongst 1,174 close contacts of asymptomatic cases. 107 of 34,424 previously recovered COVID-19 patients tested positive again (re-positive rate 0.31%, 95% CI 0.423–0.574%). The prevalence of SARS-CoV-2 infection in Wuhan was therefore very low five to eight weeks after the end of lockdown.","author":[{"dropping-particle":"","family":"Cao","given":"Shiyi","non-dropping-particle":"","parse-names":false,"suffix":""},{"dropping-particle":"","family":"Gan","given":"Yong","non-dropping-particle":"","parse-names":false,"suffix":""},{"dropping-particle":"","family":"Wang","given":"Chao","non-dropping-particle":"","parse-names":false,"suffix":""},{"dropping-particle":"","family":"Bachmann","given":"Max","non-dropping-particle":"","parse-names":false,"suffix":""},{"dropping-particle":"","family":"Wei","given":"Shanbo","non-dropping-particle":"","parse-names":false,"suffix":""},{"dropping-particle":"","family":"Gong","given":"Jie","non-dropping-particle":"","parse-names":false,"suffix":""},{"dropping-particle":"","family":"Huang","given":"Yuchai","non-dropping-particle":"","parse-names":false,"suffix":""},{"dropping-particle":"","family":"Wang","given":"Tiantian","non-dropping-particle":"","parse-names":false,"suffix":""},{"dropping-particle":"","family":"Li","given":"Liqing","non-dropping-particle":"","parse-names":false,"suffix":""},{"dropping-particle":"","family":"Lu","given":"Kai","non-dropping-particle":"","parse-names":false,"suffix":""},{"dropping-particle":"","family":"Jiang","given":"Heng","non-dropping-particle":"","parse-names":false,"suffix":""},{"dropping-particle":"","family":"Gong","given":"Yanhong","non-dropping-particle":"","parse-names":false,"suffix":""},{"dropping-particle":"","family":"Xu","given":"Hongbin","non-dropping-particle":"","parse-names":false,"suffix":""},{"dropping-particle":"","family":"Shen","given":"Xin","non-dropping-particle":"","parse-names":false,"suffix":""},{"dropping-particle":"","family":"Tian","given":"Qingfeng","non-dropping-particle":"","parse-names":false,"suffix":""},{"dropping-particle":"","family":"Lv","given":"Chuanzhu","non-dropping-particle":"","parse-names":false,"suffix":""},{"dropping-particle":"","family":"Song","given":"Fujian","non-dropping-particle":"","parse-names":false,"suffix":""},{"dropping-particle":"","family":"Yin","given":"Xiaoxv","non-dropping-particle":"","parse-names":false,"suffix":""},{"dropping-particle":"","family":"Lu","given":"Zuxun","non-dropping-particle":"","parse-names":false,"suffix":""}],"container-title":"Nature Communications","id":"ITEM-2","issue":"1","issued":{"date-parts":[["2020"]]},"title":"Post-lockdown SARS-CoV-2 nucleic acid screening in nearly ten million residents of Wuhan, China","type":"article-journal","volume":"11"},"uris":["http://www.mendeley.com/documents/?uuid=1560627d-c303-4305-9d88-a7ed2d05fd0c"]}],"mendeley":{"formattedCitation":"&lt;sup&gt;1,2&lt;/sup&gt;","plainTextFormattedCitation":"1,2","previouslyFormattedCitation":"&lt;sup&gt;1,2&lt;/sup&gt;"},"properties":{"noteIndex":0},"schema":"https://github.com/citation-style-language/schema/raw/master/csl-citation.json"}</w:instrText>
      </w:r>
      <w:r w:rsidR="00B527FF">
        <w:fldChar w:fldCharType="separate"/>
      </w:r>
      <w:r w:rsidR="00B527FF" w:rsidRPr="00B527FF">
        <w:rPr>
          <w:noProof/>
          <w:vertAlign w:val="superscript"/>
        </w:rPr>
        <w:t>1,2</w:t>
      </w:r>
      <w:r w:rsidR="00B527FF">
        <w:fldChar w:fldCharType="end"/>
      </w:r>
      <w:r w:rsidR="00DB7FDE">
        <w:t xml:space="preserve"> Another modelling study suggested that</w:t>
      </w:r>
      <w:r w:rsidR="007D4634">
        <w:t xml:space="preserve">, aside from the </w:t>
      </w:r>
      <w:r w:rsidR="0079601F">
        <w:t>public health and social measures (</w:t>
      </w:r>
      <w:r w:rsidR="007D4634">
        <w:t>PHSMs</w:t>
      </w:r>
      <w:r w:rsidR="0079601F">
        <w:t>)</w:t>
      </w:r>
      <w:r w:rsidR="007D4634">
        <w:t>,</w:t>
      </w:r>
      <w:r w:rsidR="00DB7FDE">
        <w:t xml:space="preserve"> the multiple-round </w:t>
      </w:r>
      <w:r w:rsidR="009612EC">
        <w:t>national</w:t>
      </w:r>
      <w:r w:rsidR="00DB7FDE">
        <w:t xml:space="preserve">-wide </w:t>
      </w:r>
      <w:r w:rsidR="007A12AD">
        <w:t xml:space="preserve">rapid antigen </w:t>
      </w:r>
      <w:r w:rsidR="00DB7FDE">
        <w:t xml:space="preserve">testing in Slovakia </w:t>
      </w:r>
      <w:r w:rsidR="007D4634">
        <w:t xml:space="preserve">also </w:t>
      </w:r>
      <w:r w:rsidR="00DB7FDE">
        <w:t xml:space="preserve">contributed to </w:t>
      </w:r>
      <w:r w:rsidR="00DB7FDE" w:rsidRPr="00DB7FDE">
        <w:t xml:space="preserve">suppressing </w:t>
      </w:r>
      <w:r w:rsidR="00DB7FDE">
        <w:t xml:space="preserve">the </w:t>
      </w:r>
      <w:r w:rsidR="009F2F1C">
        <w:t xml:space="preserve">population-level </w:t>
      </w:r>
      <w:r w:rsidR="007D4634">
        <w:t>transmissions.</w:t>
      </w:r>
      <w:r w:rsidR="00B527FF">
        <w:fldChar w:fldCharType="begin" w:fldLock="1"/>
      </w:r>
      <w:r w:rsidR="00AA3F4F">
        <w:instrText>ADDIN CSL_CITATION {"citationItems":[{"id":"ITEM-1","itemData":{"DOI":"10.1126/science.abf9648","ISSN":"0036-8075","abstract":"Slovakia conducted multiple rounds of population-wide rapid antigen testing for SARS-CoV-2 in late 2020, combined with a period of additional contact restrictions. Observed prevalence decreased by 58% (95% CI: 57-58%) within one week in the 45 counties that were subject to two rounds of mass testing, an estimate that remained robust when adjusting for multiple potential confounders. Adjusting for epidemic growth of 4.4% (1.1-6.9%) per day preceding the mass testing campaign, the estimated decrease in prevalence compared to a scenario of unmitigated growth was 70% (67-73%). Modelling indicated that this decrease could not be explained solely by infection control measures, but required the additional impact of isolation and quarantine of household members of those testing positive.","author":[{"dropping-particle":"","family":"Pavelka","given":"Martin","non-dropping-particle":"","parse-names":false,"suffix":""},{"dropping-particle":"","family":"Van-Zandvoort","given":"Kevin","non-dropping-particle":"","parse-names":false,"suffix":""},{"dropping-particle":"","family":"Abbott","given":"Sam","non-dropping-particle":"","parse-names":false,"suffix":""},{"dropping-particle":"","family":"Sherratt","given":"Katharine","non-dropping-particle":"","parse-names":false,"suffix":""},{"dropping-particle":"","family":"Majdan","given":"Marek","non-dropping-particle":"","parse-names":false,"suffix":""},{"dropping-particle":"","family":"Analýz","given":"Inštitút Zdravotných","non-dropping-particle":"","parse-names":false,"suffix":""},{"dropping-particle":"","family":"Jarčuška","given":"Pavol","non-dropping-particle":"","parse-names":false,"suffix":""},{"dropping-particle":"","family":"Krajčí","given":"Marek","non-dropping-particle":"","parse-names":false,"suffix":""},{"dropping-particle":"","family":"Flasche","given":"Stefan","non-dropping-particle":"","parse-names":false,"suffix":""},{"dropping-particle":"","family":"Funk","given":"Sebastian","non-dropping-particle":"","parse-names":false,"suffix":""}],"container-title":"Science","id":"ITEM-1","issued":{"date-parts":[["2021","3","23"]]},"page":"eabf9648","publisher":"American Association for the Advancement of Science","title":"The impact of population-wide rapid antigen testing on SARS-CoV-2 prevalence in Slovakia","type":"article-journal"},"uris":["http://www.mendeley.com/documents/?uuid=998781c3-5d1b-32ab-bf5e-e28dd136e89d"]}],"mendeley":{"formattedCitation":"&lt;sup&gt;3&lt;/sup&gt;","plainTextFormattedCitation":"3","previouslyFormattedCitation":"&lt;sup&gt;3&lt;/sup&gt;"},"properties":{"noteIndex":0},"schema":"https://github.com/citation-style-language/schema/raw/master/csl-citation.json"}</w:instrText>
      </w:r>
      <w:r w:rsidR="00B527FF">
        <w:fldChar w:fldCharType="separate"/>
      </w:r>
      <w:r w:rsidR="00B527FF" w:rsidRPr="00B527FF">
        <w:rPr>
          <w:noProof/>
          <w:vertAlign w:val="superscript"/>
        </w:rPr>
        <w:t>3</w:t>
      </w:r>
      <w:r w:rsidR="00B527FF">
        <w:fldChar w:fldCharType="end"/>
      </w:r>
      <w:r w:rsidR="007D4634">
        <w:t xml:space="preserve"> </w:t>
      </w:r>
      <w:r w:rsidR="002018F6">
        <w:t>However,</w:t>
      </w:r>
      <w:r w:rsidR="00C65304">
        <w:t xml:space="preserve"> these studies </w:t>
      </w:r>
      <w:r w:rsidR="00A41338">
        <w:t xml:space="preserve">were challenged by </w:t>
      </w:r>
      <w:r w:rsidR="000F6D40">
        <w:t>disentangling</w:t>
      </w:r>
      <w:r w:rsidR="00A41338">
        <w:t xml:space="preserve"> the impact of mass testing from existing PHSMs on identifying hidden transmissions and reducing onward transmissions.</w:t>
      </w:r>
    </w:p>
    <w:p w14:paraId="36282FB3" w14:textId="77777777" w:rsidR="00A23425" w:rsidRDefault="00A23425" w:rsidP="00A23425"/>
    <w:p w14:paraId="3EBAAB1D" w14:textId="6E69EDB2" w:rsidR="00A23425" w:rsidRPr="00A23425" w:rsidRDefault="00A23425" w:rsidP="00A23425">
      <w:pPr>
        <w:rPr>
          <w:b/>
          <w:bCs/>
        </w:rPr>
      </w:pPr>
      <w:r w:rsidRPr="00A23425">
        <w:rPr>
          <w:b/>
          <w:bCs/>
        </w:rPr>
        <w:t>Added value of this study</w:t>
      </w:r>
    </w:p>
    <w:p w14:paraId="208D8478" w14:textId="1AD9804E" w:rsidR="00A23425" w:rsidRDefault="008C1BD9" w:rsidP="00AA4422">
      <w:r>
        <w:t xml:space="preserve">We reported results from the universal community testing programme (UCTP), which was performed in the fadeout phase of </w:t>
      </w:r>
      <w:r w:rsidR="00785B94">
        <w:t>a</w:t>
      </w:r>
      <w:r>
        <w:t xml:space="preserve"> </w:t>
      </w:r>
      <w:r w:rsidR="00785B94">
        <w:t>local</w:t>
      </w:r>
      <w:r>
        <w:t xml:space="preserve"> pandemic wave in early September 2020 and tested about a quarter of Hong Kong residents. </w:t>
      </w:r>
      <w:r w:rsidR="000F2E7B">
        <w:t xml:space="preserve">We compared the COVID-19 cases detected by the UCTP and the existing </w:t>
      </w:r>
      <w:r w:rsidR="002D34CF" w:rsidRPr="002D34CF">
        <w:t xml:space="preserve">clinical diagnosis and public health </w:t>
      </w:r>
      <w:r w:rsidR="000F2E7B">
        <w:t>surveillance and found that the UCTP were more likely to detect sporadic local cases. By reconstructing the transmission dynamics</w:t>
      </w:r>
      <w:r w:rsidR="00D74AFB">
        <w:t xml:space="preserve"> with </w:t>
      </w:r>
      <w:r w:rsidR="00990D55">
        <w:t xml:space="preserve">additional </w:t>
      </w:r>
      <w:r w:rsidR="00D74AFB">
        <w:t>epidemiological information</w:t>
      </w:r>
      <w:r w:rsidR="0079601F">
        <w:t xml:space="preserve"> of the identified cases</w:t>
      </w:r>
      <w:r w:rsidR="000F2E7B">
        <w:t>, we found th</w:t>
      </w:r>
      <w:r w:rsidR="00D74AFB">
        <w:t xml:space="preserve">at the </w:t>
      </w:r>
      <w:r w:rsidR="00BD6CCF">
        <w:t xml:space="preserve">UCTP detected six additional transmission chains and nine </w:t>
      </w:r>
      <w:r w:rsidR="002E04FB">
        <w:t xml:space="preserve">possible secondary or tertiary cases </w:t>
      </w:r>
      <w:r w:rsidR="0038334D">
        <w:t xml:space="preserve">of clusters that were identified by the existing </w:t>
      </w:r>
      <w:r w:rsidR="002D34CF" w:rsidRPr="002D34CF">
        <w:t xml:space="preserve">clinical diagnosis and public health </w:t>
      </w:r>
      <w:r w:rsidR="0038334D">
        <w:t>surveillance</w:t>
      </w:r>
      <w:r w:rsidR="000224AF">
        <w:t xml:space="preserve"> under a low COVID-19 prevalence </w:t>
      </w:r>
      <w:r w:rsidR="000224AF" w:rsidRPr="000224AF">
        <w:t>circumstance</w:t>
      </w:r>
      <w:r w:rsidR="0038334D">
        <w:t>.</w:t>
      </w:r>
      <w:r w:rsidR="002F7C8C">
        <w:t xml:space="preserve"> </w:t>
      </w:r>
      <w:r w:rsidR="00465517">
        <w:t xml:space="preserve">We also </w:t>
      </w:r>
      <w:r w:rsidR="00BD0F78">
        <w:t>inferred</w:t>
      </w:r>
      <w:r w:rsidR="00465517">
        <w:t xml:space="preserve"> the</w:t>
      </w:r>
      <w:r w:rsidR="005F6D2A">
        <w:t xml:space="preserve"> </w:t>
      </w:r>
      <w:r w:rsidR="00F81CDD">
        <w:lastRenderedPageBreak/>
        <w:t>proportion</w:t>
      </w:r>
      <w:r w:rsidR="00465517">
        <w:t xml:space="preserve"> </w:t>
      </w:r>
      <w:r w:rsidR="001F27D9">
        <w:t xml:space="preserve">of </w:t>
      </w:r>
      <w:r w:rsidR="00465517">
        <w:t>detection</w:t>
      </w:r>
      <w:r w:rsidR="001F27D9">
        <w:t xml:space="preserve"> after infection</w:t>
      </w:r>
      <w:r w:rsidR="00465517">
        <w:t xml:space="preserve"> by </w:t>
      </w:r>
      <w:r w:rsidR="0065502B">
        <w:t xml:space="preserve">the </w:t>
      </w:r>
      <w:r w:rsidR="002D34CF" w:rsidRPr="002D34CF">
        <w:t xml:space="preserve">clinical diagnosis and public health </w:t>
      </w:r>
      <w:r w:rsidR="0065502B">
        <w:t xml:space="preserve">surveillance </w:t>
      </w:r>
      <w:r w:rsidR="003E5CBC">
        <w:t xml:space="preserve">and the outbreak sizes </w:t>
      </w:r>
      <w:r w:rsidR="0065502B">
        <w:t xml:space="preserve">by age groups during the third wave, by fitting </w:t>
      </w:r>
      <w:r w:rsidR="00C30C38">
        <w:t xml:space="preserve">a Bayesian framework to </w:t>
      </w:r>
      <w:r w:rsidR="0065502B">
        <w:t xml:space="preserve">the </w:t>
      </w:r>
      <w:r w:rsidR="000334A4">
        <w:t>participation proportion of the UCTP</w:t>
      </w:r>
      <w:r w:rsidR="00D76BB0">
        <w:t xml:space="preserve">, confirmed cases and deaths and </w:t>
      </w:r>
      <w:r w:rsidR="00C30C38">
        <w:t xml:space="preserve">infection-fatality risks. </w:t>
      </w:r>
      <w:r w:rsidR="000F7AD9">
        <w:t xml:space="preserve">We estimated that the exiting </w:t>
      </w:r>
      <w:r w:rsidR="002D34CF" w:rsidRPr="002D34CF">
        <w:t xml:space="preserve">clinical diagnosis and public health </w:t>
      </w:r>
      <w:r w:rsidR="000F7AD9">
        <w:t xml:space="preserve">surveillance picked up </w:t>
      </w:r>
      <w:r w:rsidR="00CA7ACB">
        <w:t xml:space="preserve">on average </w:t>
      </w:r>
      <w:r w:rsidR="000F7AD9">
        <w:t xml:space="preserve">one in four infections, with </w:t>
      </w:r>
      <w:r w:rsidR="00AA4422">
        <w:t xml:space="preserve">about half </w:t>
      </w:r>
      <w:r w:rsidR="0079601F">
        <w:t>of the detected i</w:t>
      </w:r>
      <w:r w:rsidR="00AA4422">
        <w:t xml:space="preserve">nfections </w:t>
      </w:r>
      <w:r w:rsidR="0079601F">
        <w:t>being individuals</w:t>
      </w:r>
      <w:r w:rsidR="00AA4422">
        <w:t xml:space="preserve"> </w:t>
      </w:r>
      <w:r w:rsidR="00DC343E">
        <w:t xml:space="preserve">aged </w:t>
      </w:r>
      <w:r w:rsidR="00BE2611">
        <w:t>20 to 64 years</w:t>
      </w:r>
      <w:r w:rsidR="00DC343E">
        <w:t xml:space="preserve"> old</w:t>
      </w:r>
      <w:r w:rsidR="00BE2611">
        <w:t xml:space="preserve">. </w:t>
      </w:r>
      <w:r w:rsidR="00BD0F78">
        <w:t xml:space="preserve">In addition, we </w:t>
      </w:r>
      <w:r w:rsidR="007622E7">
        <w:t xml:space="preserve">also </w:t>
      </w:r>
      <w:r w:rsidR="0079601F">
        <w:t>examin</w:t>
      </w:r>
      <w:r w:rsidR="007622E7">
        <w:t xml:space="preserve">ed the </w:t>
      </w:r>
      <w:r w:rsidR="0079601F">
        <w:t xml:space="preserve">reported intention to </w:t>
      </w:r>
      <w:r w:rsidR="007622E7">
        <w:t>participat</w:t>
      </w:r>
      <w:r w:rsidR="0079601F">
        <w:t>e</w:t>
      </w:r>
      <w:r w:rsidR="007622E7">
        <w:t xml:space="preserve"> the UCTP and </w:t>
      </w:r>
      <w:r w:rsidR="0079601F">
        <w:t xml:space="preserve">the </w:t>
      </w:r>
      <w:r w:rsidR="007622E7">
        <w:t xml:space="preserve">major concerns in general population in Hong Kong, and identified </w:t>
      </w:r>
      <w:r w:rsidR="0079601F">
        <w:t xml:space="preserve">a </w:t>
      </w:r>
      <w:r w:rsidR="00080937">
        <w:t>higher proportion of</w:t>
      </w:r>
      <w:r w:rsidR="007622E7">
        <w:t xml:space="preserve"> </w:t>
      </w:r>
      <w:r w:rsidR="00E11620">
        <w:t xml:space="preserve">concerns about the safety and values of the mass testing </w:t>
      </w:r>
      <w:r w:rsidR="00080937">
        <w:t xml:space="preserve">in </w:t>
      </w:r>
      <w:r w:rsidR="0079601F">
        <w:t>age groups showing a</w:t>
      </w:r>
      <w:r w:rsidR="00080937">
        <w:t xml:space="preserve"> relatively lower intention</w:t>
      </w:r>
      <w:r w:rsidR="00E92959">
        <w:t xml:space="preserve"> to receive a test through the UCTP</w:t>
      </w:r>
      <w:r w:rsidR="00080937">
        <w:t>.</w:t>
      </w:r>
    </w:p>
    <w:p w14:paraId="0EDF3E13" w14:textId="77777777" w:rsidR="000F7AD9" w:rsidRDefault="000F7AD9" w:rsidP="00A23425"/>
    <w:p w14:paraId="701FA2C4" w14:textId="55C247CD" w:rsidR="00A23425" w:rsidRPr="00A23425" w:rsidRDefault="00A23425" w:rsidP="00A23425">
      <w:pPr>
        <w:rPr>
          <w:b/>
          <w:bCs/>
        </w:rPr>
      </w:pPr>
      <w:r w:rsidRPr="00A23425">
        <w:rPr>
          <w:b/>
          <w:bCs/>
        </w:rPr>
        <w:t>Implications of all the available evidence</w:t>
      </w:r>
    </w:p>
    <w:p w14:paraId="364DF0A2" w14:textId="7A223E21" w:rsidR="00A407EF" w:rsidRPr="00982F06" w:rsidRDefault="00F2040A" w:rsidP="00A23425">
      <w:pPr>
        <w:rPr>
          <w:lang w:val="en-US" w:eastAsia="zh-CN"/>
        </w:rPr>
      </w:pPr>
      <w:r>
        <w:t>Our findings provided empirical evidence of the utilities of population-wide mass testing in detecting unrecognised COVID-19 transmissions</w:t>
      </w:r>
      <w:r w:rsidR="00EE6D45">
        <w:t xml:space="preserve">, even with the existing proactive surveillance in the fadeout phase of the outbreak. </w:t>
      </w:r>
      <w:r w:rsidR="006C4D13">
        <w:t xml:space="preserve">In particular, </w:t>
      </w:r>
      <w:r w:rsidR="00204630">
        <w:t>mass testing help</w:t>
      </w:r>
      <w:r w:rsidR="004C04B5">
        <w:t>ed</w:t>
      </w:r>
      <w:r w:rsidR="00204630">
        <w:t xml:space="preserve"> to identify cases that might have been missed by </w:t>
      </w:r>
      <w:r w:rsidR="00A8620A">
        <w:t>surveillance</w:t>
      </w:r>
      <w:r w:rsidR="00204630">
        <w:t xml:space="preserve">. </w:t>
      </w:r>
      <w:r w:rsidR="00D70463">
        <w:t xml:space="preserve">Reducing concerns about the safety and value of mass testing </w:t>
      </w:r>
      <w:r w:rsidR="000E2A13">
        <w:t xml:space="preserve">may enhance the </w:t>
      </w:r>
      <w:r w:rsidR="00D70463">
        <w:t xml:space="preserve">participation </w:t>
      </w:r>
      <w:r w:rsidR="00982F06">
        <w:t xml:space="preserve">of the general population, and thereby </w:t>
      </w:r>
      <w:r w:rsidR="00982F06">
        <w:rPr>
          <w:lang w:val="en-US" w:eastAsia="zh-CN"/>
        </w:rPr>
        <w:t>fulfilling the utility of mass testing.</w:t>
      </w:r>
    </w:p>
    <w:p w14:paraId="270CDE78" w14:textId="33BF5B71" w:rsidR="00080157" w:rsidRDefault="00080157" w:rsidP="00A23425"/>
    <w:p w14:paraId="4F23BA38" w14:textId="18071EEC" w:rsidR="00080157" w:rsidRPr="00B527FF" w:rsidRDefault="00080157" w:rsidP="00A23425">
      <w:pPr>
        <w:rPr>
          <w:b/>
          <w:bCs/>
        </w:rPr>
      </w:pPr>
      <w:r w:rsidRPr="00B527FF">
        <w:rPr>
          <w:b/>
          <w:bCs/>
        </w:rPr>
        <w:t>Reference:</w:t>
      </w:r>
    </w:p>
    <w:p w14:paraId="181A234A" w14:textId="643A309B" w:rsidR="00AA3F4F" w:rsidRPr="00AA3F4F" w:rsidRDefault="00AA3F4F" w:rsidP="00AA3F4F">
      <w:pPr>
        <w:widowControl w:val="0"/>
        <w:autoSpaceDE w:val="0"/>
        <w:autoSpaceDN w:val="0"/>
        <w:adjustRightInd w:val="0"/>
        <w:ind w:left="640" w:hanging="640"/>
        <w:rPr>
          <w:rFonts w:cs="Times New Roman"/>
          <w:noProof/>
        </w:rPr>
      </w:pPr>
      <w:r>
        <w:fldChar w:fldCharType="begin" w:fldLock="1"/>
      </w:r>
      <w:r>
        <w:instrText xml:space="preserve">ADDIN Mendeley Bibliography CSL_BIBLIOGRAPHY </w:instrText>
      </w:r>
      <w:r>
        <w:fldChar w:fldCharType="separate"/>
      </w:r>
      <w:r w:rsidRPr="00AA3F4F">
        <w:rPr>
          <w:rFonts w:cs="Times New Roman"/>
          <w:noProof/>
        </w:rPr>
        <w:t>1</w:t>
      </w:r>
      <w:r w:rsidRPr="00AA3F4F">
        <w:rPr>
          <w:rFonts w:cs="Times New Roman"/>
          <w:noProof/>
        </w:rPr>
        <w:tab/>
        <w:t xml:space="preserve">Li Z, Liu F, Cui J, </w:t>
      </w:r>
      <w:r w:rsidRPr="00AA3F4F">
        <w:rPr>
          <w:rFonts w:cs="Times New Roman"/>
          <w:i/>
          <w:iCs/>
          <w:noProof/>
        </w:rPr>
        <w:t>et al.</w:t>
      </w:r>
      <w:r w:rsidRPr="00AA3F4F">
        <w:rPr>
          <w:rFonts w:cs="Times New Roman"/>
          <w:noProof/>
        </w:rPr>
        <w:t xml:space="preserve"> Comprehensive large-scale nucleic acid–testing strategies support China’s sustained containment of COVID-19. </w:t>
      </w:r>
      <w:r w:rsidRPr="00AA3F4F">
        <w:rPr>
          <w:rFonts w:cs="Times New Roman"/>
          <w:i/>
          <w:iCs/>
          <w:noProof/>
        </w:rPr>
        <w:t>Nat Med</w:t>
      </w:r>
      <w:r w:rsidRPr="00AA3F4F">
        <w:rPr>
          <w:rFonts w:cs="Times New Roman"/>
          <w:noProof/>
        </w:rPr>
        <w:t xml:space="preserve"> 2021; : 1–2.</w:t>
      </w:r>
    </w:p>
    <w:p w14:paraId="3DC89058" w14:textId="77777777" w:rsidR="00AA3F4F" w:rsidRPr="00AA3F4F" w:rsidRDefault="00AA3F4F" w:rsidP="00AA3F4F">
      <w:pPr>
        <w:widowControl w:val="0"/>
        <w:autoSpaceDE w:val="0"/>
        <w:autoSpaceDN w:val="0"/>
        <w:adjustRightInd w:val="0"/>
        <w:ind w:left="640" w:hanging="640"/>
        <w:rPr>
          <w:rFonts w:cs="Times New Roman"/>
          <w:noProof/>
        </w:rPr>
      </w:pPr>
      <w:r w:rsidRPr="00AA3F4F">
        <w:rPr>
          <w:rFonts w:cs="Times New Roman"/>
          <w:noProof/>
        </w:rPr>
        <w:t>2</w:t>
      </w:r>
      <w:r w:rsidRPr="00AA3F4F">
        <w:rPr>
          <w:rFonts w:cs="Times New Roman"/>
          <w:noProof/>
        </w:rPr>
        <w:tab/>
        <w:t xml:space="preserve">Cao S, Gan Y, Wang C, </w:t>
      </w:r>
      <w:r w:rsidRPr="00AA3F4F">
        <w:rPr>
          <w:rFonts w:cs="Times New Roman"/>
          <w:i/>
          <w:iCs/>
          <w:noProof/>
        </w:rPr>
        <w:t>et al.</w:t>
      </w:r>
      <w:r w:rsidRPr="00AA3F4F">
        <w:rPr>
          <w:rFonts w:cs="Times New Roman"/>
          <w:noProof/>
        </w:rPr>
        <w:t xml:space="preserve"> Post-lockdown SARS-CoV-2 nucleic acid screening in nearly ten million residents of Wuhan, China. </w:t>
      </w:r>
      <w:r w:rsidRPr="00AA3F4F">
        <w:rPr>
          <w:rFonts w:cs="Times New Roman"/>
          <w:i/>
          <w:iCs/>
          <w:noProof/>
        </w:rPr>
        <w:t>Nat Commun</w:t>
      </w:r>
      <w:r w:rsidRPr="00AA3F4F">
        <w:rPr>
          <w:rFonts w:cs="Times New Roman"/>
          <w:noProof/>
        </w:rPr>
        <w:t xml:space="preserve"> 2020; </w:t>
      </w:r>
      <w:r w:rsidRPr="00AA3F4F">
        <w:rPr>
          <w:rFonts w:cs="Times New Roman"/>
          <w:b/>
          <w:bCs/>
          <w:noProof/>
        </w:rPr>
        <w:t>11</w:t>
      </w:r>
      <w:r w:rsidRPr="00AA3F4F">
        <w:rPr>
          <w:rFonts w:cs="Times New Roman"/>
          <w:noProof/>
        </w:rPr>
        <w:t>. DOI:10.1038/s41467-020-19802-w.</w:t>
      </w:r>
    </w:p>
    <w:p w14:paraId="52565E3A" w14:textId="77777777" w:rsidR="00AA3F4F" w:rsidRPr="00AA3F4F" w:rsidRDefault="00AA3F4F" w:rsidP="00AA3F4F">
      <w:pPr>
        <w:widowControl w:val="0"/>
        <w:autoSpaceDE w:val="0"/>
        <w:autoSpaceDN w:val="0"/>
        <w:adjustRightInd w:val="0"/>
        <w:ind w:left="640" w:hanging="640"/>
        <w:rPr>
          <w:rFonts w:cs="Times New Roman"/>
          <w:noProof/>
        </w:rPr>
      </w:pPr>
      <w:r w:rsidRPr="00AA3F4F">
        <w:rPr>
          <w:rFonts w:cs="Times New Roman"/>
          <w:noProof/>
        </w:rPr>
        <w:t>3</w:t>
      </w:r>
      <w:r w:rsidRPr="00AA3F4F">
        <w:rPr>
          <w:rFonts w:cs="Times New Roman"/>
          <w:noProof/>
        </w:rPr>
        <w:tab/>
        <w:t xml:space="preserve">Pavelka M, Van-Zandvoort K, Abbott S, </w:t>
      </w:r>
      <w:r w:rsidRPr="00AA3F4F">
        <w:rPr>
          <w:rFonts w:cs="Times New Roman"/>
          <w:i/>
          <w:iCs/>
          <w:noProof/>
        </w:rPr>
        <w:t>et al.</w:t>
      </w:r>
      <w:r w:rsidRPr="00AA3F4F">
        <w:rPr>
          <w:rFonts w:cs="Times New Roman"/>
          <w:noProof/>
        </w:rPr>
        <w:t xml:space="preserve"> The impact of population-wide rapid </w:t>
      </w:r>
      <w:r w:rsidRPr="00AA3F4F">
        <w:rPr>
          <w:rFonts w:cs="Times New Roman"/>
          <w:noProof/>
        </w:rPr>
        <w:lastRenderedPageBreak/>
        <w:t xml:space="preserve">antigen testing on SARS-CoV-2 prevalence in Slovakia. </w:t>
      </w:r>
      <w:r w:rsidRPr="00AA3F4F">
        <w:rPr>
          <w:rFonts w:cs="Times New Roman"/>
          <w:i/>
          <w:iCs/>
          <w:noProof/>
        </w:rPr>
        <w:t>Science (80- )</w:t>
      </w:r>
      <w:r w:rsidRPr="00AA3F4F">
        <w:rPr>
          <w:rFonts w:cs="Times New Roman"/>
          <w:noProof/>
        </w:rPr>
        <w:t xml:space="preserve"> 2021; : eabf9648.</w:t>
      </w:r>
    </w:p>
    <w:p w14:paraId="643A0080" w14:textId="5669C43D" w:rsidR="00080157" w:rsidRDefault="00AA3F4F" w:rsidP="00A23425">
      <w:r>
        <w:fldChar w:fldCharType="end"/>
      </w:r>
    </w:p>
    <w:sectPr w:rsidR="0008015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3"/>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3425"/>
    <w:rsid w:val="000224AF"/>
    <w:rsid w:val="000334A4"/>
    <w:rsid w:val="00080157"/>
    <w:rsid w:val="00080937"/>
    <w:rsid w:val="000D16D9"/>
    <w:rsid w:val="000D2A82"/>
    <w:rsid w:val="000D47D5"/>
    <w:rsid w:val="000E2A13"/>
    <w:rsid w:val="000F2E7B"/>
    <w:rsid w:val="000F6D40"/>
    <w:rsid w:val="000F7AD9"/>
    <w:rsid w:val="001237F1"/>
    <w:rsid w:val="00163EAB"/>
    <w:rsid w:val="001746B1"/>
    <w:rsid w:val="001A622F"/>
    <w:rsid w:val="001C1EE6"/>
    <w:rsid w:val="001F27D9"/>
    <w:rsid w:val="002018F6"/>
    <w:rsid w:val="00204630"/>
    <w:rsid w:val="00223542"/>
    <w:rsid w:val="00233F47"/>
    <w:rsid w:val="002540C0"/>
    <w:rsid w:val="00255369"/>
    <w:rsid w:val="00265608"/>
    <w:rsid w:val="002C6FA2"/>
    <w:rsid w:val="002D34CF"/>
    <w:rsid w:val="002E04FB"/>
    <w:rsid w:val="002E7127"/>
    <w:rsid w:val="002F7C8C"/>
    <w:rsid w:val="00336AF0"/>
    <w:rsid w:val="003575DE"/>
    <w:rsid w:val="0038334D"/>
    <w:rsid w:val="003E5CBC"/>
    <w:rsid w:val="00427E96"/>
    <w:rsid w:val="004602F1"/>
    <w:rsid w:val="00465517"/>
    <w:rsid w:val="00485378"/>
    <w:rsid w:val="0049211E"/>
    <w:rsid w:val="004C04B5"/>
    <w:rsid w:val="004E1EE1"/>
    <w:rsid w:val="00586B56"/>
    <w:rsid w:val="005F6D2A"/>
    <w:rsid w:val="0065502B"/>
    <w:rsid w:val="00667EAA"/>
    <w:rsid w:val="006C4D13"/>
    <w:rsid w:val="006D26C6"/>
    <w:rsid w:val="007150B3"/>
    <w:rsid w:val="0074424E"/>
    <w:rsid w:val="007622E7"/>
    <w:rsid w:val="00785B94"/>
    <w:rsid w:val="00792344"/>
    <w:rsid w:val="00795844"/>
    <w:rsid w:val="0079601F"/>
    <w:rsid w:val="007A12AD"/>
    <w:rsid w:val="007A31AF"/>
    <w:rsid w:val="007B6DDE"/>
    <w:rsid w:val="007D4634"/>
    <w:rsid w:val="00841116"/>
    <w:rsid w:val="0084585B"/>
    <w:rsid w:val="008C0495"/>
    <w:rsid w:val="008C1BD9"/>
    <w:rsid w:val="008D3B8C"/>
    <w:rsid w:val="008D67E8"/>
    <w:rsid w:val="009011EE"/>
    <w:rsid w:val="009612EC"/>
    <w:rsid w:val="0097280D"/>
    <w:rsid w:val="00980EBF"/>
    <w:rsid w:val="00982F06"/>
    <w:rsid w:val="009848FB"/>
    <w:rsid w:val="00990D55"/>
    <w:rsid w:val="009F2F1C"/>
    <w:rsid w:val="009F6FB6"/>
    <w:rsid w:val="00A23425"/>
    <w:rsid w:val="00A25FFA"/>
    <w:rsid w:val="00A336CF"/>
    <w:rsid w:val="00A407EF"/>
    <w:rsid w:val="00A41338"/>
    <w:rsid w:val="00A476D0"/>
    <w:rsid w:val="00A8620A"/>
    <w:rsid w:val="00AA3F4F"/>
    <w:rsid w:val="00AA4422"/>
    <w:rsid w:val="00AB13AF"/>
    <w:rsid w:val="00AE4B69"/>
    <w:rsid w:val="00B04FB5"/>
    <w:rsid w:val="00B2054D"/>
    <w:rsid w:val="00B527FF"/>
    <w:rsid w:val="00B61141"/>
    <w:rsid w:val="00B84166"/>
    <w:rsid w:val="00B87CE4"/>
    <w:rsid w:val="00B9219A"/>
    <w:rsid w:val="00BA7DFA"/>
    <w:rsid w:val="00BC7D98"/>
    <w:rsid w:val="00BD0F78"/>
    <w:rsid w:val="00BD6CCF"/>
    <w:rsid w:val="00BE2611"/>
    <w:rsid w:val="00BF58C8"/>
    <w:rsid w:val="00BF6899"/>
    <w:rsid w:val="00C10BFB"/>
    <w:rsid w:val="00C27ECA"/>
    <w:rsid w:val="00C30C38"/>
    <w:rsid w:val="00C44AE8"/>
    <w:rsid w:val="00C65304"/>
    <w:rsid w:val="00CA7ACB"/>
    <w:rsid w:val="00CB3D1B"/>
    <w:rsid w:val="00CD5089"/>
    <w:rsid w:val="00CF53FC"/>
    <w:rsid w:val="00D01A4B"/>
    <w:rsid w:val="00D16413"/>
    <w:rsid w:val="00D35021"/>
    <w:rsid w:val="00D70463"/>
    <w:rsid w:val="00D74AFB"/>
    <w:rsid w:val="00D76BB0"/>
    <w:rsid w:val="00DB7FDE"/>
    <w:rsid w:val="00DC343E"/>
    <w:rsid w:val="00E028C3"/>
    <w:rsid w:val="00E11620"/>
    <w:rsid w:val="00E33178"/>
    <w:rsid w:val="00E5173C"/>
    <w:rsid w:val="00E5630D"/>
    <w:rsid w:val="00E65071"/>
    <w:rsid w:val="00E65118"/>
    <w:rsid w:val="00E66447"/>
    <w:rsid w:val="00E720A4"/>
    <w:rsid w:val="00E90DC6"/>
    <w:rsid w:val="00E92959"/>
    <w:rsid w:val="00E93DC2"/>
    <w:rsid w:val="00EE2A12"/>
    <w:rsid w:val="00EE6D45"/>
    <w:rsid w:val="00F2040A"/>
    <w:rsid w:val="00F26C4B"/>
    <w:rsid w:val="00F53A63"/>
    <w:rsid w:val="00F55E43"/>
    <w:rsid w:val="00F81CDD"/>
    <w:rsid w:val="00FD72C7"/>
  </w:rsids>
  <m:mathPr>
    <m:mathFont m:val="Cambria Math"/>
    <m:brkBin m:val="before"/>
    <m:brkBinSub m:val="--"/>
    <m:smallFrac m:val="0"/>
    <m:dispDef/>
    <m:lMargin m:val="0"/>
    <m:rMargin m:val="0"/>
    <m:defJc m:val="centerGroup"/>
    <m:wrapIndent m:val="1440"/>
    <m:intLim m:val="subSup"/>
    <m:naryLim m:val="undOvr"/>
  </m:mathPr>
  <w:themeFontLang w:val="en-HK"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7A53C"/>
  <w15:chartTrackingRefBased/>
  <w15:docId w15:val="{C44857E5-759A-074D-8911-8C0F3455C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HK"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3425"/>
    <w:pPr>
      <w:spacing w:line="480" w:lineRule="auto"/>
    </w:pPr>
    <w:rPr>
      <w:rFonts w:ascii="Times New Roman" w:hAnsi="Times New Roman"/>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163EAB"/>
    <w:rPr>
      <w:sz w:val="16"/>
      <w:szCs w:val="16"/>
    </w:rPr>
  </w:style>
  <w:style w:type="paragraph" w:styleId="CommentText">
    <w:name w:val="annotation text"/>
    <w:basedOn w:val="Normal"/>
    <w:link w:val="CommentTextChar"/>
    <w:uiPriority w:val="99"/>
    <w:semiHidden/>
    <w:unhideWhenUsed/>
    <w:rsid w:val="00163EAB"/>
    <w:pPr>
      <w:spacing w:line="240" w:lineRule="auto"/>
    </w:pPr>
    <w:rPr>
      <w:sz w:val="20"/>
      <w:szCs w:val="20"/>
    </w:rPr>
  </w:style>
  <w:style w:type="character" w:customStyle="1" w:styleId="CommentTextChar">
    <w:name w:val="Comment Text Char"/>
    <w:basedOn w:val="DefaultParagraphFont"/>
    <w:link w:val="CommentText"/>
    <w:uiPriority w:val="99"/>
    <w:semiHidden/>
    <w:rsid w:val="00163EAB"/>
    <w:rPr>
      <w:rFonts w:ascii="Times New Roman" w:hAnsi="Times New Roman"/>
      <w:sz w:val="20"/>
      <w:szCs w:val="20"/>
      <w:lang w:val="en-GB"/>
    </w:rPr>
  </w:style>
  <w:style w:type="paragraph" w:styleId="CommentSubject">
    <w:name w:val="annotation subject"/>
    <w:basedOn w:val="CommentText"/>
    <w:next w:val="CommentText"/>
    <w:link w:val="CommentSubjectChar"/>
    <w:uiPriority w:val="99"/>
    <w:semiHidden/>
    <w:unhideWhenUsed/>
    <w:rsid w:val="00163EAB"/>
    <w:rPr>
      <w:b/>
      <w:bCs/>
    </w:rPr>
  </w:style>
  <w:style w:type="character" w:customStyle="1" w:styleId="CommentSubjectChar">
    <w:name w:val="Comment Subject Char"/>
    <w:basedOn w:val="CommentTextChar"/>
    <w:link w:val="CommentSubject"/>
    <w:uiPriority w:val="99"/>
    <w:semiHidden/>
    <w:rsid w:val="00163EAB"/>
    <w:rPr>
      <w:rFonts w:ascii="Times New Roman" w:hAnsi="Times New Roman"/>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F143E9-317A-414D-B16D-ADDE86E8AA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206</TotalTime>
  <Pages>3</Pages>
  <Words>1807</Words>
  <Characters>10304</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Bingyi Yang</dc:creator>
  <cp:keywords/>
  <dc:description/>
  <cp:lastModifiedBy>Bingyi Yang</cp:lastModifiedBy>
  <cp:revision>134</cp:revision>
  <dcterms:created xsi:type="dcterms:W3CDTF">2021-02-18T02:39:00Z</dcterms:created>
  <dcterms:modified xsi:type="dcterms:W3CDTF">2021-05-08T03:20:00Z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7774db71-41f8-3d71-b755-4b4a231e7a41</vt:lpwstr>
  </property>
  <property fmtid="{D5CDD505-2E9C-101B-9397-08002B2CF9AE}" pid="4" name="Mendeley Citation Style_1">
    <vt:lpwstr>http://www.zotero.org/styles/the-lancet</vt:lpwstr>
  </property>
  <property fmtid="{D5CDD505-2E9C-101B-9397-08002B2CF9AE}" pid="5" name="Mendeley Recent Style Id 0_1">
    <vt:lpwstr>http://www.zotero.org/styles/american-political-science-association</vt:lpwstr>
  </property>
  <property fmtid="{D5CDD505-2E9C-101B-9397-08002B2CF9AE}" pid="6" name="Mendeley Recent Style Name 0_1">
    <vt:lpwstr>American Political Science Association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 6th edition</vt:lpwstr>
  </property>
  <property fmtid="{D5CDD505-2E9C-101B-9397-08002B2CF9AE}" pid="9" name="Mendeley Recent Style Id 2_1">
    <vt:lpwstr>http://www.zotero.org/styles/harvard-cite-them-right</vt:lpwstr>
  </property>
  <property fmtid="{D5CDD505-2E9C-101B-9397-08002B2CF9AE}" pid="10" name="Mendeley Recent Style Name 2_1">
    <vt:lpwstr>Cite Them Right 10th edition - Harvard</vt:lpwstr>
  </property>
  <property fmtid="{D5CDD505-2E9C-101B-9397-08002B2CF9AE}" pid="11" name="Mendeley Recent Style Id 3_1">
    <vt:lpwstr>http://www.zotero.org/styles/clinical-infectious-diseases</vt:lpwstr>
  </property>
  <property fmtid="{D5CDD505-2E9C-101B-9397-08002B2CF9AE}" pid="12" name="Mendeley Recent Style Name 3_1">
    <vt:lpwstr>Clinical Infectious Diseases</vt:lpwstr>
  </property>
  <property fmtid="{D5CDD505-2E9C-101B-9397-08002B2CF9AE}" pid="13" name="Mendeley Recent Style Id 4_1">
    <vt:lpwstr>http://www.zotero.org/styles/emerging-infectious-diseases</vt:lpwstr>
  </property>
  <property fmtid="{D5CDD505-2E9C-101B-9397-08002B2CF9AE}" pid="14" name="Mendeley Recent Style Name 4_1">
    <vt:lpwstr>Emerging Infectious Diseases</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http://www.zotero.org/styles/journal-of-infectious-diseases</vt:lpwstr>
  </property>
  <property fmtid="{D5CDD505-2E9C-101B-9397-08002B2CF9AE}" pid="18" name="Mendeley Recent Style Name 6_1">
    <vt:lpwstr>Journal of Infectious Diseases</vt:lpwstr>
  </property>
  <property fmtid="{D5CDD505-2E9C-101B-9397-08002B2CF9AE}" pid="19" name="Mendeley Recent Style Id 7_1">
    <vt:lpwstr>http://www.zotero.org/styles/pnas</vt:lpwstr>
  </property>
  <property fmtid="{D5CDD505-2E9C-101B-9397-08002B2CF9AE}" pid="20" name="Mendeley Recent Style Name 7_1">
    <vt:lpwstr>Proceedings of the National Academy of Sciences of the United States of America</vt:lpwstr>
  </property>
  <property fmtid="{D5CDD505-2E9C-101B-9397-08002B2CF9AE}" pid="21" name="Mendeley Recent Style Id 8_1">
    <vt:lpwstr>http://www.zotero.org/styles/science</vt:lpwstr>
  </property>
  <property fmtid="{D5CDD505-2E9C-101B-9397-08002B2CF9AE}" pid="22" name="Mendeley Recent Style Name 8_1">
    <vt:lpwstr>Science</vt:lpwstr>
  </property>
  <property fmtid="{D5CDD505-2E9C-101B-9397-08002B2CF9AE}" pid="23" name="Mendeley Recent Style Id 9_1">
    <vt:lpwstr>http://www.zotero.org/styles/the-lancet</vt:lpwstr>
  </property>
  <property fmtid="{D5CDD505-2E9C-101B-9397-08002B2CF9AE}" pid="24" name="Mendeley Recent Style Name 9_1">
    <vt:lpwstr>The Lancet</vt:lpwstr>
  </property>
</Properties>
</file>