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A1276" w14:textId="77777777" w:rsidR="008D2428" w:rsidRDefault="008D2428" w:rsidP="008D2428">
      <w:pPr>
        <w:rPr>
          <w:rFonts w:cs="Corsiva Hebrew"/>
          <w:lang w:val="en-GB"/>
        </w:rPr>
      </w:pPr>
      <w:r>
        <w:t xml:space="preserve">Table </w:t>
      </w:r>
      <w:proofErr w:type="spellStart"/>
      <w:r>
        <w:t>S1</w:t>
      </w:r>
      <w:proofErr w:type="spellEnd"/>
      <w:r>
        <w:rPr>
          <w:lang w:val="en-US"/>
        </w:rPr>
        <w:t xml:space="preserve">. </w:t>
      </w:r>
      <w:r>
        <w:rPr>
          <w:rFonts w:cs="Corsiva Hebrew"/>
          <w:lang w:val="en-GB"/>
        </w:rPr>
        <w:t>Clinical diagnosis and public health</w:t>
      </w:r>
      <w:r>
        <w:rPr>
          <w:lang w:val="en-US"/>
        </w:rPr>
        <w:t xml:space="preserve"> surveillance implemented in Hong Kong in response to COVID-19 pandemic.</w:t>
      </w:r>
    </w:p>
    <w:tbl>
      <w:tblPr>
        <w:tblW w:w="8560" w:type="dxa"/>
        <w:tblBorders>
          <w:top w:val="single" w:sz="4" w:space="0" w:color="auto"/>
          <w:bottom w:val="single" w:sz="4" w:space="0" w:color="auto"/>
        </w:tblBorders>
        <w:tblLook w:val="04A0" w:firstRow="1" w:lastRow="0" w:firstColumn="1" w:lastColumn="0" w:noHBand="0" w:noVBand="1"/>
      </w:tblPr>
      <w:tblGrid>
        <w:gridCol w:w="1500"/>
        <w:gridCol w:w="4080"/>
        <w:gridCol w:w="2980"/>
      </w:tblGrid>
      <w:tr w:rsidR="008D2428" w14:paraId="3CDAF804" w14:textId="77777777" w:rsidTr="008D2428">
        <w:trPr>
          <w:trHeight w:val="340"/>
        </w:trPr>
        <w:tc>
          <w:tcPr>
            <w:tcW w:w="1500" w:type="dxa"/>
            <w:tcBorders>
              <w:top w:val="single" w:sz="4" w:space="0" w:color="auto"/>
              <w:left w:val="nil"/>
              <w:bottom w:val="single" w:sz="4" w:space="0" w:color="auto"/>
              <w:right w:val="nil"/>
            </w:tcBorders>
            <w:noWrap/>
            <w:vAlign w:val="center"/>
            <w:hideMark/>
          </w:tcPr>
          <w:p w14:paraId="7B62ECDD" w14:textId="77777777" w:rsidR="008D2428" w:rsidRDefault="008D2428">
            <w:pPr>
              <w:spacing w:line="276" w:lineRule="auto"/>
              <w:jc w:val="center"/>
              <w:rPr>
                <w:rFonts w:cs="Calibri"/>
                <w:b/>
                <w:bCs/>
                <w:color w:val="000000"/>
              </w:rPr>
            </w:pPr>
            <w:r>
              <w:rPr>
                <w:rFonts w:cs="Calibri"/>
                <w:b/>
                <w:bCs/>
                <w:color w:val="000000"/>
              </w:rPr>
              <w:t>Tier</w:t>
            </w:r>
          </w:p>
        </w:tc>
        <w:tc>
          <w:tcPr>
            <w:tcW w:w="4080" w:type="dxa"/>
            <w:tcBorders>
              <w:top w:val="single" w:sz="4" w:space="0" w:color="auto"/>
              <w:left w:val="nil"/>
              <w:bottom w:val="single" w:sz="4" w:space="0" w:color="auto"/>
              <w:right w:val="nil"/>
            </w:tcBorders>
            <w:vAlign w:val="center"/>
            <w:hideMark/>
          </w:tcPr>
          <w:p w14:paraId="1D25DCBD" w14:textId="77777777" w:rsidR="008D2428" w:rsidRDefault="008D2428">
            <w:pPr>
              <w:spacing w:line="276" w:lineRule="auto"/>
              <w:jc w:val="center"/>
              <w:rPr>
                <w:rFonts w:cs="Calibri"/>
                <w:b/>
                <w:bCs/>
                <w:color w:val="000000"/>
              </w:rPr>
            </w:pPr>
            <w:r>
              <w:rPr>
                <w:rFonts w:cs="Calibri"/>
                <w:b/>
                <w:bCs/>
                <w:color w:val="000000"/>
              </w:rPr>
              <w:t>Description</w:t>
            </w:r>
          </w:p>
        </w:tc>
        <w:tc>
          <w:tcPr>
            <w:tcW w:w="2980" w:type="dxa"/>
            <w:tcBorders>
              <w:top w:val="single" w:sz="4" w:space="0" w:color="auto"/>
              <w:left w:val="nil"/>
              <w:bottom w:val="single" w:sz="4" w:space="0" w:color="auto"/>
              <w:right w:val="nil"/>
            </w:tcBorders>
            <w:vAlign w:val="center"/>
            <w:hideMark/>
          </w:tcPr>
          <w:p w14:paraId="5091FB47" w14:textId="77777777" w:rsidR="008D2428" w:rsidRDefault="008D2428">
            <w:pPr>
              <w:spacing w:line="276" w:lineRule="auto"/>
              <w:jc w:val="center"/>
              <w:rPr>
                <w:rFonts w:cs="Calibri"/>
                <w:b/>
                <w:bCs/>
                <w:color w:val="000000"/>
              </w:rPr>
            </w:pPr>
            <w:r>
              <w:rPr>
                <w:rFonts w:cs="Calibri"/>
                <w:b/>
                <w:bCs/>
                <w:color w:val="000000"/>
              </w:rPr>
              <w:t>Changes in study periods</w:t>
            </w:r>
          </w:p>
          <w:p w14:paraId="0B61AA9D" w14:textId="77777777" w:rsidR="008D2428" w:rsidRDefault="008D2428">
            <w:pPr>
              <w:spacing w:line="276" w:lineRule="auto"/>
              <w:jc w:val="center"/>
              <w:rPr>
                <w:rFonts w:cs="Calibri"/>
                <w:b/>
                <w:bCs/>
                <w:color w:val="000000"/>
              </w:rPr>
            </w:pPr>
            <w:r>
              <w:rPr>
                <w:rFonts w:cs="Calibri"/>
                <w:b/>
                <w:bCs/>
                <w:color w:val="000000"/>
              </w:rPr>
              <w:t>(July to September 2020)</w:t>
            </w:r>
          </w:p>
        </w:tc>
      </w:tr>
      <w:tr w:rsidR="008D2428" w14:paraId="76E2B081" w14:textId="77777777" w:rsidTr="008D2428">
        <w:trPr>
          <w:trHeight w:val="340"/>
        </w:trPr>
        <w:tc>
          <w:tcPr>
            <w:tcW w:w="1500" w:type="dxa"/>
            <w:tcBorders>
              <w:top w:val="single" w:sz="4" w:space="0" w:color="auto"/>
              <w:left w:val="nil"/>
              <w:bottom w:val="nil"/>
              <w:right w:val="nil"/>
            </w:tcBorders>
            <w:shd w:val="clear" w:color="auto" w:fill="E7E6E6" w:themeFill="background2"/>
            <w:noWrap/>
            <w:vAlign w:val="center"/>
            <w:hideMark/>
          </w:tcPr>
          <w:p w14:paraId="37698706" w14:textId="77777777" w:rsidR="008D2428" w:rsidRDefault="008D2428">
            <w:pPr>
              <w:spacing w:line="276" w:lineRule="auto"/>
              <w:jc w:val="center"/>
              <w:rPr>
                <w:rFonts w:cs="Calibri"/>
                <w:color w:val="000000"/>
              </w:rPr>
            </w:pPr>
            <w:r>
              <w:rPr>
                <w:rFonts w:cs="Calibri"/>
                <w:color w:val="000000"/>
              </w:rPr>
              <w:t>Tier 1</w:t>
            </w:r>
          </w:p>
        </w:tc>
        <w:tc>
          <w:tcPr>
            <w:tcW w:w="4080" w:type="dxa"/>
            <w:tcBorders>
              <w:top w:val="single" w:sz="4" w:space="0" w:color="auto"/>
              <w:left w:val="nil"/>
              <w:bottom w:val="nil"/>
              <w:right w:val="nil"/>
            </w:tcBorders>
            <w:shd w:val="clear" w:color="auto" w:fill="E7E6E6" w:themeFill="background2"/>
            <w:vAlign w:val="center"/>
            <w:hideMark/>
          </w:tcPr>
          <w:p w14:paraId="666DB54A" w14:textId="77777777" w:rsidR="008D2428" w:rsidRDefault="008D2428">
            <w:pPr>
              <w:spacing w:line="276" w:lineRule="auto"/>
              <w:rPr>
                <w:rFonts w:cs="Calibri"/>
                <w:color w:val="000000"/>
              </w:rPr>
            </w:pPr>
            <w:r>
              <w:rPr>
                <w:rFonts w:cs="Calibri"/>
                <w:color w:val="000000"/>
              </w:rPr>
              <w:t>Cases fulfil reporting criteria.</w:t>
            </w:r>
          </w:p>
        </w:tc>
        <w:tc>
          <w:tcPr>
            <w:tcW w:w="2980" w:type="dxa"/>
            <w:tcBorders>
              <w:top w:val="single" w:sz="4" w:space="0" w:color="auto"/>
              <w:left w:val="nil"/>
              <w:bottom w:val="nil"/>
              <w:right w:val="nil"/>
            </w:tcBorders>
            <w:shd w:val="clear" w:color="auto" w:fill="E7E6E6" w:themeFill="background2"/>
            <w:vAlign w:val="center"/>
            <w:hideMark/>
          </w:tcPr>
          <w:p w14:paraId="19D0B5FF" w14:textId="77777777" w:rsidR="008D2428" w:rsidRDefault="008D2428">
            <w:pPr>
              <w:spacing w:line="276" w:lineRule="auto"/>
              <w:jc w:val="center"/>
              <w:rPr>
                <w:sz w:val="20"/>
                <w:szCs w:val="20"/>
              </w:rPr>
            </w:pPr>
            <w:r>
              <w:rPr>
                <w:sz w:val="20"/>
                <w:szCs w:val="20"/>
              </w:rPr>
              <w:t>--</w:t>
            </w:r>
          </w:p>
        </w:tc>
      </w:tr>
      <w:tr w:rsidR="008D2428" w14:paraId="4626F298" w14:textId="77777777" w:rsidTr="008D2428">
        <w:trPr>
          <w:trHeight w:val="1700"/>
        </w:trPr>
        <w:tc>
          <w:tcPr>
            <w:tcW w:w="1500" w:type="dxa"/>
            <w:tcBorders>
              <w:top w:val="nil"/>
              <w:left w:val="nil"/>
              <w:bottom w:val="nil"/>
              <w:right w:val="nil"/>
            </w:tcBorders>
            <w:noWrap/>
            <w:vAlign w:val="center"/>
            <w:hideMark/>
          </w:tcPr>
          <w:p w14:paraId="719A3FE5" w14:textId="77777777" w:rsidR="008D2428" w:rsidRDefault="008D2428">
            <w:pPr>
              <w:spacing w:line="276" w:lineRule="auto"/>
              <w:jc w:val="center"/>
              <w:rPr>
                <w:rFonts w:cs="Calibri"/>
                <w:color w:val="000000"/>
              </w:rPr>
            </w:pPr>
            <w:r>
              <w:rPr>
                <w:rFonts w:cs="Calibri"/>
                <w:color w:val="000000"/>
              </w:rPr>
              <w:t>Tier 2 and 3</w:t>
            </w:r>
          </w:p>
        </w:tc>
        <w:tc>
          <w:tcPr>
            <w:tcW w:w="4080" w:type="dxa"/>
            <w:tcBorders>
              <w:top w:val="nil"/>
              <w:left w:val="nil"/>
              <w:bottom w:val="nil"/>
              <w:right w:val="nil"/>
            </w:tcBorders>
            <w:vAlign w:val="center"/>
            <w:hideMark/>
          </w:tcPr>
          <w:p w14:paraId="459217EC" w14:textId="77777777" w:rsidR="008D2428" w:rsidRDefault="008D2428">
            <w:pPr>
              <w:spacing w:line="276" w:lineRule="auto"/>
              <w:rPr>
                <w:rFonts w:cs="Calibri"/>
                <w:color w:val="000000"/>
              </w:rPr>
            </w:pPr>
            <w:r>
              <w:rPr>
                <w:rFonts w:cs="Calibri"/>
                <w:color w:val="000000"/>
              </w:rPr>
              <w:t>Inpatients with pneumonia, influenza-like illness symptoms, new loss of taste/smell, shortness of breath, or gastrointestinal symptoms.</w:t>
            </w:r>
          </w:p>
        </w:tc>
        <w:tc>
          <w:tcPr>
            <w:tcW w:w="2980" w:type="dxa"/>
            <w:tcBorders>
              <w:top w:val="nil"/>
              <w:left w:val="nil"/>
              <w:bottom w:val="nil"/>
              <w:right w:val="nil"/>
            </w:tcBorders>
            <w:vAlign w:val="center"/>
            <w:hideMark/>
          </w:tcPr>
          <w:p w14:paraId="10AC8996" w14:textId="77777777" w:rsidR="008D2428" w:rsidRDefault="008D2428">
            <w:pPr>
              <w:spacing w:line="276" w:lineRule="auto"/>
              <w:rPr>
                <w:rFonts w:cs="Calibri"/>
                <w:color w:val="000000"/>
              </w:rPr>
            </w:pPr>
            <w:r>
              <w:rPr>
                <w:rFonts w:cs="Calibri"/>
                <w:color w:val="000000"/>
              </w:rPr>
              <w:t>Expanded to include new loss of taste/smell, shortness of breath, or gastrointestinal symptoms on 31 July 2020.</w:t>
            </w:r>
          </w:p>
        </w:tc>
      </w:tr>
      <w:tr w:rsidR="008D2428" w14:paraId="0BBE3E53" w14:textId="77777777" w:rsidTr="008D2428">
        <w:trPr>
          <w:trHeight w:val="2040"/>
        </w:trPr>
        <w:tc>
          <w:tcPr>
            <w:tcW w:w="1500" w:type="dxa"/>
            <w:tcBorders>
              <w:top w:val="nil"/>
              <w:left w:val="nil"/>
              <w:bottom w:val="nil"/>
              <w:right w:val="nil"/>
            </w:tcBorders>
            <w:shd w:val="clear" w:color="auto" w:fill="E7E6E6" w:themeFill="background2"/>
            <w:noWrap/>
            <w:vAlign w:val="center"/>
            <w:hideMark/>
          </w:tcPr>
          <w:p w14:paraId="5F358669" w14:textId="77777777" w:rsidR="008D2428" w:rsidRDefault="008D2428">
            <w:pPr>
              <w:spacing w:line="276" w:lineRule="auto"/>
              <w:jc w:val="center"/>
              <w:rPr>
                <w:rFonts w:cs="Calibri"/>
                <w:color w:val="000000"/>
              </w:rPr>
            </w:pPr>
            <w:r>
              <w:rPr>
                <w:rFonts w:cs="Calibri"/>
                <w:color w:val="000000"/>
              </w:rPr>
              <w:t>Tier 4</w:t>
            </w:r>
          </w:p>
        </w:tc>
        <w:tc>
          <w:tcPr>
            <w:tcW w:w="4080" w:type="dxa"/>
            <w:tcBorders>
              <w:top w:val="nil"/>
              <w:left w:val="nil"/>
              <w:bottom w:val="nil"/>
              <w:right w:val="nil"/>
            </w:tcBorders>
            <w:shd w:val="clear" w:color="auto" w:fill="E7E6E6" w:themeFill="background2"/>
            <w:vAlign w:val="center"/>
            <w:hideMark/>
          </w:tcPr>
          <w:p w14:paraId="23725824" w14:textId="77777777" w:rsidR="008D2428" w:rsidRDefault="008D2428">
            <w:pPr>
              <w:spacing w:line="276" w:lineRule="auto"/>
              <w:rPr>
                <w:rFonts w:cs="Calibri"/>
                <w:color w:val="000000"/>
              </w:rPr>
            </w:pPr>
            <w:r>
              <w:rPr>
                <w:rFonts w:cs="Calibri"/>
                <w:color w:val="000000"/>
              </w:rPr>
              <w:t>Outpatients visited accident and emergency department (AED) or general outpatient clinics (</w:t>
            </w:r>
            <w:proofErr w:type="spellStart"/>
            <w:r>
              <w:rPr>
                <w:rFonts w:cs="Calibri"/>
                <w:color w:val="000000"/>
              </w:rPr>
              <w:t>GOPC</w:t>
            </w:r>
            <w:proofErr w:type="spellEnd"/>
            <w:r>
              <w:rPr>
                <w:rFonts w:cs="Calibri"/>
                <w:color w:val="000000"/>
              </w:rPr>
              <w:t>) with fever or respiratory symptoms or new loss of taste/smell, shortness of breath, or gastrointestinal symptoms.</w:t>
            </w:r>
          </w:p>
        </w:tc>
        <w:tc>
          <w:tcPr>
            <w:tcW w:w="2980" w:type="dxa"/>
            <w:tcBorders>
              <w:top w:val="nil"/>
              <w:left w:val="nil"/>
              <w:bottom w:val="nil"/>
              <w:right w:val="nil"/>
            </w:tcBorders>
            <w:shd w:val="clear" w:color="auto" w:fill="E7E6E6" w:themeFill="background2"/>
            <w:vAlign w:val="center"/>
            <w:hideMark/>
          </w:tcPr>
          <w:p w14:paraId="74AC296D" w14:textId="77777777" w:rsidR="008D2428" w:rsidRDefault="008D2428">
            <w:pPr>
              <w:spacing w:line="276" w:lineRule="auto"/>
              <w:rPr>
                <w:rFonts w:cs="Calibri"/>
                <w:color w:val="000000"/>
              </w:rPr>
            </w:pPr>
            <w:r>
              <w:rPr>
                <w:rFonts w:cs="Calibri"/>
                <w:color w:val="000000"/>
              </w:rPr>
              <w:t>Expanded to include new loss of taste/smell, shortness of breath, or gastrointestinal symptoms on 31 July 2020.</w:t>
            </w:r>
          </w:p>
        </w:tc>
      </w:tr>
      <w:tr w:rsidR="008D2428" w14:paraId="768AF5CE" w14:textId="77777777" w:rsidTr="008D2428">
        <w:trPr>
          <w:trHeight w:val="1020"/>
        </w:trPr>
        <w:tc>
          <w:tcPr>
            <w:tcW w:w="1500" w:type="dxa"/>
            <w:tcBorders>
              <w:top w:val="nil"/>
              <w:left w:val="nil"/>
              <w:bottom w:val="nil"/>
              <w:right w:val="nil"/>
            </w:tcBorders>
            <w:noWrap/>
            <w:vAlign w:val="center"/>
            <w:hideMark/>
          </w:tcPr>
          <w:p w14:paraId="1C69B638" w14:textId="77777777" w:rsidR="008D2428" w:rsidRDefault="008D2428">
            <w:pPr>
              <w:spacing w:line="276" w:lineRule="auto"/>
              <w:jc w:val="center"/>
              <w:rPr>
                <w:rFonts w:cs="Calibri"/>
                <w:color w:val="000000"/>
              </w:rPr>
            </w:pPr>
            <w:r>
              <w:rPr>
                <w:rFonts w:cs="Calibri"/>
                <w:color w:val="000000"/>
              </w:rPr>
              <w:t>Tier 5</w:t>
            </w:r>
          </w:p>
        </w:tc>
        <w:tc>
          <w:tcPr>
            <w:tcW w:w="4080" w:type="dxa"/>
            <w:tcBorders>
              <w:top w:val="nil"/>
              <w:left w:val="nil"/>
              <w:bottom w:val="nil"/>
              <w:right w:val="nil"/>
            </w:tcBorders>
            <w:vAlign w:val="center"/>
            <w:hideMark/>
          </w:tcPr>
          <w:p w14:paraId="1E804170" w14:textId="77777777" w:rsidR="008D2428" w:rsidRDefault="008D2428">
            <w:pPr>
              <w:spacing w:line="276" w:lineRule="auto"/>
              <w:rPr>
                <w:rFonts w:cs="Calibri"/>
                <w:color w:val="000000"/>
              </w:rPr>
            </w:pPr>
            <w:r>
              <w:rPr>
                <w:rFonts w:cs="Calibri"/>
                <w:color w:val="000000"/>
              </w:rPr>
              <w:t>Patients with fever or respiratory symptoms or mild chest infection in all private clinics and hospitals.</w:t>
            </w:r>
          </w:p>
        </w:tc>
        <w:tc>
          <w:tcPr>
            <w:tcW w:w="2980" w:type="dxa"/>
            <w:tcBorders>
              <w:top w:val="nil"/>
              <w:left w:val="nil"/>
              <w:bottom w:val="nil"/>
              <w:right w:val="nil"/>
            </w:tcBorders>
            <w:vAlign w:val="center"/>
            <w:hideMark/>
          </w:tcPr>
          <w:p w14:paraId="395B16EB" w14:textId="77777777" w:rsidR="008D2428" w:rsidRDefault="008D2428">
            <w:pPr>
              <w:spacing w:line="276" w:lineRule="auto"/>
              <w:jc w:val="center"/>
              <w:rPr>
                <w:sz w:val="20"/>
                <w:szCs w:val="20"/>
              </w:rPr>
            </w:pPr>
            <w:r>
              <w:rPr>
                <w:sz w:val="20"/>
                <w:szCs w:val="20"/>
              </w:rPr>
              <w:t>--</w:t>
            </w:r>
          </w:p>
        </w:tc>
      </w:tr>
      <w:tr w:rsidR="008D2428" w14:paraId="1403ABBD" w14:textId="77777777" w:rsidTr="008D2428">
        <w:trPr>
          <w:trHeight w:val="680"/>
        </w:trPr>
        <w:tc>
          <w:tcPr>
            <w:tcW w:w="1500" w:type="dxa"/>
            <w:tcBorders>
              <w:top w:val="nil"/>
              <w:left w:val="nil"/>
              <w:bottom w:val="nil"/>
              <w:right w:val="nil"/>
            </w:tcBorders>
            <w:shd w:val="clear" w:color="auto" w:fill="E7E6E6" w:themeFill="background2"/>
            <w:noWrap/>
            <w:vAlign w:val="center"/>
            <w:hideMark/>
          </w:tcPr>
          <w:p w14:paraId="4C04E821" w14:textId="77777777" w:rsidR="008D2428" w:rsidRDefault="008D2428">
            <w:pPr>
              <w:spacing w:line="276" w:lineRule="auto"/>
              <w:jc w:val="center"/>
              <w:rPr>
                <w:rFonts w:cs="Calibri"/>
                <w:color w:val="000000"/>
              </w:rPr>
            </w:pPr>
            <w:r>
              <w:rPr>
                <w:rFonts w:cs="Calibri"/>
                <w:color w:val="000000"/>
              </w:rPr>
              <w:t>Tier 6</w:t>
            </w:r>
            <w:r>
              <w:rPr>
                <w:rFonts w:cs="Calibri"/>
                <w:color w:val="000000"/>
                <w:vertAlign w:val="superscript"/>
              </w:rPr>
              <w:t>*</w:t>
            </w:r>
          </w:p>
        </w:tc>
        <w:tc>
          <w:tcPr>
            <w:tcW w:w="4080" w:type="dxa"/>
            <w:tcBorders>
              <w:top w:val="nil"/>
              <w:left w:val="nil"/>
              <w:bottom w:val="nil"/>
              <w:right w:val="nil"/>
            </w:tcBorders>
            <w:shd w:val="clear" w:color="auto" w:fill="E7E6E6" w:themeFill="background2"/>
            <w:vAlign w:val="center"/>
            <w:hideMark/>
          </w:tcPr>
          <w:p w14:paraId="734A2369" w14:textId="77777777" w:rsidR="008D2428" w:rsidRDefault="008D2428">
            <w:pPr>
              <w:spacing w:line="276" w:lineRule="auto"/>
              <w:rPr>
                <w:rFonts w:cs="Calibri"/>
                <w:color w:val="000000"/>
              </w:rPr>
            </w:pPr>
            <w:r>
              <w:rPr>
                <w:rFonts w:cs="Calibri"/>
                <w:color w:val="000000"/>
              </w:rPr>
              <w:t>All asymptomatic inbound travellers, i.e., imported cases.</w:t>
            </w:r>
          </w:p>
        </w:tc>
        <w:tc>
          <w:tcPr>
            <w:tcW w:w="2980" w:type="dxa"/>
            <w:tcBorders>
              <w:top w:val="nil"/>
              <w:left w:val="nil"/>
              <w:bottom w:val="nil"/>
              <w:right w:val="nil"/>
            </w:tcBorders>
            <w:shd w:val="clear" w:color="auto" w:fill="E7E6E6" w:themeFill="background2"/>
            <w:vAlign w:val="center"/>
            <w:hideMark/>
          </w:tcPr>
          <w:p w14:paraId="7E3D62C9" w14:textId="77777777" w:rsidR="008D2428" w:rsidRDefault="008D2428">
            <w:pPr>
              <w:spacing w:line="276" w:lineRule="auto"/>
              <w:jc w:val="center"/>
              <w:rPr>
                <w:rFonts w:cs="Calibri"/>
                <w:color w:val="000000"/>
              </w:rPr>
            </w:pPr>
            <w:r>
              <w:rPr>
                <w:sz w:val="20"/>
                <w:szCs w:val="20"/>
              </w:rPr>
              <w:t>--</w:t>
            </w:r>
          </w:p>
        </w:tc>
      </w:tr>
      <w:tr w:rsidR="008D2428" w14:paraId="6CBF16C1" w14:textId="77777777" w:rsidTr="008D2428">
        <w:trPr>
          <w:trHeight w:val="1020"/>
        </w:trPr>
        <w:tc>
          <w:tcPr>
            <w:tcW w:w="1500" w:type="dxa"/>
            <w:tcBorders>
              <w:top w:val="nil"/>
              <w:left w:val="nil"/>
              <w:bottom w:val="nil"/>
              <w:right w:val="nil"/>
            </w:tcBorders>
            <w:noWrap/>
            <w:vAlign w:val="center"/>
            <w:hideMark/>
          </w:tcPr>
          <w:p w14:paraId="6BE028BB" w14:textId="77777777" w:rsidR="008D2428" w:rsidRDefault="008D2428">
            <w:pPr>
              <w:spacing w:line="276" w:lineRule="auto"/>
              <w:jc w:val="center"/>
              <w:rPr>
                <w:rFonts w:cs="Calibri"/>
                <w:color w:val="000000"/>
              </w:rPr>
            </w:pPr>
            <w:r>
              <w:rPr>
                <w:rFonts w:cs="Calibri"/>
                <w:color w:val="000000"/>
              </w:rPr>
              <w:t>Tier 7</w:t>
            </w:r>
          </w:p>
        </w:tc>
        <w:tc>
          <w:tcPr>
            <w:tcW w:w="4080" w:type="dxa"/>
            <w:tcBorders>
              <w:top w:val="nil"/>
              <w:left w:val="nil"/>
              <w:bottom w:val="nil"/>
              <w:right w:val="nil"/>
            </w:tcBorders>
            <w:vAlign w:val="center"/>
            <w:hideMark/>
          </w:tcPr>
          <w:p w14:paraId="11877B2F" w14:textId="77777777" w:rsidR="008D2428" w:rsidRDefault="008D2428">
            <w:pPr>
              <w:spacing w:line="276" w:lineRule="auto"/>
              <w:rPr>
                <w:rFonts w:cs="Calibri"/>
                <w:color w:val="000000"/>
              </w:rPr>
            </w:pPr>
            <w:r>
              <w:rPr>
                <w:rFonts w:cs="Calibri"/>
                <w:color w:val="000000"/>
              </w:rPr>
              <w:t>Persons with high exposure risks at work (e.g., airport, bus companies, staff at residential colleges).</w:t>
            </w:r>
          </w:p>
        </w:tc>
        <w:tc>
          <w:tcPr>
            <w:tcW w:w="2980" w:type="dxa"/>
            <w:tcBorders>
              <w:top w:val="nil"/>
              <w:left w:val="nil"/>
              <w:bottom w:val="nil"/>
              <w:right w:val="nil"/>
            </w:tcBorders>
            <w:vAlign w:val="center"/>
            <w:hideMark/>
          </w:tcPr>
          <w:p w14:paraId="158D6742" w14:textId="77777777" w:rsidR="008D2428" w:rsidRDefault="008D2428">
            <w:pPr>
              <w:spacing w:line="276" w:lineRule="auto"/>
              <w:rPr>
                <w:rFonts w:cs="Calibri"/>
                <w:color w:val="000000"/>
              </w:rPr>
            </w:pPr>
            <w:r>
              <w:rPr>
                <w:rFonts w:cs="Calibri"/>
                <w:color w:val="000000"/>
              </w:rPr>
              <w:t>Expanded coverage of people with high risks of exposure.</w:t>
            </w:r>
          </w:p>
        </w:tc>
      </w:tr>
      <w:tr w:rsidR="008D2428" w14:paraId="1D4F422A" w14:textId="77777777" w:rsidTr="008D2428">
        <w:trPr>
          <w:trHeight w:val="3060"/>
        </w:trPr>
        <w:tc>
          <w:tcPr>
            <w:tcW w:w="1500" w:type="dxa"/>
            <w:tcBorders>
              <w:top w:val="nil"/>
              <w:left w:val="nil"/>
              <w:bottom w:val="single" w:sz="4" w:space="0" w:color="auto"/>
              <w:right w:val="nil"/>
            </w:tcBorders>
            <w:shd w:val="clear" w:color="auto" w:fill="E7E6E6" w:themeFill="background2"/>
            <w:noWrap/>
            <w:vAlign w:val="center"/>
            <w:hideMark/>
          </w:tcPr>
          <w:p w14:paraId="79D8EAC3" w14:textId="77777777" w:rsidR="008D2428" w:rsidRDefault="008D2428">
            <w:pPr>
              <w:spacing w:line="276" w:lineRule="auto"/>
              <w:jc w:val="center"/>
              <w:rPr>
                <w:rFonts w:cs="Calibri"/>
                <w:color w:val="000000"/>
              </w:rPr>
            </w:pPr>
            <w:r>
              <w:rPr>
                <w:rFonts w:cs="Calibri"/>
                <w:color w:val="000000"/>
              </w:rPr>
              <w:t>Tier 8</w:t>
            </w:r>
          </w:p>
        </w:tc>
        <w:tc>
          <w:tcPr>
            <w:tcW w:w="4080" w:type="dxa"/>
            <w:tcBorders>
              <w:top w:val="nil"/>
              <w:left w:val="nil"/>
              <w:bottom w:val="single" w:sz="4" w:space="0" w:color="auto"/>
              <w:right w:val="nil"/>
            </w:tcBorders>
            <w:shd w:val="clear" w:color="auto" w:fill="E7E6E6" w:themeFill="background2"/>
            <w:vAlign w:val="center"/>
            <w:hideMark/>
          </w:tcPr>
          <w:p w14:paraId="11B33666" w14:textId="77777777" w:rsidR="008D2428" w:rsidRDefault="008D2428">
            <w:pPr>
              <w:spacing w:line="276" w:lineRule="auto"/>
              <w:rPr>
                <w:rFonts w:cs="Calibri"/>
                <w:color w:val="000000"/>
              </w:rPr>
            </w:pPr>
            <w:r>
              <w:rPr>
                <w:rFonts w:cs="Calibri"/>
                <w:color w:val="000000"/>
              </w:rPr>
              <w:t xml:space="preserve">Admission screening for asymptomatic all inpatients and for patients attending day services (e.g., </w:t>
            </w:r>
            <w:proofErr w:type="gramStart"/>
            <w:r>
              <w:rPr>
                <w:rFonts w:cs="Calibri"/>
                <w:color w:val="000000"/>
              </w:rPr>
              <w:t>haemodialysis(</w:t>
            </w:r>
            <w:proofErr w:type="gramEnd"/>
            <w:r>
              <w:rPr>
                <w:rFonts w:cs="Calibri"/>
                <w:color w:val="000000"/>
              </w:rPr>
              <w:t>HD) centres).</w:t>
            </w:r>
          </w:p>
        </w:tc>
        <w:tc>
          <w:tcPr>
            <w:tcW w:w="2980" w:type="dxa"/>
            <w:tcBorders>
              <w:top w:val="nil"/>
              <w:left w:val="nil"/>
              <w:bottom w:val="single" w:sz="4" w:space="0" w:color="auto"/>
              <w:right w:val="nil"/>
            </w:tcBorders>
            <w:shd w:val="clear" w:color="auto" w:fill="E7E6E6" w:themeFill="background2"/>
            <w:vAlign w:val="center"/>
            <w:hideMark/>
          </w:tcPr>
          <w:p w14:paraId="233AAEC3" w14:textId="77777777" w:rsidR="008D2428" w:rsidRDefault="008D2428">
            <w:pPr>
              <w:spacing w:line="276" w:lineRule="auto"/>
              <w:rPr>
                <w:rFonts w:cs="Calibri"/>
                <w:color w:val="000000"/>
              </w:rPr>
            </w:pPr>
            <w:r>
              <w:rPr>
                <w:rFonts w:cs="Calibri"/>
                <w:color w:val="000000"/>
              </w:rPr>
              <w:t>Expanded admission screening for high-risk inpatients to all inpatients on 9 Sep 2020. Admission screening for patients attending day services suspended on 10 July but resumed on 9 September 2020.</w:t>
            </w:r>
          </w:p>
        </w:tc>
      </w:tr>
    </w:tbl>
    <w:p w14:paraId="04A9F823" w14:textId="77777777" w:rsidR="008D2428" w:rsidRDefault="008D2428" w:rsidP="008D2428">
      <w:r>
        <w:t>* Tier 6 aims to detect imported cases, which were not included in our study.</w:t>
      </w:r>
    </w:p>
    <w:p w14:paraId="07A11702" w14:textId="77777777" w:rsidR="008D2428" w:rsidRDefault="008D2428" w:rsidP="008D2428">
      <w:r>
        <w:br w:type="page"/>
      </w:r>
    </w:p>
    <w:p w14:paraId="49FC555C" w14:textId="77777777" w:rsidR="008D2428" w:rsidRDefault="008D2428" w:rsidP="008D2428">
      <w:pPr>
        <w:pStyle w:val="Caption"/>
      </w:pPr>
      <w:r>
        <w:t xml:space="preserve">Table </w:t>
      </w:r>
      <w:proofErr w:type="spellStart"/>
      <w:r>
        <w:t>S2</w:t>
      </w:r>
      <w:proofErr w:type="spellEnd"/>
      <w:r>
        <w:t>. Parameters used in Bayesian estimations.</w:t>
      </w:r>
    </w:p>
    <w:tbl>
      <w:tblPr>
        <w:tblStyle w:val="TableGrid"/>
        <w:tblW w:w="0" w:type="auto"/>
        <w:tblInd w:w="0" w:type="dxa"/>
        <w:tblBorders>
          <w:top w:val="none" w:sz="0" w:space="0" w:color="auto"/>
          <w:left w:val="none" w:sz="0" w:space="0" w:color="auto"/>
          <w:bottom w:val="single" w:sz="2" w:space="0" w:color="auto"/>
          <w:right w:val="none" w:sz="0" w:space="0" w:color="auto"/>
          <w:insideH w:val="none" w:sz="0" w:space="0" w:color="auto"/>
          <w:insideV w:val="none" w:sz="0" w:space="0" w:color="auto"/>
        </w:tblBorders>
        <w:tblLook w:val="04A0" w:firstRow="1" w:lastRow="0" w:firstColumn="1" w:lastColumn="0" w:noHBand="0" w:noVBand="1"/>
      </w:tblPr>
      <w:tblGrid>
        <w:gridCol w:w="1642"/>
        <w:gridCol w:w="4874"/>
        <w:gridCol w:w="2500"/>
      </w:tblGrid>
      <w:tr w:rsidR="008D2428" w14:paraId="6B8DF13D" w14:textId="77777777" w:rsidTr="008D2428">
        <w:tc>
          <w:tcPr>
            <w:tcW w:w="1642" w:type="dxa"/>
            <w:tcBorders>
              <w:top w:val="single" w:sz="2" w:space="0" w:color="auto"/>
              <w:left w:val="nil"/>
              <w:bottom w:val="single" w:sz="2" w:space="0" w:color="auto"/>
              <w:right w:val="nil"/>
            </w:tcBorders>
            <w:vAlign w:val="center"/>
            <w:hideMark/>
          </w:tcPr>
          <w:p w14:paraId="706375A6" w14:textId="77777777" w:rsidR="008D2428" w:rsidRDefault="008D2428">
            <w:pPr>
              <w:spacing w:line="276" w:lineRule="auto"/>
              <w:jc w:val="center"/>
              <w:rPr>
                <w:b/>
                <w:bCs/>
              </w:rPr>
            </w:pPr>
            <w:r>
              <w:rPr>
                <w:b/>
                <w:bCs/>
              </w:rPr>
              <w:t>Parameters</w:t>
            </w:r>
          </w:p>
        </w:tc>
        <w:tc>
          <w:tcPr>
            <w:tcW w:w="4874" w:type="dxa"/>
            <w:tcBorders>
              <w:top w:val="single" w:sz="2" w:space="0" w:color="auto"/>
              <w:left w:val="nil"/>
              <w:bottom w:val="single" w:sz="2" w:space="0" w:color="auto"/>
              <w:right w:val="nil"/>
            </w:tcBorders>
            <w:vAlign w:val="center"/>
            <w:hideMark/>
          </w:tcPr>
          <w:p w14:paraId="32A5493B" w14:textId="77777777" w:rsidR="008D2428" w:rsidRDefault="008D2428">
            <w:pPr>
              <w:spacing w:line="276" w:lineRule="auto"/>
              <w:jc w:val="center"/>
              <w:rPr>
                <w:b/>
                <w:bCs/>
              </w:rPr>
            </w:pPr>
            <w:r>
              <w:rPr>
                <w:b/>
                <w:bCs/>
              </w:rPr>
              <w:t>Definition</w:t>
            </w:r>
          </w:p>
        </w:tc>
        <w:tc>
          <w:tcPr>
            <w:tcW w:w="2500" w:type="dxa"/>
            <w:tcBorders>
              <w:top w:val="single" w:sz="2" w:space="0" w:color="auto"/>
              <w:left w:val="nil"/>
              <w:bottom w:val="single" w:sz="2" w:space="0" w:color="auto"/>
              <w:right w:val="nil"/>
            </w:tcBorders>
            <w:vAlign w:val="center"/>
            <w:hideMark/>
          </w:tcPr>
          <w:p w14:paraId="09F733E1" w14:textId="77777777" w:rsidR="008D2428" w:rsidRDefault="008D2428">
            <w:pPr>
              <w:spacing w:line="276" w:lineRule="auto"/>
              <w:jc w:val="center"/>
              <w:rPr>
                <w:b/>
                <w:bCs/>
              </w:rPr>
            </w:pPr>
            <w:r>
              <w:rPr>
                <w:b/>
                <w:bCs/>
              </w:rPr>
              <w:t>Value</w:t>
            </w:r>
          </w:p>
        </w:tc>
      </w:tr>
      <w:tr w:rsidR="008D2428" w14:paraId="2E26A8B2" w14:textId="77777777" w:rsidTr="008D2428">
        <w:tc>
          <w:tcPr>
            <w:tcW w:w="1642" w:type="dxa"/>
            <w:tcBorders>
              <w:top w:val="single" w:sz="2" w:space="0" w:color="auto"/>
              <w:left w:val="nil"/>
              <w:bottom w:val="nil"/>
              <w:right w:val="nil"/>
            </w:tcBorders>
            <w:shd w:val="clear" w:color="auto" w:fill="E7E6E6" w:themeFill="background2"/>
            <w:vAlign w:val="center"/>
            <w:hideMark/>
          </w:tcPr>
          <w:p w14:paraId="3F6C9B55"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X</m:t>
                    </m:r>
                  </m:e>
                  <m:sub>
                    <m:r>
                      <w:rPr>
                        <w:rFonts w:ascii="Cambria Math" w:hAnsi="Cambria Math"/>
                      </w:rPr>
                      <m:t>j</m:t>
                    </m:r>
                  </m:sub>
                </m:sSub>
                <m:d>
                  <m:dPr>
                    <m:ctrlPr>
                      <w:rPr>
                        <w:rFonts w:ascii="Cambria Math" w:hAnsi="Cambria Math"/>
                        <w:i/>
                      </w:rPr>
                    </m:ctrlPr>
                  </m:dPr>
                  <m:e>
                    <m:r>
                      <w:rPr>
                        <w:rFonts w:ascii="Cambria Math" w:hAnsi="Cambria Math"/>
                      </w:rPr>
                      <m:t>t</m:t>
                    </m:r>
                  </m:e>
                </m:d>
              </m:oMath>
            </m:oMathPara>
          </w:p>
        </w:tc>
        <w:tc>
          <w:tcPr>
            <w:tcW w:w="4874" w:type="dxa"/>
            <w:tcBorders>
              <w:top w:val="single" w:sz="2" w:space="0" w:color="auto"/>
              <w:left w:val="nil"/>
              <w:bottom w:val="nil"/>
              <w:right w:val="nil"/>
            </w:tcBorders>
            <w:shd w:val="clear" w:color="auto" w:fill="E7E6E6" w:themeFill="background2"/>
            <w:vAlign w:val="center"/>
            <w:hideMark/>
          </w:tcPr>
          <w:p w14:paraId="448FF48E" w14:textId="77777777" w:rsidR="008D2428" w:rsidRDefault="008D2428">
            <w:pPr>
              <w:spacing w:line="276" w:lineRule="auto"/>
            </w:pPr>
            <w:r>
              <w:t xml:space="preserve">Number of infections at time </w:t>
            </w:r>
            <m:oMath>
              <m:r>
                <w:rPr>
                  <w:rFonts w:ascii="Cambria Math" w:hAnsi="Cambria Math"/>
                </w:rPr>
                <m:t>t</m:t>
              </m:r>
            </m:oMath>
            <w:r>
              <w:t xml:space="preserve"> in age group </w:t>
            </w:r>
            <m:oMath>
              <m:r>
                <w:rPr>
                  <w:rFonts w:ascii="Cambria Math" w:hAnsi="Cambria Math"/>
                </w:rPr>
                <m:t>j</m:t>
              </m:r>
            </m:oMath>
            <w:r>
              <w:t>.</w:t>
            </w:r>
          </w:p>
        </w:tc>
        <w:tc>
          <w:tcPr>
            <w:tcW w:w="2500" w:type="dxa"/>
            <w:tcBorders>
              <w:top w:val="single" w:sz="2" w:space="0" w:color="auto"/>
              <w:left w:val="nil"/>
              <w:bottom w:val="nil"/>
              <w:right w:val="nil"/>
            </w:tcBorders>
            <w:shd w:val="clear" w:color="auto" w:fill="E7E6E6" w:themeFill="background2"/>
            <w:vAlign w:val="center"/>
            <w:hideMark/>
          </w:tcPr>
          <w:p w14:paraId="61A5BBE8" w14:textId="77777777" w:rsidR="008D2428" w:rsidRDefault="008D2428">
            <w:pPr>
              <w:spacing w:line="276" w:lineRule="auto"/>
              <w:jc w:val="center"/>
            </w:pPr>
            <w:r>
              <w:t>Estimated</w:t>
            </w:r>
          </w:p>
        </w:tc>
      </w:tr>
      <w:tr w:rsidR="008D2428" w14:paraId="732A95CB" w14:textId="77777777" w:rsidTr="008D2428">
        <w:tc>
          <w:tcPr>
            <w:tcW w:w="1642" w:type="dxa"/>
            <w:tcBorders>
              <w:top w:val="nil"/>
              <w:left w:val="nil"/>
              <w:bottom w:val="nil"/>
              <w:right w:val="nil"/>
            </w:tcBorders>
            <w:vAlign w:val="center"/>
            <w:hideMark/>
          </w:tcPr>
          <w:p w14:paraId="1C228058" w14:textId="77777777" w:rsidR="008D2428" w:rsidRDefault="008D2428">
            <w:pPr>
              <w:spacing w:line="276" w:lineRule="auto"/>
              <w:jc w:val="center"/>
              <w:rPr>
                <w:rFonts w:eastAsia="PMingLiU"/>
              </w:rPr>
            </w:pPr>
            <m:oMathPara>
              <m:oMath>
                <m:sSub>
                  <m:sSubPr>
                    <m:ctrlPr>
                      <w:rPr>
                        <w:rFonts w:ascii="Cambria Math" w:hAnsi="Cambria Math"/>
                        <w:i/>
                      </w:rPr>
                    </m:ctrlPr>
                  </m:sSubPr>
                  <m:e>
                    <m:r>
                      <w:rPr>
                        <w:rFonts w:ascii="Cambria Math" w:hAnsi="Cambria Math"/>
                      </w:rPr>
                      <m:t>Y</m:t>
                    </m:r>
                  </m:e>
                  <m:sub>
                    <m:r>
                      <w:rPr>
                        <w:rFonts w:ascii="Cambria Math" w:hAnsi="Cambria Math"/>
                      </w:rPr>
                      <m:t>j, R</m:t>
                    </m:r>
                  </m:sub>
                </m:sSub>
                <m:d>
                  <m:dPr>
                    <m:ctrlPr>
                      <w:rPr>
                        <w:rFonts w:ascii="Cambria Math" w:hAnsi="Cambria Math"/>
                        <w:i/>
                      </w:rPr>
                    </m:ctrlPr>
                  </m:dPr>
                  <m:e>
                    <m:r>
                      <w:rPr>
                        <w:rFonts w:ascii="Cambria Math" w:hAnsi="Cambria Math"/>
                      </w:rPr>
                      <m:t>t</m:t>
                    </m:r>
                  </m:e>
                </m:d>
              </m:oMath>
            </m:oMathPara>
          </w:p>
        </w:tc>
        <w:tc>
          <w:tcPr>
            <w:tcW w:w="4874" w:type="dxa"/>
            <w:tcBorders>
              <w:top w:val="nil"/>
              <w:left w:val="nil"/>
              <w:bottom w:val="nil"/>
              <w:right w:val="nil"/>
            </w:tcBorders>
            <w:vAlign w:val="center"/>
            <w:hideMark/>
          </w:tcPr>
          <w:p w14:paraId="72A274FA" w14:textId="77777777" w:rsidR="008D2428" w:rsidRDefault="008D2428">
            <w:pPr>
              <w:spacing w:line="276" w:lineRule="auto"/>
            </w:pPr>
            <w:r>
              <w:t xml:space="preserve">Number of cases that were detected by existing </w:t>
            </w:r>
            <w:r>
              <w:rPr>
                <w:rFonts w:cs="Corsiva Hebrew"/>
                <w:lang w:val="en-GB"/>
              </w:rPr>
              <w:t>clinical diagnosis and public health surveillance</w:t>
            </w:r>
            <w:r>
              <w:rPr>
                <w:lang w:val="en-GB"/>
              </w:rPr>
              <w:t xml:space="preserve"> </w:t>
            </w:r>
            <w:r>
              <w:t xml:space="preserve">at time </w:t>
            </w:r>
            <m:oMath>
              <m:r>
                <w:rPr>
                  <w:rFonts w:ascii="Cambria Math" w:hAnsi="Cambria Math"/>
                </w:rPr>
                <m:t>t</m:t>
              </m:r>
            </m:oMath>
            <w:r>
              <w:t xml:space="preserve"> in age group </w:t>
            </w:r>
            <m:oMath>
              <m:r>
                <w:rPr>
                  <w:rFonts w:ascii="Cambria Math" w:hAnsi="Cambria Math"/>
                </w:rPr>
                <m:t>j</m:t>
              </m:r>
            </m:oMath>
            <w:r>
              <w:t>.</w:t>
            </w:r>
          </w:p>
        </w:tc>
        <w:tc>
          <w:tcPr>
            <w:tcW w:w="2500" w:type="dxa"/>
            <w:tcBorders>
              <w:top w:val="nil"/>
              <w:left w:val="nil"/>
              <w:bottom w:val="nil"/>
              <w:right w:val="nil"/>
            </w:tcBorders>
            <w:vAlign w:val="center"/>
            <w:hideMark/>
          </w:tcPr>
          <w:p w14:paraId="5D6E7FD2" w14:textId="77777777" w:rsidR="008D2428" w:rsidRDefault="008D2428">
            <w:pPr>
              <w:spacing w:line="276" w:lineRule="auto"/>
              <w:jc w:val="center"/>
            </w:pPr>
            <w:r>
              <w:t>Estimated</w:t>
            </w:r>
          </w:p>
        </w:tc>
      </w:tr>
      <w:tr w:rsidR="008D2428" w14:paraId="2E39D674" w14:textId="77777777" w:rsidTr="008D2428">
        <w:tc>
          <w:tcPr>
            <w:tcW w:w="1642" w:type="dxa"/>
            <w:tcBorders>
              <w:top w:val="nil"/>
              <w:left w:val="nil"/>
              <w:bottom w:val="nil"/>
              <w:right w:val="nil"/>
            </w:tcBorders>
            <w:shd w:val="clear" w:color="auto" w:fill="E7E6E6" w:themeFill="background2"/>
            <w:vAlign w:val="center"/>
            <w:hideMark/>
          </w:tcPr>
          <w:p w14:paraId="43C18C46" w14:textId="77777777" w:rsidR="008D2428" w:rsidRDefault="008D2428">
            <w:pPr>
              <w:spacing w:line="276" w:lineRule="auto"/>
              <w:jc w:val="center"/>
              <w:rPr>
                <w:rFonts w:ascii="Calibri" w:eastAsia="PMingLiU" w:hAnsi="Calibri"/>
              </w:rPr>
            </w:pPr>
            <m:oMathPara>
              <m:oMath>
                <m:sSub>
                  <m:sSubPr>
                    <m:ctrlPr>
                      <w:rPr>
                        <w:rFonts w:ascii="Cambria Math" w:hAnsi="Cambria Math"/>
                        <w:i/>
                      </w:rPr>
                    </m:ctrlPr>
                  </m:sSubPr>
                  <m:e>
                    <m:r>
                      <w:rPr>
                        <w:rFonts w:ascii="Cambria Math" w:hAnsi="Cambria Math"/>
                      </w:rPr>
                      <m:t>Y</m:t>
                    </m:r>
                  </m:e>
                  <m:sub>
                    <m:r>
                      <w:rPr>
                        <w:rFonts w:ascii="Cambria Math" w:hAnsi="Cambria Math"/>
                      </w:rPr>
                      <m:t>j, M</m:t>
                    </m:r>
                  </m:sub>
                </m:sSub>
                <m:d>
                  <m:dPr>
                    <m:ctrlPr>
                      <w:rPr>
                        <w:rFonts w:ascii="Cambria Math" w:hAnsi="Cambria Math"/>
                        <w:i/>
                      </w:rPr>
                    </m:ctrlPr>
                  </m:dPr>
                  <m:e>
                    <m:r>
                      <w:rPr>
                        <w:rFonts w:ascii="Cambria Math" w:hAnsi="Cambria Math"/>
                      </w:rPr>
                      <m:t>t</m:t>
                    </m:r>
                  </m:e>
                </m:d>
              </m:oMath>
            </m:oMathPara>
          </w:p>
        </w:tc>
        <w:tc>
          <w:tcPr>
            <w:tcW w:w="4874" w:type="dxa"/>
            <w:tcBorders>
              <w:top w:val="nil"/>
              <w:left w:val="nil"/>
              <w:bottom w:val="nil"/>
              <w:right w:val="nil"/>
            </w:tcBorders>
            <w:shd w:val="clear" w:color="auto" w:fill="E7E6E6" w:themeFill="background2"/>
            <w:vAlign w:val="center"/>
            <w:hideMark/>
          </w:tcPr>
          <w:p w14:paraId="732F3943" w14:textId="77777777" w:rsidR="008D2428" w:rsidRDefault="008D2428">
            <w:pPr>
              <w:spacing w:line="276" w:lineRule="auto"/>
            </w:pPr>
            <w:r>
              <w:t xml:space="preserve">Number of cases that were detected by </w:t>
            </w:r>
            <w:r>
              <w:rPr>
                <w:rFonts w:cs="Corsiva Hebrew"/>
                <w:lang w:val="en-GB"/>
              </w:rPr>
              <w:t xml:space="preserve">the </w:t>
            </w:r>
            <w:proofErr w:type="spellStart"/>
            <w:r>
              <w:t>UCTP</w:t>
            </w:r>
            <w:proofErr w:type="spellEnd"/>
            <w:r>
              <w:t xml:space="preserve"> at time </w:t>
            </w:r>
            <m:oMath>
              <m:r>
                <w:rPr>
                  <w:rFonts w:ascii="Cambria Math" w:hAnsi="Cambria Math"/>
                </w:rPr>
                <m:t>t</m:t>
              </m:r>
            </m:oMath>
            <w:r>
              <w:t xml:space="preserve"> in age group </w:t>
            </w:r>
            <m:oMath>
              <m:r>
                <w:rPr>
                  <w:rFonts w:ascii="Cambria Math" w:hAnsi="Cambria Math"/>
                </w:rPr>
                <m:t>j</m:t>
              </m:r>
            </m:oMath>
            <w:r>
              <w:t>.</w:t>
            </w:r>
          </w:p>
        </w:tc>
        <w:tc>
          <w:tcPr>
            <w:tcW w:w="2500" w:type="dxa"/>
            <w:tcBorders>
              <w:top w:val="nil"/>
              <w:left w:val="nil"/>
              <w:bottom w:val="nil"/>
              <w:right w:val="nil"/>
            </w:tcBorders>
            <w:shd w:val="clear" w:color="auto" w:fill="E7E6E6" w:themeFill="background2"/>
            <w:vAlign w:val="center"/>
            <w:hideMark/>
          </w:tcPr>
          <w:p w14:paraId="75B4A564" w14:textId="77777777" w:rsidR="008D2428" w:rsidRDefault="008D2428">
            <w:pPr>
              <w:spacing w:line="276" w:lineRule="auto"/>
              <w:jc w:val="center"/>
            </w:pPr>
            <w:r>
              <w:t>Estimated</w:t>
            </w:r>
          </w:p>
        </w:tc>
      </w:tr>
      <w:tr w:rsidR="008D2428" w14:paraId="6AFFE505" w14:textId="77777777" w:rsidTr="008D2428">
        <w:tc>
          <w:tcPr>
            <w:tcW w:w="1642" w:type="dxa"/>
            <w:tcBorders>
              <w:top w:val="nil"/>
              <w:left w:val="nil"/>
              <w:bottom w:val="nil"/>
              <w:right w:val="nil"/>
            </w:tcBorders>
            <w:vAlign w:val="center"/>
            <w:hideMark/>
          </w:tcPr>
          <w:p w14:paraId="7BE4F3FB" w14:textId="77777777" w:rsidR="008D2428" w:rsidRDefault="008D2428">
            <w:pPr>
              <w:spacing w:line="276" w:lineRule="auto"/>
              <w:jc w:val="center"/>
              <w:rPr>
                <w:rFonts w:eastAsia="PMingLiU"/>
              </w:rPr>
            </w:pPr>
            <m:oMathPara>
              <m:oMath>
                <m:sSub>
                  <m:sSubPr>
                    <m:ctrlPr>
                      <w:rPr>
                        <w:rFonts w:ascii="Cambria Math" w:hAnsi="Cambria Math"/>
                        <w:i/>
                      </w:rPr>
                    </m:ctrlPr>
                  </m:sSubPr>
                  <m:e>
                    <m:r>
                      <w:rPr>
                        <w:rFonts w:ascii="Cambria Math" w:hAnsi="Cambria Math"/>
                      </w:rPr>
                      <m:t>Z</m:t>
                    </m:r>
                  </m:e>
                  <m:sub>
                    <m:r>
                      <w:rPr>
                        <w:rFonts w:ascii="Cambria Math" w:hAnsi="Cambria Math"/>
                      </w:rPr>
                      <m:t>j,R</m:t>
                    </m:r>
                  </m:sub>
                </m:sSub>
                <m:d>
                  <m:dPr>
                    <m:ctrlPr>
                      <w:rPr>
                        <w:rFonts w:ascii="Cambria Math" w:hAnsi="Cambria Math"/>
                        <w:i/>
                      </w:rPr>
                    </m:ctrlPr>
                  </m:dPr>
                  <m:e>
                    <m:r>
                      <w:rPr>
                        <w:rFonts w:ascii="Cambria Math" w:hAnsi="Cambria Math"/>
                      </w:rPr>
                      <m:t>t</m:t>
                    </m:r>
                  </m:e>
                </m:d>
              </m:oMath>
            </m:oMathPara>
          </w:p>
        </w:tc>
        <w:tc>
          <w:tcPr>
            <w:tcW w:w="4874" w:type="dxa"/>
            <w:tcBorders>
              <w:top w:val="nil"/>
              <w:left w:val="nil"/>
              <w:bottom w:val="nil"/>
              <w:right w:val="nil"/>
            </w:tcBorders>
            <w:vAlign w:val="center"/>
            <w:hideMark/>
          </w:tcPr>
          <w:p w14:paraId="1970EE34" w14:textId="77777777" w:rsidR="008D2428" w:rsidRDefault="008D2428">
            <w:pPr>
              <w:spacing w:line="276" w:lineRule="auto"/>
            </w:pPr>
            <w:r>
              <w:t xml:space="preserve">Number of cases that were reported by existing surveillance at time </w:t>
            </w:r>
            <m:oMath>
              <m:r>
                <w:rPr>
                  <w:rFonts w:ascii="Cambria Math" w:hAnsi="Cambria Math"/>
                </w:rPr>
                <m:t>t</m:t>
              </m:r>
            </m:oMath>
            <w:r>
              <w:t xml:space="preserve"> in age group </w:t>
            </w:r>
            <m:oMath>
              <m:r>
                <w:rPr>
                  <w:rFonts w:ascii="Cambria Math" w:hAnsi="Cambria Math"/>
                </w:rPr>
                <m:t>j</m:t>
              </m:r>
            </m:oMath>
            <w:r>
              <w:t>.</w:t>
            </w:r>
          </w:p>
        </w:tc>
        <w:tc>
          <w:tcPr>
            <w:tcW w:w="2500" w:type="dxa"/>
            <w:tcBorders>
              <w:top w:val="nil"/>
              <w:left w:val="nil"/>
              <w:bottom w:val="nil"/>
              <w:right w:val="nil"/>
            </w:tcBorders>
            <w:vAlign w:val="center"/>
            <w:hideMark/>
          </w:tcPr>
          <w:p w14:paraId="1C6F0AD9" w14:textId="77777777" w:rsidR="008D2428" w:rsidRDefault="008D2428">
            <w:pPr>
              <w:spacing w:line="276" w:lineRule="auto"/>
              <w:jc w:val="center"/>
            </w:pPr>
            <w:r>
              <w:t>Estimated</w:t>
            </w:r>
          </w:p>
        </w:tc>
      </w:tr>
      <w:tr w:rsidR="008D2428" w14:paraId="678CE9B8" w14:textId="77777777" w:rsidTr="008D2428">
        <w:tc>
          <w:tcPr>
            <w:tcW w:w="1642" w:type="dxa"/>
            <w:tcBorders>
              <w:top w:val="nil"/>
              <w:left w:val="nil"/>
              <w:bottom w:val="nil"/>
              <w:right w:val="nil"/>
            </w:tcBorders>
            <w:shd w:val="clear" w:color="auto" w:fill="E7E6E6" w:themeFill="background2"/>
            <w:vAlign w:val="center"/>
            <w:hideMark/>
          </w:tcPr>
          <w:p w14:paraId="7601E7E0" w14:textId="77777777" w:rsidR="008D2428" w:rsidRDefault="008D2428">
            <w:pPr>
              <w:spacing w:line="276" w:lineRule="auto"/>
              <w:jc w:val="center"/>
              <w:rPr>
                <w:rFonts w:ascii="Calibri" w:eastAsia="PMingLiU" w:hAnsi="Calibri"/>
              </w:rPr>
            </w:pPr>
            <m:oMathPara>
              <m:oMath>
                <m:sSub>
                  <m:sSubPr>
                    <m:ctrlPr>
                      <w:rPr>
                        <w:rFonts w:ascii="Cambria Math" w:hAnsi="Cambria Math"/>
                        <w:i/>
                      </w:rPr>
                    </m:ctrlPr>
                  </m:sSubPr>
                  <m:e>
                    <m:r>
                      <w:rPr>
                        <w:rFonts w:ascii="Cambria Math" w:hAnsi="Cambria Math"/>
                      </w:rPr>
                      <m:t>Z</m:t>
                    </m:r>
                  </m:e>
                  <m:sub>
                    <m:r>
                      <w:rPr>
                        <w:rFonts w:ascii="Cambria Math" w:hAnsi="Cambria Math"/>
                      </w:rPr>
                      <m:t>j,M</m:t>
                    </m:r>
                  </m:sub>
                </m:sSub>
                <m:d>
                  <m:dPr>
                    <m:ctrlPr>
                      <w:rPr>
                        <w:rFonts w:ascii="Cambria Math" w:hAnsi="Cambria Math"/>
                        <w:i/>
                      </w:rPr>
                    </m:ctrlPr>
                  </m:dPr>
                  <m:e>
                    <m:r>
                      <w:rPr>
                        <w:rFonts w:ascii="Cambria Math" w:hAnsi="Cambria Math"/>
                      </w:rPr>
                      <m:t>t</m:t>
                    </m:r>
                  </m:e>
                </m:d>
              </m:oMath>
            </m:oMathPara>
          </w:p>
        </w:tc>
        <w:tc>
          <w:tcPr>
            <w:tcW w:w="4874" w:type="dxa"/>
            <w:tcBorders>
              <w:top w:val="nil"/>
              <w:left w:val="nil"/>
              <w:bottom w:val="nil"/>
              <w:right w:val="nil"/>
            </w:tcBorders>
            <w:shd w:val="clear" w:color="auto" w:fill="E7E6E6" w:themeFill="background2"/>
            <w:vAlign w:val="center"/>
            <w:hideMark/>
          </w:tcPr>
          <w:p w14:paraId="42296E57" w14:textId="77777777" w:rsidR="008D2428" w:rsidRDefault="008D2428">
            <w:pPr>
              <w:spacing w:line="276" w:lineRule="auto"/>
            </w:pPr>
            <w:r>
              <w:t xml:space="preserve">Number of cases that were reported by </w:t>
            </w:r>
            <w:r>
              <w:rPr>
                <w:rFonts w:cs="Corsiva Hebrew"/>
                <w:lang w:val="en-GB"/>
              </w:rPr>
              <w:t xml:space="preserve">the </w:t>
            </w:r>
            <w:proofErr w:type="spellStart"/>
            <w:r>
              <w:t>UCTP</w:t>
            </w:r>
            <w:proofErr w:type="spellEnd"/>
            <w:r>
              <w:t xml:space="preserve"> at time </w:t>
            </w:r>
            <m:oMath>
              <m:r>
                <w:rPr>
                  <w:rFonts w:ascii="Cambria Math" w:hAnsi="Cambria Math"/>
                </w:rPr>
                <m:t>t</m:t>
              </m:r>
            </m:oMath>
            <w:r>
              <w:t xml:space="preserve"> in age group </w:t>
            </w:r>
            <m:oMath>
              <m:r>
                <w:rPr>
                  <w:rFonts w:ascii="Cambria Math" w:hAnsi="Cambria Math"/>
                </w:rPr>
                <m:t>j</m:t>
              </m:r>
            </m:oMath>
            <w:r>
              <w:t>.</w:t>
            </w:r>
          </w:p>
        </w:tc>
        <w:tc>
          <w:tcPr>
            <w:tcW w:w="2500" w:type="dxa"/>
            <w:tcBorders>
              <w:top w:val="nil"/>
              <w:left w:val="nil"/>
              <w:bottom w:val="nil"/>
              <w:right w:val="nil"/>
            </w:tcBorders>
            <w:shd w:val="clear" w:color="auto" w:fill="E7E6E6" w:themeFill="background2"/>
            <w:vAlign w:val="center"/>
            <w:hideMark/>
          </w:tcPr>
          <w:p w14:paraId="4A7AE416" w14:textId="77777777" w:rsidR="008D2428" w:rsidRDefault="008D2428">
            <w:pPr>
              <w:spacing w:line="276" w:lineRule="auto"/>
              <w:jc w:val="center"/>
            </w:pPr>
            <w:r>
              <w:t>Estimated</w:t>
            </w:r>
          </w:p>
        </w:tc>
      </w:tr>
      <w:tr w:rsidR="008D2428" w14:paraId="6EFC1841" w14:textId="77777777" w:rsidTr="008D2428">
        <w:tc>
          <w:tcPr>
            <w:tcW w:w="1642" w:type="dxa"/>
            <w:tcBorders>
              <w:top w:val="nil"/>
              <w:left w:val="nil"/>
              <w:bottom w:val="nil"/>
              <w:right w:val="nil"/>
            </w:tcBorders>
            <w:vAlign w:val="center"/>
            <w:hideMark/>
          </w:tcPr>
          <w:p w14:paraId="23EF2DDC" w14:textId="77777777" w:rsidR="008D2428" w:rsidRDefault="008D2428">
            <w:pPr>
              <w:spacing w:line="276" w:lineRule="auto"/>
              <w:jc w:val="center"/>
              <w:rPr>
                <w:rFonts w:eastAsia="PMingLiU"/>
              </w:rPr>
            </w:pPr>
            <m:oMathPara>
              <m:oMath>
                <m:sSub>
                  <m:sSubPr>
                    <m:ctrlPr>
                      <w:rPr>
                        <w:rFonts w:ascii="Cambria Math" w:hAnsi="Cambria Math"/>
                        <w:i/>
                      </w:rPr>
                    </m:ctrlPr>
                  </m:sSubPr>
                  <m:e>
                    <m:r>
                      <w:rPr>
                        <w:rFonts w:ascii="Cambria Math" w:hAnsi="Cambria Math"/>
                      </w:rPr>
                      <m:t>t</m:t>
                    </m:r>
                  </m:e>
                  <m:sub>
                    <m:r>
                      <w:rPr>
                        <w:rFonts w:ascii="Cambria Math" w:hAnsi="Cambria Math"/>
                      </w:rPr>
                      <m:t>c</m:t>
                    </m:r>
                  </m:sub>
                </m:sSub>
              </m:oMath>
            </m:oMathPara>
          </w:p>
        </w:tc>
        <w:tc>
          <w:tcPr>
            <w:tcW w:w="4874" w:type="dxa"/>
            <w:tcBorders>
              <w:top w:val="nil"/>
              <w:left w:val="nil"/>
              <w:bottom w:val="nil"/>
              <w:right w:val="nil"/>
            </w:tcBorders>
            <w:vAlign w:val="center"/>
            <w:hideMark/>
          </w:tcPr>
          <w:p w14:paraId="29BF079F" w14:textId="77777777" w:rsidR="008D2428" w:rsidRDefault="008D2428">
            <w:pPr>
              <w:spacing w:line="276" w:lineRule="auto"/>
            </w:pPr>
            <w:r>
              <w:t>Changing time of growth rate.</w:t>
            </w:r>
          </w:p>
        </w:tc>
        <w:tc>
          <w:tcPr>
            <w:tcW w:w="2500" w:type="dxa"/>
            <w:tcBorders>
              <w:top w:val="nil"/>
              <w:left w:val="nil"/>
              <w:bottom w:val="nil"/>
              <w:right w:val="nil"/>
            </w:tcBorders>
            <w:vAlign w:val="center"/>
            <w:hideMark/>
          </w:tcPr>
          <w:p w14:paraId="2094292B" w14:textId="77777777" w:rsidR="008D2428" w:rsidRDefault="008D2428">
            <w:pPr>
              <w:spacing w:line="276" w:lineRule="auto"/>
              <w:jc w:val="center"/>
            </w:pPr>
            <w:r>
              <w:t>Estimated</w:t>
            </w:r>
          </w:p>
        </w:tc>
      </w:tr>
      <w:tr w:rsidR="008D2428" w14:paraId="1ECE06E4" w14:textId="77777777" w:rsidTr="008D2428">
        <w:tc>
          <w:tcPr>
            <w:tcW w:w="1642" w:type="dxa"/>
            <w:tcBorders>
              <w:top w:val="nil"/>
              <w:left w:val="nil"/>
              <w:bottom w:val="nil"/>
              <w:right w:val="nil"/>
            </w:tcBorders>
            <w:shd w:val="clear" w:color="auto" w:fill="E7E6E6" w:themeFill="background2"/>
            <w:vAlign w:val="center"/>
            <w:hideMark/>
          </w:tcPr>
          <w:p w14:paraId="583B7A4F"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γ</m:t>
                    </m:r>
                  </m:e>
                  <m:sub>
                    <m:r>
                      <w:rPr>
                        <w:rFonts w:ascii="Cambria Math" w:hAnsi="Cambria Math"/>
                      </w:rPr>
                      <m:t>1,j</m:t>
                    </m:r>
                  </m:sub>
                </m:sSub>
              </m:oMath>
            </m:oMathPara>
          </w:p>
        </w:tc>
        <w:tc>
          <w:tcPr>
            <w:tcW w:w="4874" w:type="dxa"/>
            <w:tcBorders>
              <w:top w:val="nil"/>
              <w:left w:val="nil"/>
              <w:bottom w:val="nil"/>
              <w:right w:val="nil"/>
            </w:tcBorders>
            <w:shd w:val="clear" w:color="auto" w:fill="E7E6E6" w:themeFill="background2"/>
            <w:vAlign w:val="center"/>
            <w:hideMark/>
          </w:tcPr>
          <w:p w14:paraId="7CD01CE9" w14:textId="77777777" w:rsidR="008D2428" w:rsidRDefault="008D2428">
            <w:pPr>
              <w:spacing w:line="276" w:lineRule="auto"/>
            </w:pPr>
            <w:r>
              <w:t xml:space="preserve">Growth rate before changing time for age group </w:t>
            </w:r>
            <m:oMath>
              <m:r>
                <w:rPr>
                  <w:rFonts w:ascii="Cambria Math" w:hAnsi="Cambria Math"/>
                </w:rPr>
                <m:t>j</m:t>
              </m:r>
            </m:oMath>
            <w:r>
              <w:t>.</w:t>
            </w:r>
          </w:p>
        </w:tc>
        <w:tc>
          <w:tcPr>
            <w:tcW w:w="2500" w:type="dxa"/>
            <w:tcBorders>
              <w:top w:val="nil"/>
              <w:left w:val="nil"/>
              <w:bottom w:val="nil"/>
              <w:right w:val="nil"/>
            </w:tcBorders>
            <w:shd w:val="clear" w:color="auto" w:fill="E7E6E6" w:themeFill="background2"/>
            <w:vAlign w:val="center"/>
            <w:hideMark/>
          </w:tcPr>
          <w:p w14:paraId="56F20C48" w14:textId="77777777" w:rsidR="008D2428" w:rsidRDefault="008D2428">
            <w:pPr>
              <w:spacing w:line="276" w:lineRule="auto"/>
              <w:jc w:val="center"/>
            </w:pPr>
            <w:r>
              <w:t>Estimated</w:t>
            </w:r>
          </w:p>
        </w:tc>
      </w:tr>
      <w:tr w:rsidR="008D2428" w14:paraId="71AF4CD4" w14:textId="77777777" w:rsidTr="008D2428">
        <w:tc>
          <w:tcPr>
            <w:tcW w:w="1642" w:type="dxa"/>
            <w:tcBorders>
              <w:top w:val="nil"/>
              <w:left w:val="nil"/>
              <w:bottom w:val="nil"/>
              <w:right w:val="nil"/>
            </w:tcBorders>
            <w:vAlign w:val="center"/>
            <w:hideMark/>
          </w:tcPr>
          <w:p w14:paraId="60EB1F69"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γ</m:t>
                    </m:r>
                  </m:e>
                  <m:sub>
                    <m:r>
                      <w:rPr>
                        <w:rFonts w:ascii="Cambria Math" w:hAnsi="Cambria Math"/>
                      </w:rPr>
                      <m:t>2,j</m:t>
                    </m:r>
                  </m:sub>
                </m:sSub>
              </m:oMath>
            </m:oMathPara>
          </w:p>
        </w:tc>
        <w:tc>
          <w:tcPr>
            <w:tcW w:w="4874" w:type="dxa"/>
            <w:tcBorders>
              <w:top w:val="nil"/>
              <w:left w:val="nil"/>
              <w:bottom w:val="nil"/>
              <w:right w:val="nil"/>
            </w:tcBorders>
            <w:vAlign w:val="center"/>
            <w:hideMark/>
          </w:tcPr>
          <w:p w14:paraId="3720DD08" w14:textId="77777777" w:rsidR="008D2428" w:rsidRDefault="008D2428">
            <w:pPr>
              <w:spacing w:line="276" w:lineRule="auto"/>
            </w:pPr>
            <w:r>
              <w:t xml:space="preserve">Growth rate on or after changing time for age group </w:t>
            </w:r>
            <m:oMath>
              <m:r>
                <w:rPr>
                  <w:rFonts w:ascii="Cambria Math" w:hAnsi="Cambria Math"/>
                </w:rPr>
                <m:t>j</m:t>
              </m:r>
            </m:oMath>
            <w:r>
              <w:t>.</w:t>
            </w:r>
          </w:p>
        </w:tc>
        <w:tc>
          <w:tcPr>
            <w:tcW w:w="2500" w:type="dxa"/>
            <w:tcBorders>
              <w:top w:val="nil"/>
              <w:left w:val="nil"/>
              <w:bottom w:val="nil"/>
              <w:right w:val="nil"/>
            </w:tcBorders>
            <w:vAlign w:val="center"/>
            <w:hideMark/>
          </w:tcPr>
          <w:p w14:paraId="02CC463D" w14:textId="77777777" w:rsidR="008D2428" w:rsidRDefault="008D2428">
            <w:pPr>
              <w:spacing w:line="276" w:lineRule="auto"/>
              <w:jc w:val="center"/>
            </w:pPr>
            <w:r>
              <w:t>Estimated</w:t>
            </w:r>
          </w:p>
        </w:tc>
      </w:tr>
      <w:tr w:rsidR="008D2428" w14:paraId="6C5BC777" w14:textId="77777777" w:rsidTr="008D2428">
        <w:tc>
          <w:tcPr>
            <w:tcW w:w="1642" w:type="dxa"/>
            <w:tcBorders>
              <w:top w:val="nil"/>
              <w:left w:val="nil"/>
              <w:bottom w:val="nil"/>
              <w:right w:val="nil"/>
            </w:tcBorders>
            <w:shd w:val="clear" w:color="auto" w:fill="E7E6E6" w:themeFill="background2"/>
            <w:vAlign w:val="center"/>
            <w:hideMark/>
          </w:tcPr>
          <w:p w14:paraId="6D234379" w14:textId="77777777" w:rsidR="008D2428" w:rsidRDefault="008D2428">
            <w:pPr>
              <w:spacing w:line="276" w:lineRule="auto"/>
              <w:jc w:val="center"/>
              <w:rPr>
                <w:rFonts w:ascii="Calibri" w:eastAsia="PMingLiU" w:hAnsi="Calibri"/>
              </w:rPr>
            </w:pPr>
            <m:oMathPara>
              <m:oMath>
                <m:sSub>
                  <m:sSubPr>
                    <m:ctrlPr>
                      <w:rPr>
                        <w:rFonts w:ascii="Cambria Math" w:hAnsi="Cambria Math"/>
                        <w:i/>
                      </w:rPr>
                    </m:ctrlPr>
                  </m:sSubPr>
                  <m:e>
                    <m:r>
                      <w:rPr>
                        <w:rFonts w:ascii="Cambria Math" w:hAnsi="Cambria Math"/>
                      </w:rPr>
                      <m:t>λ</m:t>
                    </m:r>
                  </m:e>
                  <m:sub>
                    <m:r>
                      <w:rPr>
                        <w:rFonts w:ascii="Cambria Math" w:hAnsi="Cambria Math"/>
                      </w:rPr>
                      <m:t>j</m:t>
                    </m:r>
                  </m:sub>
                </m:sSub>
              </m:oMath>
            </m:oMathPara>
          </w:p>
        </w:tc>
        <w:tc>
          <w:tcPr>
            <w:tcW w:w="4874" w:type="dxa"/>
            <w:tcBorders>
              <w:top w:val="nil"/>
              <w:left w:val="nil"/>
              <w:bottom w:val="nil"/>
              <w:right w:val="nil"/>
            </w:tcBorders>
            <w:shd w:val="clear" w:color="auto" w:fill="E7E6E6" w:themeFill="background2"/>
            <w:vAlign w:val="center"/>
            <w:hideMark/>
          </w:tcPr>
          <w:p w14:paraId="7CE05D6F" w14:textId="77777777" w:rsidR="008D2428" w:rsidRDefault="008D2428">
            <w:pPr>
              <w:spacing w:line="276" w:lineRule="auto"/>
            </w:pPr>
            <w:r>
              <w:t xml:space="preserve">Proportion of detection by the existing surveillance for infected individuals at age group </w:t>
            </w:r>
            <m:oMath>
              <m:r>
                <w:rPr>
                  <w:rFonts w:ascii="Cambria Math" w:hAnsi="Cambria Math"/>
                </w:rPr>
                <m:t>j</m:t>
              </m:r>
            </m:oMath>
            <w:r>
              <w:t>.</w:t>
            </w:r>
          </w:p>
        </w:tc>
        <w:tc>
          <w:tcPr>
            <w:tcW w:w="2500" w:type="dxa"/>
            <w:tcBorders>
              <w:top w:val="nil"/>
              <w:left w:val="nil"/>
              <w:bottom w:val="nil"/>
              <w:right w:val="nil"/>
            </w:tcBorders>
            <w:shd w:val="clear" w:color="auto" w:fill="E7E6E6" w:themeFill="background2"/>
            <w:vAlign w:val="center"/>
            <w:hideMark/>
          </w:tcPr>
          <w:p w14:paraId="466D5B7E" w14:textId="77777777" w:rsidR="008D2428" w:rsidRDefault="008D2428">
            <w:pPr>
              <w:spacing w:line="276" w:lineRule="auto"/>
              <w:jc w:val="center"/>
            </w:pPr>
            <w:r>
              <w:t>Estimated</w:t>
            </w:r>
          </w:p>
        </w:tc>
      </w:tr>
      <w:tr w:rsidR="008D2428" w14:paraId="49868E60" w14:textId="77777777" w:rsidTr="008D2428">
        <w:tc>
          <w:tcPr>
            <w:tcW w:w="1642" w:type="dxa"/>
            <w:tcBorders>
              <w:top w:val="nil"/>
              <w:left w:val="nil"/>
              <w:bottom w:val="nil"/>
              <w:right w:val="nil"/>
            </w:tcBorders>
            <w:vAlign w:val="center"/>
            <w:hideMark/>
          </w:tcPr>
          <w:p w14:paraId="18000024" w14:textId="77777777" w:rsidR="008D2428" w:rsidRDefault="008D2428">
            <w:pPr>
              <w:spacing w:line="276" w:lineRule="auto"/>
              <w:jc w:val="center"/>
              <w:rPr>
                <w:rFonts w:ascii="Calibri" w:eastAsia="PMingLiU" w:hAnsi="Calibri"/>
              </w:rPr>
            </w:pPr>
            <m:oMathPara>
              <m:oMath>
                <m:sSub>
                  <m:sSubPr>
                    <m:ctrlPr>
                      <w:rPr>
                        <w:rFonts w:ascii="Cambria Math" w:hAnsi="Cambria Math"/>
                        <w:i/>
                      </w:rPr>
                    </m:ctrlPr>
                  </m:sSubPr>
                  <m:e>
                    <m:r>
                      <w:rPr>
                        <w:rFonts w:ascii="Cambria Math" w:hAnsi="Cambria Math"/>
                      </w:rPr>
                      <m:t>p</m:t>
                    </m:r>
                  </m:e>
                  <m:sub>
                    <m:r>
                      <w:rPr>
                        <w:rFonts w:ascii="Cambria Math" w:hAnsi="Cambria Math"/>
                      </w:rPr>
                      <m:t>j</m:t>
                    </m:r>
                  </m:sub>
                </m:sSub>
              </m:oMath>
            </m:oMathPara>
          </w:p>
        </w:tc>
        <w:tc>
          <w:tcPr>
            <w:tcW w:w="4874" w:type="dxa"/>
            <w:tcBorders>
              <w:top w:val="nil"/>
              <w:left w:val="nil"/>
              <w:bottom w:val="nil"/>
              <w:right w:val="nil"/>
            </w:tcBorders>
            <w:vAlign w:val="center"/>
            <w:hideMark/>
          </w:tcPr>
          <w:p w14:paraId="53122BBC" w14:textId="77777777" w:rsidR="008D2428" w:rsidRDefault="008D2428">
            <w:pPr>
              <w:spacing w:line="276" w:lineRule="auto"/>
            </w:pPr>
            <w:r>
              <w:t xml:space="preserve">Proportion of persons participation in </w:t>
            </w:r>
            <w:r>
              <w:rPr>
                <w:rFonts w:cs="Corsiva Hebrew"/>
                <w:lang w:val="en-GB"/>
              </w:rPr>
              <w:t xml:space="preserve">the </w:t>
            </w:r>
            <w:proofErr w:type="spellStart"/>
            <w:r>
              <w:t>UCTP</w:t>
            </w:r>
            <w:proofErr w:type="spellEnd"/>
            <w:r>
              <w:t xml:space="preserve"> for age group </w:t>
            </w:r>
            <m:oMath>
              <m:r>
                <w:rPr>
                  <w:rFonts w:ascii="Cambria Math" w:hAnsi="Cambria Math"/>
                </w:rPr>
                <m:t>j</m:t>
              </m:r>
            </m:oMath>
            <w:r>
              <w:t>.</w:t>
            </w:r>
          </w:p>
        </w:tc>
        <w:tc>
          <w:tcPr>
            <w:tcW w:w="2500" w:type="dxa"/>
            <w:tcBorders>
              <w:top w:val="nil"/>
              <w:left w:val="nil"/>
              <w:bottom w:val="nil"/>
              <w:right w:val="nil"/>
            </w:tcBorders>
            <w:vAlign w:val="center"/>
            <w:hideMark/>
          </w:tcPr>
          <w:p w14:paraId="7B24B026" w14:textId="77777777" w:rsidR="008D2428" w:rsidRDefault="008D2428">
            <w:pPr>
              <w:spacing w:line="276" w:lineRule="auto"/>
              <w:jc w:val="center"/>
            </w:pPr>
            <w:r>
              <w:t xml:space="preserve">Table </w:t>
            </w:r>
            <w:proofErr w:type="spellStart"/>
            <w:r>
              <w:t>S3</w:t>
            </w:r>
            <w:proofErr w:type="spellEnd"/>
          </w:p>
        </w:tc>
      </w:tr>
      <w:tr w:rsidR="008D2428" w14:paraId="5B4DC6BD" w14:textId="77777777" w:rsidTr="008D2428">
        <w:tc>
          <w:tcPr>
            <w:tcW w:w="1642" w:type="dxa"/>
            <w:tcBorders>
              <w:top w:val="nil"/>
              <w:left w:val="nil"/>
              <w:bottom w:val="nil"/>
              <w:right w:val="nil"/>
            </w:tcBorders>
            <w:shd w:val="clear" w:color="auto" w:fill="E7E6E6" w:themeFill="background2"/>
            <w:vAlign w:val="center"/>
            <w:hideMark/>
          </w:tcPr>
          <w:p w14:paraId="4A10DA5B" w14:textId="77777777" w:rsidR="008D2428" w:rsidRDefault="008D2428">
            <w:pPr>
              <w:spacing w:line="276" w:lineRule="auto"/>
              <w:jc w:val="center"/>
              <w:rPr>
                <w:rFonts w:ascii="Calibri" w:eastAsia="PMingLiU" w:hAnsi="Calibri"/>
              </w:rPr>
            </w:pPr>
            <m:oMathPara>
              <m:oMath>
                <m:sSub>
                  <m:sSubPr>
                    <m:ctrlPr>
                      <w:rPr>
                        <w:rFonts w:ascii="Cambria Math" w:eastAsia="PMingLiU" w:hAnsi="Cambria Math"/>
                        <w:i/>
                      </w:rPr>
                    </m:ctrlPr>
                  </m:sSubPr>
                  <m:e>
                    <m:r>
                      <w:rPr>
                        <w:rFonts w:ascii="Cambria Math" w:eastAsia="PMingLiU" w:hAnsi="Cambria Math"/>
                      </w:rPr>
                      <m:t>α</m:t>
                    </m:r>
                  </m:e>
                  <m:sub>
                    <m:r>
                      <w:rPr>
                        <w:rFonts w:ascii="Cambria Math" w:eastAsia="PMingLiU" w:hAnsi="Cambria Math"/>
                      </w:rPr>
                      <m:t>j</m:t>
                    </m:r>
                  </m:sub>
                </m:sSub>
              </m:oMath>
            </m:oMathPara>
          </w:p>
        </w:tc>
        <w:tc>
          <w:tcPr>
            <w:tcW w:w="4874" w:type="dxa"/>
            <w:tcBorders>
              <w:top w:val="nil"/>
              <w:left w:val="nil"/>
              <w:bottom w:val="nil"/>
              <w:right w:val="nil"/>
            </w:tcBorders>
            <w:shd w:val="clear" w:color="auto" w:fill="E7E6E6" w:themeFill="background2"/>
            <w:vAlign w:val="center"/>
            <w:hideMark/>
          </w:tcPr>
          <w:p w14:paraId="0395BAF7" w14:textId="77777777" w:rsidR="008D2428" w:rsidRDefault="008D2428">
            <w:pPr>
              <w:spacing w:line="276" w:lineRule="auto"/>
            </w:pPr>
            <w:r>
              <w:t xml:space="preserve">Infection-fatality risk for age group </w:t>
            </w:r>
            <m:oMath>
              <m:r>
                <w:rPr>
                  <w:rFonts w:ascii="Cambria Math" w:hAnsi="Cambria Math"/>
                </w:rPr>
                <m:t>j</m:t>
              </m:r>
            </m:oMath>
            <w:r>
              <w:t>.</w:t>
            </w:r>
          </w:p>
        </w:tc>
        <w:tc>
          <w:tcPr>
            <w:tcW w:w="2500" w:type="dxa"/>
            <w:tcBorders>
              <w:top w:val="nil"/>
              <w:left w:val="nil"/>
              <w:bottom w:val="nil"/>
              <w:right w:val="nil"/>
            </w:tcBorders>
            <w:shd w:val="clear" w:color="auto" w:fill="E7E6E6" w:themeFill="background2"/>
            <w:vAlign w:val="center"/>
            <w:hideMark/>
          </w:tcPr>
          <w:p w14:paraId="22324A68" w14:textId="77777777" w:rsidR="008D2428" w:rsidRDefault="008D2428">
            <w:pPr>
              <w:spacing w:line="276" w:lineRule="auto"/>
              <w:jc w:val="center"/>
            </w:pPr>
            <w:proofErr w:type="gramStart"/>
            <w:r>
              <w:t>Estimated;</w:t>
            </w:r>
            <w:proofErr w:type="gramEnd"/>
          </w:p>
          <w:p w14:paraId="7E5D45DA" w14:textId="77777777" w:rsidR="008D2428" w:rsidRDefault="008D2428">
            <w:pPr>
              <w:spacing w:line="276" w:lineRule="auto"/>
              <w:jc w:val="center"/>
            </w:pPr>
            <w:r>
              <w:t xml:space="preserve">prior from O’Driscoll M. </w:t>
            </w:r>
            <w:r>
              <w:rPr>
                <w:i/>
                <w:iCs/>
              </w:rPr>
              <w:t>et al.</w:t>
            </w:r>
            <w:r>
              <w:t xml:space="preserve"> </w:t>
            </w:r>
            <w:r>
              <w:fldChar w:fldCharType="begin" w:fldLock="1"/>
            </w:r>
            <w:r>
              <w:instrText>ADDIN CSL_CITATION {"citationItems":[{"id":"ITEM-1","itemData":{"DOI":"10.1038/s41586-020-2918-0","ISSN":"14764687","PMID":"33137809","abstract":"Estimating the size and infection severity of the SARS-CoV-2 epidemic is made challenging by inconsistencies in available data. The number of COVID-19 deaths is often used as a key indicator for the epidemic size, but observed deaths represent only a minority of all infections1,2. Additionally, the heterogeneous burden in nursing homes and variable reporting of deaths in elderly individuals can hamper direct comparisons across countries of the underlying level of transmission and mortality rates3. Here we use age-specific COVID-19 death data from 45 countries and the results of 22 seroprevalence studies to investigate the consistency of infection and fatality patterns across multiple countries. We find that the age distribution of deaths in younger age groups (&lt;65 years) is very consistent across different settings and demonstrate how this data can provide robust estimates of the share of the population that has been infected. We estimate that the infection-to-fatality ratio (IFR) is lowest among 5-9 years old, with a log-linear increase by age among individuals older than 30 years. Population age-structures and heterogeneous burdens in nursing homes explain some but not all of the heterogeneity between countries in infection-fatality ratios. Among the 45 countries included in our analysis, we estimate approximately 5% of these populations had been infected by the 1st of September 2020, with much higher transmission likely to have occurred in a number of Latin American countries. This simple modelling framework can help countries assess the progression of the pandemic and can be applied wherever reliable age-specific death data exists.","author":[{"dropping-particle":"","family":"O’Driscoll","given":"Megan","non-dropping-particle":"","parse-names":false,"suffix":""},{"dropping-particle":"","family":"Santos","given":"Gabriel Ribeiro","non-dropping-particle":"Dos","parse-names":false,"suffix":""},{"dropping-particle":"","family":"Wang","given":"Lin","non-dropping-particle":"","parse-names":false,"suffix":""},{"dropping-particle":"","family":"Cummings","given":"Derek A.T.","non-dropping-particle":"","parse-names":false,"suffix":""},{"dropping-particle":"","family":"Azman","given":"Andrew S.","non-dropping-particle":"","parse-names":false,"suffix":""},{"dropping-particle":"","family":"Paireau","given":"Juliette","non-dropping-particle":"","parse-names":false,"suffix":""},{"dropping-particle":"","family":"Fontanet","given":"Arnaud","non-dropping-particle":"","parse-names":false,"suffix":""},{"dropping-particle":"","family":"Cauchemez","given":"Simon","non-dropping-particle":"","parse-names":false,"suffix":""},{"dropping-particle":"","family":"Salje","given":"Henrik","non-dropping-particle":"","parse-names":false,"suffix":""}],"container-title":"Nature","id":"ITEM-1","issued":{"date-parts":[["2020"]]},"title":"Age-specific mortality and immunity patterns of SARS-CoV-2","type":"article-journal"},"uris":["http://www.mendeley.com/documents/?uuid=87d4bdf3-96da-4be6-bb5e-ace05e8a337f"]}],"mendeley":{"formattedCitation":"&lt;sup&gt;15&lt;/sup&gt;","plainTextFormattedCitation":"15","previouslyFormattedCitation":"&lt;sup&gt;15&lt;/sup&gt;"},"properties":{"noteIndex":0},"schema":"https://github.com/citation-style-language/schema/raw/master/csl-citation.json"}</w:instrText>
            </w:r>
            <w:r>
              <w:fldChar w:fldCharType="separate"/>
            </w:r>
            <w:r>
              <w:rPr>
                <w:noProof/>
                <w:vertAlign w:val="superscript"/>
              </w:rPr>
              <w:t>15</w:t>
            </w:r>
            <w:r>
              <w:fldChar w:fldCharType="end"/>
            </w:r>
            <w:r>
              <w:t xml:space="preserve"> (Table </w:t>
            </w:r>
            <w:proofErr w:type="spellStart"/>
            <w:r>
              <w:t>S3</w:t>
            </w:r>
            <w:proofErr w:type="spellEnd"/>
            <w:r>
              <w:t>)</w:t>
            </w:r>
          </w:p>
        </w:tc>
      </w:tr>
      <w:tr w:rsidR="008D2428" w14:paraId="57589118" w14:textId="77777777" w:rsidTr="008D2428">
        <w:tc>
          <w:tcPr>
            <w:tcW w:w="1642" w:type="dxa"/>
            <w:tcBorders>
              <w:top w:val="nil"/>
              <w:left w:val="nil"/>
              <w:bottom w:val="nil"/>
              <w:right w:val="nil"/>
            </w:tcBorders>
            <w:shd w:val="clear" w:color="auto" w:fill="E7E6E6" w:themeFill="background2"/>
            <w:vAlign w:val="center"/>
            <w:hideMark/>
          </w:tcPr>
          <w:p w14:paraId="51CE14F4"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f</m:t>
                    </m:r>
                  </m:e>
                  <m:sub>
                    <m:r>
                      <w:rPr>
                        <w:rFonts w:ascii="Cambria Math" w:hAnsi="Cambria Math"/>
                      </w:rPr>
                      <m:t>inf→test</m:t>
                    </m:r>
                  </m:sub>
                </m:sSub>
                <m:d>
                  <m:dPr>
                    <m:ctrlPr>
                      <w:rPr>
                        <w:rFonts w:ascii="Cambria Math" w:hAnsi="Cambria Math"/>
                        <w:i/>
                      </w:rPr>
                    </m:ctrlPr>
                  </m:dPr>
                  <m:e>
                    <m:r>
                      <w:rPr>
                        <w:rFonts w:ascii="Cambria Math" w:hAnsi="Cambria Math"/>
                      </w:rPr>
                      <m:t>k</m:t>
                    </m:r>
                  </m:e>
                </m:d>
              </m:oMath>
            </m:oMathPara>
          </w:p>
        </w:tc>
        <w:tc>
          <w:tcPr>
            <w:tcW w:w="4874" w:type="dxa"/>
            <w:tcBorders>
              <w:top w:val="nil"/>
              <w:left w:val="nil"/>
              <w:bottom w:val="nil"/>
              <w:right w:val="nil"/>
            </w:tcBorders>
            <w:shd w:val="clear" w:color="auto" w:fill="E7E6E6" w:themeFill="background2"/>
            <w:vAlign w:val="center"/>
            <w:hideMark/>
          </w:tcPr>
          <w:p w14:paraId="6A06BBBD" w14:textId="77777777" w:rsidR="008D2428" w:rsidRDefault="008D2428">
            <w:pPr>
              <w:spacing w:line="276" w:lineRule="auto"/>
            </w:pPr>
            <w:r>
              <w:t>Density distribution of intervals between infection and test.</w:t>
            </w:r>
          </w:p>
        </w:tc>
        <w:tc>
          <w:tcPr>
            <w:tcW w:w="2500" w:type="dxa"/>
            <w:tcBorders>
              <w:top w:val="nil"/>
              <w:left w:val="nil"/>
              <w:bottom w:val="nil"/>
              <w:right w:val="nil"/>
            </w:tcBorders>
            <w:shd w:val="clear" w:color="auto" w:fill="E7E6E6" w:themeFill="background2"/>
            <w:vAlign w:val="center"/>
            <w:hideMark/>
          </w:tcPr>
          <w:p w14:paraId="1F5D3F78" w14:textId="77777777" w:rsidR="008D2428" w:rsidRDefault="008D2428">
            <w:pPr>
              <w:spacing w:line="276" w:lineRule="auto"/>
              <w:jc w:val="center"/>
            </w:pPr>
            <w:r>
              <w:t xml:space="preserve">Estimated from HA data (Figure </w:t>
            </w:r>
            <w:proofErr w:type="spellStart"/>
            <w:r>
              <w:t>S1</w:t>
            </w:r>
            <w:proofErr w:type="spellEnd"/>
            <w:r>
              <w:t>), ranged from 1 to 20</w:t>
            </w:r>
          </w:p>
        </w:tc>
      </w:tr>
      <w:tr w:rsidR="008D2428" w14:paraId="377DDD99" w14:textId="77777777" w:rsidTr="008D2428">
        <w:tc>
          <w:tcPr>
            <w:tcW w:w="1642" w:type="dxa"/>
            <w:tcBorders>
              <w:top w:val="nil"/>
              <w:left w:val="nil"/>
              <w:bottom w:val="nil"/>
              <w:right w:val="nil"/>
            </w:tcBorders>
            <w:vAlign w:val="center"/>
            <w:hideMark/>
          </w:tcPr>
          <w:p w14:paraId="7BC32FE4"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p</m:t>
                    </m:r>
                  </m:e>
                  <m:sub>
                    <m:r>
                      <w:rPr>
                        <w:rFonts w:ascii="Cambria Math" w:hAnsi="Cambria Math"/>
                      </w:rPr>
                      <m:t>P</m:t>
                    </m:r>
                  </m:sub>
                </m:sSub>
                <m:d>
                  <m:dPr>
                    <m:ctrlPr>
                      <w:rPr>
                        <w:rFonts w:ascii="Cambria Math" w:hAnsi="Cambria Math"/>
                        <w:i/>
                      </w:rPr>
                    </m:ctrlPr>
                  </m:dPr>
                  <m:e>
                    <m:r>
                      <w:rPr>
                        <w:rFonts w:ascii="Cambria Math" w:hAnsi="Cambria Math"/>
                      </w:rPr>
                      <m:t>k</m:t>
                    </m:r>
                  </m:e>
                </m:d>
              </m:oMath>
            </m:oMathPara>
          </w:p>
        </w:tc>
        <w:tc>
          <w:tcPr>
            <w:tcW w:w="4874" w:type="dxa"/>
            <w:tcBorders>
              <w:top w:val="nil"/>
              <w:left w:val="nil"/>
              <w:bottom w:val="nil"/>
              <w:right w:val="nil"/>
            </w:tcBorders>
            <w:vAlign w:val="center"/>
            <w:hideMark/>
          </w:tcPr>
          <w:p w14:paraId="0A11266E" w14:textId="77777777" w:rsidR="008D2428" w:rsidRDefault="008D2428">
            <w:pPr>
              <w:spacing w:line="276" w:lineRule="auto"/>
            </w:pPr>
            <w:r>
              <w:t xml:space="preserve">Test sensitivity on </w:t>
            </w:r>
            <m:oMath>
              <m:r>
                <w:rPr>
                  <w:rFonts w:ascii="Cambria Math" w:hAnsi="Cambria Math"/>
                </w:rPr>
                <m:t>k</m:t>
              </m:r>
            </m:oMath>
            <w:r>
              <w:t xml:space="preserve"> days after infections</w:t>
            </w:r>
          </w:p>
        </w:tc>
        <w:tc>
          <w:tcPr>
            <w:tcW w:w="2500" w:type="dxa"/>
            <w:tcBorders>
              <w:top w:val="nil"/>
              <w:left w:val="nil"/>
              <w:bottom w:val="nil"/>
              <w:right w:val="nil"/>
            </w:tcBorders>
            <w:vAlign w:val="center"/>
            <w:hideMark/>
          </w:tcPr>
          <w:p w14:paraId="4EFC1351" w14:textId="77777777" w:rsidR="008D2428" w:rsidRDefault="008D2428">
            <w:pPr>
              <w:spacing w:line="276" w:lineRule="auto"/>
              <w:jc w:val="center"/>
            </w:pPr>
            <w:proofErr w:type="spellStart"/>
            <w:r>
              <w:t>Hellewell</w:t>
            </w:r>
            <w:proofErr w:type="spellEnd"/>
            <w:r>
              <w:t xml:space="preserve"> J. </w:t>
            </w:r>
            <w:r>
              <w:rPr>
                <w:i/>
                <w:iCs/>
              </w:rPr>
              <w:t xml:space="preserve">et al. </w:t>
            </w:r>
            <w:r>
              <w:rPr>
                <w:i/>
                <w:iCs/>
              </w:rPr>
              <w:fldChar w:fldCharType="begin" w:fldLock="1"/>
            </w:r>
            <w:r>
              <w:rPr>
                <w:i/>
                <w:iCs/>
              </w:rPr>
              <w:instrText>ADDIN CSL_CITATION {"citationItems":[{"id":"ITEM-1","itemData":{"DOI":"10.1101/2020.11.24.20229948","abstract":"Background: Routine asymptomatic testing using RT-PCR of people who interact with vulnerable populations, such as medical staff in hospitals or care workers in care homes, has been employed to help prevent outbreaks among vulnerable populations. Although the peak sensitivity of RT-PCR can be high, the probability of detecting an infection will vary throughout the course of an infection. The effectiveness of routine asymptomatic testing will therefore depend on how testing and PCR detection varies over time. Methods: We fitted a Bayesian statistical model to a dataset of twice weekly PCR tests of UK healthcare workers performed by self-administered nasopharyngeal swab, regardless of symptoms. We jointly estimated times of infection and the probability of a positive PCR test over time following infection, then compared asymptomatic testing strategies by calculating the probability that a symptomatic infection is detected before symptom onset and the probability that an asymptomatic infection is detected within 7 days of infection. Findings: We estimated that the probability that the PCR test detected infection peaked at 77% (54 - 88%) 4 days after infection, decreasing to 50% (38 - 65%) by 10 days after infection. Our results suggest a substantially higher probability of detecting infections 1–3 days after infection than previously published estimates. We estimated that testing every other day would detect 57% (33-76%) of symptomatic cases prior to onset and 94% (75-99%) of asymptomatic cases within 7 days if test results were returned within a day. Interpretation: Our results suggest that routine asymptomatic testing can enable detection of a high proportion of infected individuals early in their infection, provided that the testing is frequent and the time from testing to notification of results is sufficiently fast. Funding: Wellcome Trust, National Institute for Health Research (NIHR) Health Protection Research Unit, Medical Research Council (UKRI).","author":[{"dropping-particle":"","family":"Hellewell","given":"Joel","non-dropping-particle":"","parse-names":false,"suffix":""},{"dropping-particle":"","family":"Russell","given":"Timothy W.","non-dropping-particle":"","parse-names":false,"suffix":""},{"dropping-particle":"","family":"Beale","given":"Rupert","non-dropping-particle":"","parse-names":false,"suffix":""},{"dropping-particle":"","family":"Kelly","given":"Gavin","non-dropping-particle":"","parse-names":false,"suffix":""},{"dropping-particle":"","family":"Houlihan","given":"Catherine","non-dropping-particle":"","parse-names":false,"suffix":""},{"dropping-particle":"","family":"Nastouli","given":"Eleni","non-dropping-particle":"","parse-names":false,"suffix":""},{"dropping-particle":"","family":"Kucharski","given":"Adam J.","non-dropping-particle":"","parse-names":false,"suffix":""}],"container-title":"medRxiv","id":"ITEM-1","issued":{"date-parts":[["2020"]]},"title":"Estimating the effectiveness of routine asymptomatic PCR testing at different frequencies for the detection of SARS-CoV-2 infections","type":"article-journal"},"uris":["http://www.mendeley.com/documents/?uuid=e974f178-4784-4652-806e-e43f04794fd8"]}],"mendeley":{"formattedCitation":"&lt;sup&gt;14&lt;/sup&gt;","plainTextFormattedCitation":"14","previouslyFormattedCitation":"&lt;sup&gt;14&lt;/sup&gt;"},"properties":{"noteIndex":0},"schema":"https://github.com/citation-style-language/schema/raw/master/csl-citation.json"}</w:instrText>
            </w:r>
            <w:r>
              <w:rPr>
                <w:i/>
                <w:iCs/>
              </w:rPr>
              <w:fldChar w:fldCharType="separate"/>
            </w:r>
            <w:r>
              <w:rPr>
                <w:iCs/>
                <w:noProof/>
                <w:vertAlign w:val="superscript"/>
              </w:rPr>
              <w:t>14</w:t>
            </w:r>
            <w:r>
              <w:rPr>
                <w:i/>
                <w:iCs/>
              </w:rPr>
              <w:fldChar w:fldCharType="end"/>
            </w:r>
          </w:p>
        </w:tc>
      </w:tr>
      <w:tr w:rsidR="008D2428" w14:paraId="5188265F" w14:textId="77777777" w:rsidTr="008D2428">
        <w:tc>
          <w:tcPr>
            <w:tcW w:w="1642" w:type="dxa"/>
            <w:tcBorders>
              <w:top w:val="nil"/>
              <w:left w:val="nil"/>
              <w:bottom w:val="single" w:sz="2" w:space="0" w:color="auto"/>
              <w:right w:val="nil"/>
            </w:tcBorders>
            <w:shd w:val="clear" w:color="auto" w:fill="E7E6E6" w:themeFill="background2"/>
            <w:vAlign w:val="center"/>
            <w:hideMark/>
          </w:tcPr>
          <w:p w14:paraId="72AB01E2" w14:textId="77777777" w:rsidR="008D2428" w:rsidRDefault="008D2428">
            <w:pPr>
              <w:spacing w:line="276" w:lineRule="auto"/>
              <w:jc w:val="center"/>
            </w:pPr>
            <m:oMathPara>
              <m:oMath>
                <m:sSub>
                  <m:sSubPr>
                    <m:ctrlPr>
                      <w:rPr>
                        <w:rFonts w:ascii="Cambria Math" w:hAnsi="Cambria Math"/>
                        <w:i/>
                      </w:rPr>
                    </m:ctrlPr>
                  </m:sSubPr>
                  <m:e>
                    <m:r>
                      <w:rPr>
                        <w:rFonts w:ascii="Cambria Math" w:hAnsi="Cambria Math"/>
                      </w:rPr>
                      <m:t>f</m:t>
                    </m:r>
                  </m:e>
                  <m:sub>
                    <m:r>
                      <w:rPr>
                        <w:rFonts w:ascii="Cambria Math" w:hAnsi="Cambria Math"/>
                      </w:rPr>
                      <m:t>test→report</m:t>
                    </m:r>
                  </m:sub>
                </m:sSub>
                <m:r>
                  <w:rPr>
                    <w:rFonts w:ascii="Cambria Math" w:hAnsi="Cambria Math"/>
                  </w:rPr>
                  <m:t>(l)</m:t>
                </m:r>
              </m:oMath>
            </m:oMathPara>
          </w:p>
        </w:tc>
        <w:tc>
          <w:tcPr>
            <w:tcW w:w="4874" w:type="dxa"/>
            <w:tcBorders>
              <w:top w:val="nil"/>
              <w:left w:val="nil"/>
              <w:bottom w:val="single" w:sz="2" w:space="0" w:color="auto"/>
              <w:right w:val="nil"/>
            </w:tcBorders>
            <w:shd w:val="clear" w:color="auto" w:fill="E7E6E6" w:themeFill="background2"/>
            <w:vAlign w:val="center"/>
            <w:hideMark/>
          </w:tcPr>
          <w:p w14:paraId="257429FF" w14:textId="77777777" w:rsidR="008D2428" w:rsidRDefault="008D2428">
            <w:pPr>
              <w:spacing w:line="276" w:lineRule="auto"/>
            </w:pPr>
            <w:r>
              <w:t>Density distribution of intervals between test and report.</w:t>
            </w:r>
          </w:p>
        </w:tc>
        <w:tc>
          <w:tcPr>
            <w:tcW w:w="2500" w:type="dxa"/>
            <w:tcBorders>
              <w:top w:val="nil"/>
              <w:left w:val="nil"/>
              <w:bottom w:val="single" w:sz="2" w:space="0" w:color="auto"/>
              <w:right w:val="nil"/>
            </w:tcBorders>
            <w:shd w:val="clear" w:color="auto" w:fill="E7E6E6" w:themeFill="background2"/>
            <w:vAlign w:val="center"/>
            <w:hideMark/>
          </w:tcPr>
          <w:p w14:paraId="747BEEE1" w14:textId="77777777" w:rsidR="008D2428" w:rsidRDefault="008D2428">
            <w:pPr>
              <w:spacing w:line="276" w:lineRule="auto"/>
              <w:jc w:val="center"/>
            </w:pPr>
            <w:r>
              <w:t xml:space="preserve">Estimated from HA data (Figure </w:t>
            </w:r>
            <w:proofErr w:type="spellStart"/>
            <w:r>
              <w:t>S1</w:t>
            </w:r>
            <w:proofErr w:type="spellEnd"/>
            <w:r>
              <w:t>), ranged from 1 to 10</w:t>
            </w:r>
          </w:p>
        </w:tc>
      </w:tr>
    </w:tbl>
    <w:p w14:paraId="6F34F56F" w14:textId="77777777" w:rsidR="008D2428" w:rsidRDefault="008D2428" w:rsidP="008D2428">
      <w:r>
        <w:br w:type="page"/>
      </w:r>
    </w:p>
    <w:p w14:paraId="5DB884E1" w14:textId="77777777" w:rsidR="008D2428" w:rsidRDefault="008D2428" w:rsidP="008D2428">
      <w:pPr>
        <w:pStyle w:val="Caption"/>
      </w:pPr>
      <w:r>
        <w:t xml:space="preserve">Table </w:t>
      </w:r>
      <w:proofErr w:type="spellStart"/>
      <w:r>
        <w:t>S3</w:t>
      </w:r>
      <w:proofErr w:type="spellEnd"/>
      <w:r>
        <w:t>. Age-specific data used for the Bayesian estimation.</w:t>
      </w:r>
    </w:p>
    <w:tbl>
      <w:tblPr>
        <w:tblStyle w:val="TableGrid"/>
        <w:tblW w:w="9923" w:type="dxa"/>
        <w:tblInd w:w="0" w:type="dxa"/>
        <w:tblBorders>
          <w:top w:val="single" w:sz="2" w:space="0" w:color="auto"/>
          <w:left w:val="none" w:sz="0" w:space="0" w:color="auto"/>
          <w:bottom w:val="single" w:sz="2"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665"/>
        <w:gridCol w:w="1666"/>
        <w:gridCol w:w="1665"/>
        <w:gridCol w:w="1666"/>
      </w:tblGrid>
      <w:tr w:rsidR="008D2428" w14:paraId="4D813712" w14:textId="77777777" w:rsidTr="008D2428">
        <w:tc>
          <w:tcPr>
            <w:tcW w:w="3261" w:type="dxa"/>
            <w:tcBorders>
              <w:top w:val="single" w:sz="2" w:space="0" w:color="auto"/>
              <w:left w:val="nil"/>
              <w:bottom w:val="single" w:sz="2" w:space="0" w:color="auto"/>
              <w:right w:val="nil"/>
            </w:tcBorders>
          </w:tcPr>
          <w:p w14:paraId="0ACE98C3" w14:textId="77777777" w:rsidR="008D2428" w:rsidRDefault="008D2428">
            <w:pPr>
              <w:jc w:val="center"/>
            </w:pPr>
          </w:p>
        </w:tc>
        <w:tc>
          <w:tcPr>
            <w:tcW w:w="1665" w:type="dxa"/>
            <w:tcBorders>
              <w:top w:val="single" w:sz="2" w:space="0" w:color="auto"/>
              <w:left w:val="nil"/>
              <w:bottom w:val="single" w:sz="2" w:space="0" w:color="auto"/>
              <w:right w:val="nil"/>
            </w:tcBorders>
            <w:hideMark/>
          </w:tcPr>
          <w:p w14:paraId="32C72F55" w14:textId="77777777" w:rsidR="008D2428" w:rsidRDefault="008D2428">
            <w:pPr>
              <w:jc w:val="center"/>
              <w:rPr>
                <w:b/>
                <w:bCs/>
              </w:rPr>
            </w:pPr>
            <w:r>
              <w:rPr>
                <w:b/>
                <w:bCs/>
              </w:rPr>
              <w:t>6-19 years</w:t>
            </w:r>
          </w:p>
        </w:tc>
        <w:tc>
          <w:tcPr>
            <w:tcW w:w="1666" w:type="dxa"/>
            <w:tcBorders>
              <w:top w:val="single" w:sz="2" w:space="0" w:color="auto"/>
              <w:left w:val="nil"/>
              <w:bottom w:val="single" w:sz="2" w:space="0" w:color="auto"/>
              <w:right w:val="nil"/>
            </w:tcBorders>
            <w:hideMark/>
          </w:tcPr>
          <w:p w14:paraId="1E6F9617" w14:textId="77777777" w:rsidR="008D2428" w:rsidRDefault="008D2428">
            <w:pPr>
              <w:jc w:val="center"/>
              <w:rPr>
                <w:b/>
                <w:bCs/>
              </w:rPr>
            </w:pPr>
            <w:r>
              <w:rPr>
                <w:b/>
                <w:bCs/>
              </w:rPr>
              <w:t>20-64 years</w:t>
            </w:r>
          </w:p>
        </w:tc>
        <w:tc>
          <w:tcPr>
            <w:tcW w:w="1665" w:type="dxa"/>
            <w:tcBorders>
              <w:top w:val="single" w:sz="2" w:space="0" w:color="auto"/>
              <w:left w:val="nil"/>
              <w:bottom w:val="single" w:sz="2" w:space="0" w:color="auto"/>
              <w:right w:val="nil"/>
            </w:tcBorders>
            <w:hideMark/>
          </w:tcPr>
          <w:p w14:paraId="39DDAB66" w14:textId="77777777" w:rsidR="008D2428" w:rsidRDefault="008D2428">
            <w:pPr>
              <w:jc w:val="center"/>
              <w:rPr>
                <w:b/>
                <w:bCs/>
              </w:rPr>
            </w:pPr>
            <w:r>
              <w:rPr>
                <w:b/>
                <w:bCs/>
              </w:rPr>
              <w:t>65-79 years</w:t>
            </w:r>
          </w:p>
        </w:tc>
        <w:tc>
          <w:tcPr>
            <w:tcW w:w="1666" w:type="dxa"/>
            <w:tcBorders>
              <w:top w:val="single" w:sz="2" w:space="0" w:color="auto"/>
              <w:left w:val="nil"/>
              <w:bottom w:val="single" w:sz="2" w:space="0" w:color="auto"/>
              <w:right w:val="nil"/>
            </w:tcBorders>
            <w:hideMark/>
          </w:tcPr>
          <w:p w14:paraId="080546FE" w14:textId="77777777" w:rsidR="008D2428" w:rsidRDefault="008D2428">
            <w:pPr>
              <w:jc w:val="center"/>
              <w:rPr>
                <w:b/>
                <w:bCs/>
              </w:rPr>
            </w:pPr>
            <m:oMath>
              <m:r>
                <m:rPr>
                  <m:sty m:val="bi"/>
                </m:rPr>
                <w:rPr>
                  <w:rFonts w:ascii="Cambria Math" w:hAnsi="Cambria Math"/>
                </w:rPr>
                <m:t>≥80</m:t>
              </m:r>
            </m:oMath>
            <w:r>
              <w:rPr>
                <w:b/>
                <w:bCs/>
              </w:rPr>
              <w:t xml:space="preserve"> years</w:t>
            </w:r>
          </w:p>
        </w:tc>
      </w:tr>
      <w:tr w:rsidR="008D2428" w14:paraId="315E2EF7" w14:textId="77777777" w:rsidTr="008D2428">
        <w:tc>
          <w:tcPr>
            <w:tcW w:w="3261" w:type="dxa"/>
            <w:tcBorders>
              <w:top w:val="single" w:sz="2" w:space="0" w:color="auto"/>
              <w:left w:val="nil"/>
              <w:bottom w:val="nil"/>
              <w:right w:val="nil"/>
            </w:tcBorders>
            <w:hideMark/>
          </w:tcPr>
          <w:p w14:paraId="712A7B3D" w14:textId="77777777" w:rsidR="008D2428" w:rsidRDefault="008D2428">
            <w:pPr>
              <w:rPr>
                <w:b/>
                <w:bCs/>
              </w:rPr>
            </w:pPr>
            <w:r>
              <w:rPr>
                <w:b/>
                <w:bCs/>
              </w:rPr>
              <w:t>Deaths (1 Jul to 30 Sep)</w:t>
            </w:r>
          </w:p>
        </w:tc>
        <w:tc>
          <w:tcPr>
            <w:tcW w:w="1665" w:type="dxa"/>
            <w:tcBorders>
              <w:top w:val="single" w:sz="2" w:space="0" w:color="auto"/>
              <w:left w:val="nil"/>
              <w:bottom w:val="nil"/>
              <w:right w:val="nil"/>
            </w:tcBorders>
            <w:hideMark/>
          </w:tcPr>
          <w:p w14:paraId="05C6BADD" w14:textId="77777777" w:rsidR="008D2428" w:rsidRDefault="008D2428">
            <w:pPr>
              <w:jc w:val="center"/>
            </w:pPr>
            <w:r>
              <w:t>0</w:t>
            </w:r>
          </w:p>
        </w:tc>
        <w:tc>
          <w:tcPr>
            <w:tcW w:w="1666" w:type="dxa"/>
            <w:tcBorders>
              <w:top w:val="single" w:sz="2" w:space="0" w:color="auto"/>
              <w:left w:val="nil"/>
              <w:bottom w:val="nil"/>
              <w:right w:val="nil"/>
            </w:tcBorders>
            <w:hideMark/>
          </w:tcPr>
          <w:p w14:paraId="33FB72BF" w14:textId="77777777" w:rsidR="008D2428" w:rsidRDefault="008D2428">
            <w:pPr>
              <w:jc w:val="center"/>
            </w:pPr>
            <w:r>
              <w:t>4</w:t>
            </w:r>
          </w:p>
        </w:tc>
        <w:tc>
          <w:tcPr>
            <w:tcW w:w="1665" w:type="dxa"/>
            <w:tcBorders>
              <w:top w:val="single" w:sz="2" w:space="0" w:color="auto"/>
              <w:left w:val="nil"/>
              <w:bottom w:val="nil"/>
              <w:right w:val="nil"/>
            </w:tcBorders>
            <w:hideMark/>
          </w:tcPr>
          <w:p w14:paraId="506DE7A5" w14:textId="77777777" w:rsidR="008D2428" w:rsidRDefault="008D2428">
            <w:pPr>
              <w:jc w:val="center"/>
            </w:pPr>
            <w:r>
              <w:t>32</w:t>
            </w:r>
          </w:p>
        </w:tc>
        <w:tc>
          <w:tcPr>
            <w:tcW w:w="1666" w:type="dxa"/>
            <w:tcBorders>
              <w:top w:val="single" w:sz="2" w:space="0" w:color="auto"/>
              <w:left w:val="nil"/>
              <w:bottom w:val="nil"/>
              <w:right w:val="nil"/>
            </w:tcBorders>
            <w:hideMark/>
          </w:tcPr>
          <w:p w14:paraId="235C921D" w14:textId="77777777" w:rsidR="008D2428" w:rsidRDefault="008D2428">
            <w:pPr>
              <w:jc w:val="center"/>
            </w:pPr>
            <w:r>
              <w:t>61</w:t>
            </w:r>
          </w:p>
        </w:tc>
      </w:tr>
      <w:tr w:rsidR="008D2428" w14:paraId="4BB8FBDD" w14:textId="77777777" w:rsidTr="008D2428">
        <w:tc>
          <w:tcPr>
            <w:tcW w:w="3261" w:type="dxa"/>
            <w:tcBorders>
              <w:top w:val="nil"/>
              <w:left w:val="nil"/>
              <w:bottom w:val="nil"/>
              <w:right w:val="nil"/>
            </w:tcBorders>
            <w:hideMark/>
          </w:tcPr>
          <w:p w14:paraId="053C77B3" w14:textId="77777777" w:rsidR="008D2428" w:rsidRDefault="008D2428">
            <w:pPr>
              <w:rPr>
                <w:b/>
                <w:bCs/>
              </w:rPr>
            </w:pPr>
            <w:r>
              <w:rPr>
                <w:b/>
                <w:bCs/>
              </w:rPr>
              <w:t xml:space="preserve">Proportion of </w:t>
            </w:r>
            <w:r>
              <w:rPr>
                <w:rFonts w:cs="Corsiva Hebrew"/>
                <w:b/>
                <w:bCs/>
                <w:lang w:val="en-GB"/>
              </w:rPr>
              <w:t xml:space="preserve">participation </w:t>
            </w:r>
            <w:r>
              <w:rPr>
                <w:b/>
                <w:bCs/>
              </w:rPr>
              <w:t xml:space="preserve">in the </w:t>
            </w:r>
            <w:proofErr w:type="spellStart"/>
            <w:r>
              <w:rPr>
                <w:b/>
                <w:bCs/>
              </w:rPr>
              <w:t>UCTP</w:t>
            </w:r>
            <w:proofErr w:type="spellEnd"/>
            <w:r>
              <w:rPr>
                <w:b/>
                <w:bCs/>
              </w:rPr>
              <w:t>, %</w:t>
            </w:r>
          </w:p>
        </w:tc>
        <w:tc>
          <w:tcPr>
            <w:tcW w:w="1665" w:type="dxa"/>
            <w:tcBorders>
              <w:top w:val="nil"/>
              <w:left w:val="nil"/>
              <w:bottom w:val="nil"/>
              <w:right w:val="nil"/>
            </w:tcBorders>
            <w:hideMark/>
          </w:tcPr>
          <w:p w14:paraId="7BC8C9D1" w14:textId="77777777" w:rsidR="008D2428" w:rsidRDefault="008D2428">
            <w:pPr>
              <w:jc w:val="center"/>
            </w:pPr>
            <w:r>
              <w:t>13.6</w:t>
            </w:r>
          </w:p>
        </w:tc>
        <w:tc>
          <w:tcPr>
            <w:tcW w:w="1666" w:type="dxa"/>
            <w:tcBorders>
              <w:top w:val="nil"/>
              <w:left w:val="nil"/>
              <w:bottom w:val="nil"/>
              <w:right w:val="nil"/>
            </w:tcBorders>
            <w:hideMark/>
          </w:tcPr>
          <w:p w14:paraId="60F3552E" w14:textId="77777777" w:rsidR="008D2428" w:rsidRDefault="008D2428">
            <w:pPr>
              <w:jc w:val="center"/>
            </w:pPr>
            <w:r>
              <w:t>25.0</w:t>
            </w:r>
          </w:p>
        </w:tc>
        <w:tc>
          <w:tcPr>
            <w:tcW w:w="1665" w:type="dxa"/>
            <w:tcBorders>
              <w:top w:val="nil"/>
              <w:left w:val="nil"/>
              <w:bottom w:val="nil"/>
              <w:right w:val="nil"/>
            </w:tcBorders>
            <w:hideMark/>
          </w:tcPr>
          <w:p w14:paraId="7217A218" w14:textId="77777777" w:rsidR="008D2428" w:rsidRDefault="008D2428">
            <w:pPr>
              <w:jc w:val="center"/>
            </w:pPr>
            <w:r>
              <w:t>36.6</w:t>
            </w:r>
          </w:p>
        </w:tc>
        <w:tc>
          <w:tcPr>
            <w:tcW w:w="1666" w:type="dxa"/>
            <w:tcBorders>
              <w:top w:val="nil"/>
              <w:left w:val="nil"/>
              <w:bottom w:val="nil"/>
              <w:right w:val="nil"/>
            </w:tcBorders>
            <w:hideMark/>
          </w:tcPr>
          <w:p w14:paraId="0FB27180" w14:textId="77777777" w:rsidR="008D2428" w:rsidRDefault="008D2428">
            <w:pPr>
              <w:jc w:val="center"/>
            </w:pPr>
            <w:r>
              <w:t>15.6</w:t>
            </w:r>
          </w:p>
        </w:tc>
      </w:tr>
      <w:tr w:rsidR="008D2428" w14:paraId="64E09939" w14:textId="77777777" w:rsidTr="008D2428">
        <w:tc>
          <w:tcPr>
            <w:tcW w:w="3261" w:type="dxa"/>
            <w:tcBorders>
              <w:top w:val="nil"/>
              <w:left w:val="nil"/>
              <w:bottom w:val="single" w:sz="2" w:space="0" w:color="auto"/>
              <w:right w:val="nil"/>
            </w:tcBorders>
            <w:hideMark/>
          </w:tcPr>
          <w:p w14:paraId="12A32840" w14:textId="77777777" w:rsidR="008D2428" w:rsidRDefault="008D2428">
            <w:pPr>
              <w:spacing w:line="276" w:lineRule="auto"/>
              <w:rPr>
                <w:b/>
                <w:bCs/>
              </w:rPr>
            </w:pPr>
            <w:r>
              <w:rPr>
                <w:b/>
                <w:bCs/>
              </w:rPr>
              <w:t>Infection-fatality risk, % (SD)</w:t>
            </w:r>
            <w:r>
              <w:rPr>
                <w:b/>
                <w:bCs/>
                <w:vertAlign w:val="superscript"/>
              </w:rPr>
              <w:t>*</w:t>
            </w:r>
            <w:r>
              <w:rPr>
                <w:b/>
                <w:bCs/>
              </w:rPr>
              <w:t xml:space="preserve"> </w:t>
            </w:r>
          </w:p>
        </w:tc>
        <w:tc>
          <w:tcPr>
            <w:tcW w:w="1665" w:type="dxa"/>
            <w:tcBorders>
              <w:top w:val="nil"/>
              <w:left w:val="nil"/>
              <w:bottom w:val="single" w:sz="2" w:space="0" w:color="auto"/>
              <w:right w:val="nil"/>
            </w:tcBorders>
            <w:hideMark/>
          </w:tcPr>
          <w:p w14:paraId="184BE65C" w14:textId="77777777" w:rsidR="008D2428" w:rsidRDefault="008D2428">
            <w:pPr>
              <w:jc w:val="center"/>
            </w:pPr>
            <w:r>
              <w:t>0.002 (0.0002)</w:t>
            </w:r>
          </w:p>
        </w:tc>
        <w:tc>
          <w:tcPr>
            <w:tcW w:w="1666" w:type="dxa"/>
            <w:tcBorders>
              <w:top w:val="nil"/>
              <w:left w:val="nil"/>
              <w:bottom w:val="single" w:sz="2" w:space="0" w:color="auto"/>
              <w:right w:val="nil"/>
            </w:tcBorders>
            <w:hideMark/>
          </w:tcPr>
          <w:p w14:paraId="32D1195C" w14:textId="77777777" w:rsidR="008D2428" w:rsidRDefault="008D2428">
            <w:pPr>
              <w:jc w:val="center"/>
            </w:pPr>
            <w:r>
              <w:t>0.152 (0.011)</w:t>
            </w:r>
          </w:p>
        </w:tc>
        <w:tc>
          <w:tcPr>
            <w:tcW w:w="1665" w:type="dxa"/>
            <w:tcBorders>
              <w:top w:val="nil"/>
              <w:left w:val="nil"/>
              <w:bottom w:val="single" w:sz="2" w:space="0" w:color="auto"/>
              <w:right w:val="nil"/>
            </w:tcBorders>
            <w:hideMark/>
          </w:tcPr>
          <w:p w14:paraId="1AC6B245" w14:textId="77777777" w:rsidR="008D2428" w:rsidRDefault="008D2428">
            <w:pPr>
              <w:jc w:val="center"/>
            </w:pPr>
            <w:r>
              <w:t>1.693 (0.148)</w:t>
            </w:r>
          </w:p>
        </w:tc>
        <w:tc>
          <w:tcPr>
            <w:tcW w:w="1666" w:type="dxa"/>
            <w:tcBorders>
              <w:top w:val="nil"/>
              <w:left w:val="nil"/>
              <w:bottom w:val="single" w:sz="2" w:space="0" w:color="auto"/>
              <w:right w:val="nil"/>
            </w:tcBorders>
            <w:hideMark/>
          </w:tcPr>
          <w:p w14:paraId="53B1BE5B" w14:textId="77777777" w:rsidR="008D2428" w:rsidRDefault="008D2428">
            <w:pPr>
              <w:jc w:val="center"/>
            </w:pPr>
            <w:r>
              <w:t>8.305 (0.887)</w:t>
            </w:r>
          </w:p>
        </w:tc>
      </w:tr>
    </w:tbl>
    <w:p w14:paraId="17631CB1" w14:textId="77777777" w:rsidR="008D2428" w:rsidRDefault="008D2428" w:rsidP="008D2428">
      <w:pPr>
        <w:spacing w:before="240"/>
        <w:rPr>
          <w:rFonts w:cs="Corsiva Hebrew"/>
          <w:lang w:val="en-GB"/>
        </w:rPr>
      </w:pPr>
      <w:r>
        <w:t xml:space="preserve">* Infection-fatality risks were calculated using the 5-year binned estimates by O’Driscoll et </w:t>
      </w:r>
      <w:proofErr w:type="spellStart"/>
      <w:r>
        <w:t>al.</w:t>
      </w:r>
      <w:r>
        <w:fldChar w:fldCharType="begin" w:fldLock="1"/>
      </w:r>
      <w:r>
        <w:instrText>ADDIN CSL_CITATION {"citationItems":[{"id":"ITEM-1","itemData":{"DOI":"10.1038/s41586-020-2918-0","ISSN":"14764687","PMID":"33137809","abstract":"Estimating the size and infection severity of the SARS-CoV-2 epidemic is made challenging by inconsistencies in available data. The number of COVID-19 deaths is often used as a key indicator for the epidemic size, but observed deaths represent only a minority of all infections1,2. Additionally, the heterogeneous burden in nursing homes and variable reporting of deaths in elderly individuals can hamper direct comparisons across countries of the underlying level of transmission and mortality rates3. Here we use age-specific COVID-19 death data from 45 countries and the results of 22 seroprevalence studies to investigate the consistency of infection and fatality patterns across multiple countries. We find that the age distribution of deaths in younger age groups (&lt;65 years) is very consistent across different settings and demonstrate how this data can provide robust estimates of the share of the population that has been infected. We estimate that the infection-to-fatality ratio (IFR) is lowest among 5-9 years old, with a log-linear increase by age among individuals older than 30 years. Population age-structures and heterogeneous burdens in nursing homes explain some but not all of the heterogeneity between countries in infection-fatality ratios. Among the 45 countries included in our analysis, we estimate approximately 5% of these populations had been infected by the 1st of September 2020, with much higher transmission likely to have occurred in a number of Latin American countries. This simple modelling framework can help countries assess the progression of the pandemic and can be applied wherever reliable age-specific death data exists.","author":[{"dropping-particle":"","family":"O’Driscoll","given":"Megan","non-dropping-particle":"","parse-names":false,"suffix":""},{"dropping-particle":"","family":"Santos","given":"Gabriel Ribeiro","non-dropping-particle":"Dos","parse-names":false,"suffix":""},{"dropping-particle":"","family":"Wang","given":"Lin","non-dropping-particle":"","parse-names":false,"suffix":""},{"dropping-particle":"","family":"Cummings","given":"Derek A.T.","non-dropping-particle":"","parse-names":false,"suffix":""},{"dropping-particle":"","family":"Azman","given":"Andrew S.","non-dropping-particle":"","parse-names":false,"suffix":""},{"dropping-particle":"","family":"Paireau","given":"Juliette","non-dropping-particle":"","parse-names":false,"suffix":""},{"dropping-particle":"","family":"Fontanet","given":"Arnaud","non-dropping-particle":"","parse-names":false,"suffix":""},{"dropping-particle":"","family":"Cauchemez","given":"Simon","non-dropping-particle":"","parse-names":false,"suffix":""},{"dropping-particle":"","family":"Salje","given":"Henrik","non-dropping-particle":"","parse-names":false,"suffix":""}],"container-title":"Nature","id":"ITEM-1","issued":{"date-parts":[["2020"]]},"title":"Age-specific mortality and immunity patterns of SARS-CoV-2","type":"article-journal"},"uris":["http://www.mendeley.com/documents/?uuid=87d4bdf3-96da-4be6-bb5e-ace05e8a337f"]}],"mendeley":{"formattedCitation":"&lt;sup&gt;15&lt;/sup&gt;","plainTextFormattedCitation":"15","previouslyFormattedCitation":"&lt;sup&gt;15&lt;/sup&gt;"},"properties":{"noteIndex":0},"schema":"https://github.com/citation-style-language/schema/raw/master/csl-citation.json"}</w:instrText>
      </w:r>
      <w:r>
        <w:fldChar w:fldCharType="separate"/>
      </w:r>
      <w:r>
        <w:rPr>
          <w:noProof/>
          <w:vertAlign w:val="superscript"/>
        </w:rPr>
        <w:t>15</w:t>
      </w:r>
      <w:proofErr w:type="spellEnd"/>
      <w:r>
        <w:fldChar w:fldCharType="end"/>
      </w:r>
      <w:r>
        <w:t>, and weighted by the population structure in Hong Kong (details in Appendix).</w:t>
      </w:r>
      <w:r>
        <w:rPr>
          <w:rFonts w:cs="Corsiva Hebrew"/>
          <w:lang w:val="en-GB"/>
        </w:rPr>
        <w:br w:type="page"/>
      </w:r>
    </w:p>
    <w:p w14:paraId="505064E0" w14:textId="77777777" w:rsidR="008D2428" w:rsidRDefault="008D2428" w:rsidP="008D2428">
      <w:pPr>
        <w:pStyle w:val="Caption"/>
      </w:pPr>
      <w:r>
        <w:t xml:space="preserve">Table </w:t>
      </w:r>
      <w:proofErr w:type="spellStart"/>
      <w:r>
        <w:t>S4</w:t>
      </w:r>
      <w:proofErr w:type="spellEnd"/>
      <w:r>
        <w:t>. Distribution of multiple tests among participants.</w:t>
      </w:r>
    </w:p>
    <w:tbl>
      <w:tblPr>
        <w:tblW w:w="6799" w:type="dxa"/>
        <w:tblBorders>
          <w:top w:val="single" w:sz="2" w:space="0" w:color="auto"/>
        </w:tblBorders>
        <w:tblLook w:val="04A0" w:firstRow="1" w:lastRow="0" w:firstColumn="1" w:lastColumn="0" w:noHBand="0" w:noVBand="1"/>
      </w:tblPr>
      <w:tblGrid>
        <w:gridCol w:w="2689"/>
        <w:gridCol w:w="2409"/>
        <w:gridCol w:w="1701"/>
      </w:tblGrid>
      <w:tr w:rsidR="008D2428" w14:paraId="7FC05EBB" w14:textId="77777777" w:rsidTr="008D2428">
        <w:trPr>
          <w:trHeight w:val="320"/>
        </w:trPr>
        <w:tc>
          <w:tcPr>
            <w:tcW w:w="2689" w:type="dxa"/>
            <w:tcBorders>
              <w:top w:val="single" w:sz="2" w:space="0" w:color="auto"/>
              <w:left w:val="nil"/>
              <w:bottom w:val="single" w:sz="2" w:space="0" w:color="auto"/>
              <w:right w:val="nil"/>
            </w:tcBorders>
            <w:noWrap/>
            <w:hideMark/>
          </w:tcPr>
          <w:p w14:paraId="373AD685" w14:textId="77777777" w:rsidR="008D2428" w:rsidRDefault="008D2428">
            <w:pPr>
              <w:jc w:val="center"/>
              <w:rPr>
                <w:b/>
                <w:bCs/>
                <w:color w:val="000000"/>
                <w:sz w:val="22"/>
                <w:szCs w:val="22"/>
              </w:rPr>
            </w:pPr>
            <w:r>
              <w:rPr>
                <w:b/>
                <w:bCs/>
                <w:color w:val="000000"/>
                <w:sz w:val="22"/>
                <w:szCs w:val="22"/>
              </w:rPr>
              <w:t xml:space="preserve">Number of tests received </w:t>
            </w:r>
          </w:p>
        </w:tc>
        <w:tc>
          <w:tcPr>
            <w:tcW w:w="2409" w:type="dxa"/>
            <w:tcBorders>
              <w:top w:val="single" w:sz="2" w:space="0" w:color="auto"/>
              <w:left w:val="nil"/>
              <w:bottom w:val="single" w:sz="2" w:space="0" w:color="auto"/>
              <w:right w:val="nil"/>
            </w:tcBorders>
            <w:noWrap/>
            <w:hideMark/>
          </w:tcPr>
          <w:p w14:paraId="67446A6E" w14:textId="77777777" w:rsidR="008D2428" w:rsidRDefault="008D2428">
            <w:pPr>
              <w:jc w:val="center"/>
              <w:rPr>
                <w:b/>
                <w:bCs/>
                <w:color w:val="000000"/>
                <w:sz w:val="22"/>
                <w:szCs w:val="22"/>
              </w:rPr>
            </w:pPr>
            <w:r>
              <w:rPr>
                <w:b/>
                <w:bCs/>
                <w:color w:val="000000"/>
                <w:sz w:val="22"/>
                <w:szCs w:val="22"/>
              </w:rPr>
              <w:t>Number of individuals</w:t>
            </w:r>
          </w:p>
        </w:tc>
        <w:tc>
          <w:tcPr>
            <w:tcW w:w="1701" w:type="dxa"/>
            <w:tcBorders>
              <w:top w:val="single" w:sz="2" w:space="0" w:color="auto"/>
              <w:left w:val="nil"/>
              <w:bottom w:val="single" w:sz="2" w:space="0" w:color="auto"/>
              <w:right w:val="nil"/>
            </w:tcBorders>
            <w:hideMark/>
          </w:tcPr>
          <w:p w14:paraId="46B3EE0E" w14:textId="77777777" w:rsidR="008D2428" w:rsidRDefault="008D2428">
            <w:pPr>
              <w:jc w:val="center"/>
              <w:rPr>
                <w:b/>
                <w:bCs/>
                <w:color w:val="000000"/>
                <w:sz w:val="22"/>
                <w:szCs w:val="22"/>
              </w:rPr>
            </w:pPr>
            <w:r>
              <w:rPr>
                <w:b/>
                <w:bCs/>
                <w:color w:val="000000"/>
                <w:sz w:val="22"/>
                <w:szCs w:val="22"/>
              </w:rPr>
              <w:t>Proportion (%)</w:t>
            </w:r>
          </w:p>
        </w:tc>
      </w:tr>
      <w:tr w:rsidR="008D2428" w14:paraId="79DBBCC8" w14:textId="77777777" w:rsidTr="008D2428">
        <w:trPr>
          <w:trHeight w:val="320"/>
        </w:trPr>
        <w:tc>
          <w:tcPr>
            <w:tcW w:w="2689" w:type="dxa"/>
            <w:tcBorders>
              <w:top w:val="single" w:sz="2" w:space="0" w:color="auto"/>
              <w:left w:val="nil"/>
              <w:bottom w:val="nil"/>
              <w:right w:val="nil"/>
            </w:tcBorders>
            <w:noWrap/>
            <w:hideMark/>
          </w:tcPr>
          <w:p w14:paraId="11FF2F5C" w14:textId="77777777" w:rsidR="008D2428" w:rsidRDefault="008D2428">
            <w:pPr>
              <w:jc w:val="center"/>
              <w:rPr>
                <w:color w:val="000000"/>
                <w:sz w:val="22"/>
                <w:szCs w:val="22"/>
              </w:rPr>
            </w:pPr>
            <w:r>
              <w:rPr>
                <w:color w:val="000000"/>
                <w:sz w:val="22"/>
                <w:szCs w:val="22"/>
              </w:rPr>
              <w:t>1</w:t>
            </w:r>
          </w:p>
        </w:tc>
        <w:tc>
          <w:tcPr>
            <w:tcW w:w="2409" w:type="dxa"/>
            <w:tcBorders>
              <w:top w:val="single" w:sz="2" w:space="0" w:color="auto"/>
              <w:left w:val="nil"/>
              <w:bottom w:val="nil"/>
              <w:right w:val="nil"/>
            </w:tcBorders>
            <w:noWrap/>
            <w:hideMark/>
          </w:tcPr>
          <w:p w14:paraId="05C8A6FB" w14:textId="77777777" w:rsidR="008D2428" w:rsidRDefault="008D2428">
            <w:pPr>
              <w:jc w:val="right"/>
              <w:rPr>
                <w:color w:val="000000"/>
                <w:sz w:val="22"/>
                <w:szCs w:val="22"/>
              </w:rPr>
            </w:pPr>
            <w:r>
              <w:rPr>
                <w:color w:val="000000"/>
                <w:sz w:val="22"/>
                <w:szCs w:val="22"/>
              </w:rPr>
              <w:t>1,748,521</w:t>
            </w:r>
          </w:p>
        </w:tc>
        <w:tc>
          <w:tcPr>
            <w:tcW w:w="1701" w:type="dxa"/>
            <w:tcBorders>
              <w:top w:val="single" w:sz="2" w:space="0" w:color="auto"/>
              <w:left w:val="nil"/>
              <w:bottom w:val="nil"/>
              <w:right w:val="nil"/>
            </w:tcBorders>
            <w:hideMark/>
          </w:tcPr>
          <w:p w14:paraId="7DBA9464" w14:textId="77777777" w:rsidR="008D2428" w:rsidRDefault="008D2428">
            <w:pPr>
              <w:jc w:val="right"/>
              <w:rPr>
                <w:color w:val="000000"/>
                <w:sz w:val="22"/>
                <w:szCs w:val="22"/>
              </w:rPr>
            </w:pPr>
            <w:r>
              <w:rPr>
                <w:color w:val="000000"/>
                <w:sz w:val="22"/>
                <w:szCs w:val="22"/>
              </w:rPr>
              <w:t>99</w:t>
            </w:r>
          </w:p>
        </w:tc>
      </w:tr>
      <w:tr w:rsidR="008D2428" w14:paraId="425EBF3E" w14:textId="77777777" w:rsidTr="008D2428">
        <w:trPr>
          <w:trHeight w:val="320"/>
        </w:trPr>
        <w:tc>
          <w:tcPr>
            <w:tcW w:w="2689" w:type="dxa"/>
            <w:tcBorders>
              <w:top w:val="nil"/>
              <w:left w:val="nil"/>
              <w:bottom w:val="nil"/>
              <w:right w:val="nil"/>
            </w:tcBorders>
            <w:noWrap/>
            <w:hideMark/>
          </w:tcPr>
          <w:p w14:paraId="7DE6399E" w14:textId="77777777" w:rsidR="008D2428" w:rsidRDefault="008D2428">
            <w:pPr>
              <w:jc w:val="center"/>
              <w:rPr>
                <w:color w:val="000000"/>
                <w:sz w:val="22"/>
                <w:szCs w:val="22"/>
              </w:rPr>
            </w:pPr>
            <w:r>
              <w:rPr>
                <w:color w:val="000000"/>
                <w:sz w:val="22"/>
                <w:szCs w:val="22"/>
              </w:rPr>
              <w:t>2</w:t>
            </w:r>
          </w:p>
        </w:tc>
        <w:tc>
          <w:tcPr>
            <w:tcW w:w="2409" w:type="dxa"/>
            <w:tcBorders>
              <w:top w:val="nil"/>
              <w:left w:val="nil"/>
              <w:bottom w:val="nil"/>
              <w:right w:val="nil"/>
            </w:tcBorders>
            <w:noWrap/>
            <w:hideMark/>
          </w:tcPr>
          <w:p w14:paraId="043D5112" w14:textId="77777777" w:rsidR="008D2428" w:rsidRDefault="008D2428">
            <w:pPr>
              <w:jc w:val="right"/>
              <w:rPr>
                <w:color w:val="000000"/>
                <w:sz w:val="22"/>
                <w:szCs w:val="22"/>
              </w:rPr>
            </w:pPr>
            <w:r>
              <w:rPr>
                <w:color w:val="000000"/>
                <w:sz w:val="22"/>
                <w:szCs w:val="22"/>
              </w:rPr>
              <w:t>16,448</w:t>
            </w:r>
          </w:p>
        </w:tc>
        <w:tc>
          <w:tcPr>
            <w:tcW w:w="1701" w:type="dxa"/>
            <w:tcBorders>
              <w:top w:val="nil"/>
              <w:left w:val="nil"/>
              <w:bottom w:val="nil"/>
              <w:right w:val="nil"/>
            </w:tcBorders>
            <w:hideMark/>
          </w:tcPr>
          <w:p w14:paraId="3F5BDDF4" w14:textId="77777777" w:rsidR="008D2428" w:rsidRDefault="008D2428">
            <w:pPr>
              <w:jc w:val="right"/>
              <w:rPr>
                <w:color w:val="000000"/>
                <w:sz w:val="22"/>
                <w:szCs w:val="22"/>
              </w:rPr>
            </w:pPr>
            <w:r>
              <w:rPr>
                <w:color w:val="000000"/>
                <w:sz w:val="22"/>
                <w:szCs w:val="22"/>
              </w:rPr>
              <w:t>0.9</w:t>
            </w:r>
          </w:p>
        </w:tc>
      </w:tr>
      <w:tr w:rsidR="008D2428" w14:paraId="2F5F680D" w14:textId="77777777" w:rsidTr="008D2428">
        <w:trPr>
          <w:trHeight w:val="320"/>
        </w:trPr>
        <w:tc>
          <w:tcPr>
            <w:tcW w:w="2689" w:type="dxa"/>
            <w:tcBorders>
              <w:top w:val="nil"/>
              <w:left w:val="nil"/>
              <w:bottom w:val="nil"/>
              <w:right w:val="nil"/>
            </w:tcBorders>
            <w:noWrap/>
            <w:hideMark/>
          </w:tcPr>
          <w:p w14:paraId="47DB930D" w14:textId="77777777" w:rsidR="008D2428" w:rsidRDefault="008D2428">
            <w:pPr>
              <w:jc w:val="center"/>
              <w:rPr>
                <w:color w:val="000000"/>
                <w:sz w:val="22"/>
                <w:szCs w:val="22"/>
              </w:rPr>
            </w:pPr>
            <w:r>
              <w:rPr>
                <w:color w:val="000000"/>
                <w:sz w:val="22"/>
                <w:szCs w:val="22"/>
              </w:rPr>
              <w:t>3</w:t>
            </w:r>
          </w:p>
        </w:tc>
        <w:tc>
          <w:tcPr>
            <w:tcW w:w="2409" w:type="dxa"/>
            <w:tcBorders>
              <w:top w:val="nil"/>
              <w:left w:val="nil"/>
              <w:bottom w:val="nil"/>
              <w:right w:val="nil"/>
            </w:tcBorders>
            <w:noWrap/>
            <w:hideMark/>
          </w:tcPr>
          <w:p w14:paraId="4DA53848" w14:textId="77777777" w:rsidR="008D2428" w:rsidRDefault="008D2428">
            <w:pPr>
              <w:jc w:val="right"/>
              <w:rPr>
                <w:color w:val="000000"/>
                <w:sz w:val="22"/>
                <w:szCs w:val="22"/>
              </w:rPr>
            </w:pPr>
            <w:r>
              <w:rPr>
                <w:color w:val="000000"/>
                <w:sz w:val="22"/>
                <w:szCs w:val="22"/>
              </w:rPr>
              <w:t>517</w:t>
            </w:r>
          </w:p>
        </w:tc>
        <w:tc>
          <w:tcPr>
            <w:tcW w:w="1701" w:type="dxa"/>
            <w:tcBorders>
              <w:top w:val="nil"/>
              <w:left w:val="nil"/>
              <w:bottom w:val="nil"/>
              <w:right w:val="nil"/>
            </w:tcBorders>
            <w:hideMark/>
          </w:tcPr>
          <w:p w14:paraId="566D04D6" w14:textId="77777777" w:rsidR="008D2428" w:rsidRDefault="008D2428">
            <w:pPr>
              <w:jc w:val="right"/>
              <w:rPr>
                <w:color w:val="000000"/>
                <w:sz w:val="22"/>
                <w:szCs w:val="22"/>
              </w:rPr>
            </w:pPr>
            <w:r>
              <w:rPr>
                <w:color w:val="000000"/>
                <w:sz w:val="22"/>
                <w:szCs w:val="22"/>
              </w:rPr>
              <w:t>0.02</w:t>
            </w:r>
          </w:p>
        </w:tc>
      </w:tr>
      <w:tr w:rsidR="008D2428" w14:paraId="4ECB1AC8" w14:textId="77777777" w:rsidTr="008D2428">
        <w:trPr>
          <w:trHeight w:val="320"/>
        </w:trPr>
        <w:tc>
          <w:tcPr>
            <w:tcW w:w="2689" w:type="dxa"/>
            <w:tcBorders>
              <w:top w:val="nil"/>
              <w:left w:val="nil"/>
              <w:bottom w:val="nil"/>
              <w:right w:val="nil"/>
            </w:tcBorders>
            <w:noWrap/>
            <w:hideMark/>
          </w:tcPr>
          <w:p w14:paraId="7A277A2F" w14:textId="77777777" w:rsidR="008D2428" w:rsidRDefault="008D2428">
            <w:pPr>
              <w:jc w:val="center"/>
              <w:rPr>
                <w:color w:val="000000"/>
                <w:sz w:val="22"/>
                <w:szCs w:val="22"/>
              </w:rPr>
            </w:pPr>
            <w:r>
              <w:rPr>
                <w:color w:val="000000"/>
                <w:sz w:val="22"/>
                <w:szCs w:val="22"/>
              </w:rPr>
              <w:t>4</w:t>
            </w:r>
          </w:p>
        </w:tc>
        <w:tc>
          <w:tcPr>
            <w:tcW w:w="2409" w:type="dxa"/>
            <w:tcBorders>
              <w:top w:val="nil"/>
              <w:left w:val="nil"/>
              <w:bottom w:val="nil"/>
              <w:right w:val="nil"/>
            </w:tcBorders>
            <w:noWrap/>
            <w:hideMark/>
          </w:tcPr>
          <w:p w14:paraId="57875782" w14:textId="77777777" w:rsidR="008D2428" w:rsidRDefault="008D2428">
            <w:pPr>
              <w:jc w:val="right"/>
              <w:rPr>
                <w:color w:val="000000"/>
                <w:sz w:val="22"/>
                <w:szCs w:val="22"/>
              </w:rPr>
            </w:pPr>
            <w:r>
              <w:rPr>
                <w:color w:val="000000"/>
                <w:sz w:val="22"/>
                <w:szCs w:val="22"/>
              </w:rPr>
              <w:t>57</w:t>
            </w:r>
          </w:p>
        </w:tc>
        <w:tc>
          <w:tcPr>
            <w:tcW w:w="1701" w:type="dxa"/>
            <w:tcBorders>
              <w:top w:val="nil"/>
              <w:left w:val="nil"/>
              <w:bottom w:val="nil"/>
              <w:right w:val="nil"/>
            </w:tcBorders>
            <w:hideMark/>
          </w:tcPr>
          <w:p w14:paraId="7E34E892" w14:textId="77777777" w:rsidR="008D2428" w:rsidRDefault="008D2428">
            <w:pPr>
              <w:jc w:val="right"/>
              <w:rPr>
                <w:color w:val="000000"/>
                <w:sz w:val="22"/>
                <w:szCs w:val="22"/>
              </w:rPr>
            </w:pPr>
            <w:r>
              <w:rPr>
                <w:color w:val="000000"/>
                <w:sz w:val="22"/>
                <w:szCs w:val="22"/>
              </w:rPr>
              <w:t>0.003</w:t>
            </w:r>
          </w:p>
        </w:tc>
      </w:tr>
      <w:tr w:rsidR="008D2428" w14:paraId="4FDF2E81" w14:textId="77777777" w:rsidTr="008D2428">
        <w:trPr>
          <w:trHeight w:val="320"/>
        </w:trPr>
        <w:tc>
          <w:tcPr>
            <w:tcW w:w="2689" w:type="dxa"/>
            <w:tcBorders>
              <w:top w:val="nil"/>
              <w:left w:val="nil"/>
              <w:bottom w:val="nil"/>
              <w:right w:val="nil"/>
            </w:tcBorders>
            <w:noWrap/>
            <w:hideMark/>
          </w:tcPr>
          <w:p w14:paraId="60CF3A4E" w14:textId="77777777" w:rsidR="008D2428" w:rsidRDefault="008D2428">
            <w:pPr>
              <w:jc w:val="center"/>
              <w:rPr>
                <w:color w:val="000000"/>
                <w:sz w:val="22"/>
                <w:szCs w:val="22"/>
              </w:rPr>
            </w:pPr>
            <w:r>
              <w:rPr>
                <w:color w:val="000000"/>
                <w:sz w:val="22"/>
                <w:szCs w:val="22"/>
              </w:rPr>
              <w:t>5</w:t>
            </w:r>
          </w:p>
        </w:tc>
        <w:tc>
          <w:tcPr>
            <w:tcW w:w="2409" w:type="dxa"/>
            <w:tcBorders>
              <w:top w:val="nil"/>
              <w:left w:val="nil"/>
              <w:bottom w:val="nil"/>
              <w:right w:val="nil"/>
            </w:tcBorders>
            <w:noWrap/>
            <w:hideMark/>
          </w:tcPr>
          <w:p w14:paraId="08FC9F67" w14:textId="77777777" w:rsidR="008D2428" w:rsidRDefault="008D2428">
            <w:pPr>
              <w:jc w:val="right"/>
              <w:rPr>
                <w:color w:val="000000"/>
                <w:sz w:val="22"/>
                <w:szCs w:val="22"/>
              </w:rPr>
            </w:pPr>
            <w:r>
              <w:rPr>
                <w:color w:val="000000"/>
                <w:sz w:val="22"/>
                <w:szCs w:val="22"/>
              </w:rPr>
              <w:t>4</w:t>
            </w:r>
          </w:p>
        </w:tc>
        <w:tc>
          <w:tcPr>
            <w:tcW w:w="1701" w:type="dxa"/>
            <w:tcBorders>
              <w:top w:val="nil"/>
              <w:left w:val="nil"/>
              <w:bottom w:val="nil"/>
              <w:right w:val="nil"/>
            </w:tcBorders>
            <w:hideMark/>
          </w:tcPr>
          <w:p w14:paraId="5E7BD675" w14:textId="77777777" w:rsidR="008D2428" w:rsidRDefault="008D2428">
            <w:pPr>
              <w:jc w:val="right"/>
              <w:rPr>
                <w:color w:val="000000"/>
                <w:sz w:val="22"/>
                <w:szCs w:val="22"/>
              </w:rPr>
            </w:pPr>
            <w:r>
              <w:rPr>
                <w:color w:val="000000"/>
                <w:sz w:val="22"/>
                <w:szCs w:val="22"/>
              </w:rPr>
              <w:t>0.0002</w:t>
            </w:r>
          </w:p>
        </w:tc>
      </w:tr>
      <w:tr w:rsidR="008D2428" w14:paraId="77401F47" w14:textId="77777777" w:rsidTr="008D2428">
        <w:trPr>
          <w:trHeight w:val="320"/>
        </w:trPr>
        <w:tc>
          <w:tcPr>
            <w:tcW w:w="2689" w:type="dxa"/>
            <w:tcBorders>
              <w:top w:val="nil"/>
              <w:left w:val="nil"/>
              <w:bottom w:val="nil"/>
              <w:right w:val="nil"/>
            </w:tcBorders>
            <w:noWrap/>
            <w:hideMark/>
          </w:tcPr>
          <w:p w14:paraId="4007E933" w14:textId="77777777" w:rsidR="008D2428" w:rsidRDefault="008D2428">
            <w:pPr>
              <w:jc w:val="center"/>
              <w:rPr>
                <w:color w:val="000000"/>
                <w:sz w:val="22"/>
                <w:szCs w:val="22"/>
              </w:rPr>
            </w:pPr>
            <w:r>
              <w:rPr>
                <w:color w:val="000000"/>
                <w:sz w:val="22"/>
                <w:szCs w:val="22"/>
              </w:rPr>
              <w:t>6</w:t>
            </w:r>
          </w:p>
        </w:tc>
        <w:tc>
          <w:tcPr>
            <w:tcW w:w="2409" w:type="dxa"/>
            <w:tcBorders>
              <w:top w:val="nil"/>
              <w:left w:val="nil"/>
              <w:bottom w:val="nil"/>
              <w:right w:val="nil"/>
            </w:tcBorders>
            <w:noWrap/>
            <w:hideMark/>
          </w:tcPr>
          <w:p w14:paraId="0A8A174E" w14:textId="77777777" w:rsidR="008D2428" w:rsidRDefault="008D2428">
            <w:pPr>
              <w:jc w:val="right"/>
              <w:rPr>
                <w:color w:val="000000"/>
                <w:sz w:val="22"/>
                <w:szCs w:val="22"/>
              </w:rPr>
            </w:pPr>
            <w:r>
              <w:rPr>
                <w:color w:val="000000"/>
                <w:sz w:val="22"/>
                <w:szCs w:val="22"/>
              </w:rPr>
              <w:t>1</w:t>
            </w:r>
          </w:p>
        </w:tc>
        <w:tc>
          <w:tcPr>
            <w:tcW w:w="1701" w:type="dxa"/>
            <w:tcBorders>
              <w:top w:val="nil"/>
              <w:left w:val="nil"/>
              <w:bottom w:val="nil"/>
              <w:right w:val="nil"/>
            </w:tcBorders>
            <w:hideMark/>
          </w:tcPr>
          <w:p w14:paraId="6EACD3A4" w14:textId="77777777" w:rsidR="008D2428" w:rsidRDefault="008D2428">
            <w:pPr>
              <w:jc w:val="right"/>
              <w:rPr>
                <w:color w:val="000000"/>
                <w:sz w:val="22"/>
                <w:szCs w:val="22"/>
              </w:rPr>
            </w:pPr>
            <w:r>
              <w:rPr>
                <w:color w:val="000000"/>
                <w:sz w:val="22"/>
                <w:szCs w:val="22"/>
              </w:rPr>
              <w:t>&lt;0.0001</w:t>
            </w:r>
          </w:p>
        </w:tc>
      </w:tr>
      <w:tr w:rsidR="008D2428" w14:paraId="3E1F4D52" w14:textId="77777777" w:rsidTr="008D2428">
        <w:trPr>
          <w:trHeight w:val="320"/>
        </w:trPr>
        <w:tc>
          <w:tcPr>
            <w:tcW w:w="2689" w:type="dxa"/>
            <w:tcBorders>
              <w:top w:val="nil"/>
              <w:left w:val="nil"/>
              <w:bottom w:val="nil"/>
              <w:right w:val="nil"/>
            </w:tcBorders>
            <w:noWrap/>
            <w:hideMark/>
          </w:tcPr>
          <w:p w14:paraId="71FCEBCA" w14:textId="77777777" w:rsidR="008D2428" w:rsidRDefault="008D2428">
            <w:pPr>
              <w:jc w:val="center"/>
              <w:rPr>
                <w:color w:val="000000"/>
                <w:sz w:val="22"/>
                <w:szCs w:val="22"/>
              </w:rPr>
            </w:pPr>
            <w:r>
              <w:rPr>
                <w:color w:val="000000"/>
                <w:sz w:val="22"/>
                <w:szCs w:val="22"/>
              </w:rPr>
              <w:t>10</w:t>
            </w:r>
          </w:p>
        </w:tc>
        <w:tc>
          <w:tcPr>
            <w:tcW w:w="2409" w:type="dxa"/>
            <w:tcBorders>
              <w:top w:val="nil"/>
              <w:left w:val="nil"/>
              <w:bottom w:val="nil"/>
              <w:right w:val="nil"/>
            </w:tcBorders>
            <w:noWrap/>
            <w:hideMark/>
          </w:tcPr>
          <w:p w14:paraId="0EEE8E1C" w14:textId="77777777" w:rsidR="008D2428" w:rsidRDefault="008D2428">
            <w:pPr>
              <w:jc w:val="right"/>
              <w:rPr>
                <w:color w:val="000000"/>
                <w:sz w:val="22"/>
                <w:szCs w:val="22"/>
              </w:rPr>
            </w:pPr>
            <w:r>
              <w:rPr>
                <w:color w:val="000000"/>
                <w:sz w:val="22"/>
                <w:szCs w:val="22"/>
              </w:rPr>
              <w:t>1</w:t>
            </w:r>
          </w:p>
        </w:tc>
        <w:tc>
          <w:tcPr>
            <w:tcW w:w="1701" w:type="dxa"/>
            <w:tcBorders>
              <w:top w:val="nil"/>
              <w:left w:val="nil"/>
              <w:bottom w:val="nil"/>
              <w:right w:val="nil"/>
            </w:tcBorders>
            <w:hideMark/>
          </w:tcPr>
          <w:p w14:paraId="70CE8709" w14:textId="77777777" w:rsidR="008D2428" w:rsidRDefault="008D2428">
            <w:pPr>
              <w:jc w:val="right"/>
              <w:rPr>
                <w:color w:val="000000"/>
                <w:sz w:val="22"/>
                <w:szCs w:val="22"/>
              </w:rPr>
            </w:pPr>
            <w:r>
              <w:rPr>
                <w:color w:val="000000"/>
                <w:sz w:val="22"/>
                <w:szCs w:val="22"/>
              </w:rPr>
              <w:t>&lt;0.0001</w:t>
            </w:r>
          </w:p>
        </w:tc>
      </w:tr>
      <w:tr w:rsidR="008D2428" w14:paraId="2376AFE0" w14:textId="77777777" w:rsidTr="008D2428">
        <w:trPr>
          <w:trHeight w:val="320"/>
        </w:trPr>
        <w:tc>
          <w:tcPr>
            <w:tcW w:w="2689" w:type="dxa"/>
            <w:tcBorders>
              <w:top w:val="nil"/>
              <w:left w:val="nil"/>
              <w:bottom w:val="single" w:sz="2" w:space="0" w:color="auto"/>
              <w:right w:val="nil"/>
            </w:tcBorders>
            <w:noWrap/>
            <w:hideMark/>
          </w:tcPr>
          <w:p w14:paraId="51E60FBD" w14:textId="77777777" w:rsidR="008D2428" w:rsidRDefault="008D2428">
            <w:pPr>
              <w:jc w:val="center"/>
              <w:rPr>
                <w:color w:val="000000"/>
                <w:sz w:val="22"/>
                <w:szCs w:val="22"/>
              </w:rPr>
            </w:pPr>
            <w:r>
              <w:rPr>
                <w:color w:val="000000"/>
                <w:sz w:val="22"/>
                <w:szCs w:val="22"/>
              </w:rPr>
              <w:t>Total</w:t>
            </w:r>
          </w:p>
        </w:tc>
        <w:tc>
          <w:tcPr>
            <w:tcW w:w="2409" w:type="dxa"/>
            <w:tcBorders>
              <w:top w:val="nil"/>
              <w:left w:val="nil"/>
              <w:bottom w:val="single" w:sz="2" w:space="0" w:color="auto"/>
              <w:right w:val="nil"/>
            </w:tcBorders>
            <w:noWrap/>
            <w:hideMark/>
          </w:tcPr>
          <w:p w14:paraId="01F6B469" w14:textId="77777777" w:rsidR="008D2428" w:rsidRDefault="008D2428">
            <w:pPr>
              <w:jc w:val="right"/>
              <w:rPr>
                <w:color w:val="000000"/>
                <w:sz w:val="22"/>
                <w:szCs w:val="22"/>
              </w:rPr>
            </w:pPr>
            <w:r>
              <w:rPr>
                <w:color w:val="000000"/>
                <w:sz w:val="22"/>
                <w:szCs w:val="22"/>
              </w:rPr>
              <w:t>1,765,549</w:t>
            </w:r>
          </w:p>
        </w:tc>
        <w:tc>
          <w:tcPr>
            <w:tcW w:w="1701" w:type="dxa"/>
            <w:tcBorders>
              <w:top w:val="nil"/>
              <w:left w:val="nil"/>
              <w:bottom w:val="single" w:sz="2" w:space="0" w:color="auto"/>
              <w:right w:val="nil"/>
            </w:tcBorders>
            <w:hideMark/>
          </w:tcPr>
          <w:p w14:paraId="7073BF16" w14:textId="77777777" w:rsidR="008D2428" w:rsidRDefault="008D2428">
            <w:pPr>
              <w:jc w:val="right"/>
              <w:rPr>
                <w:color w:val="000000"/>
                <w:sz w:val="22"/>
                <w:szCs w:val="22"/>
              </w:rPr>
            </w:pPr>
            <w:r>
              <w:rPr>
                <w:color w:val="000000"/>
                <w:sz w:val="22"/>
                <w:szCs w:val="22"/>
              </w:rPr>
              <w:t>100</w:t>
            </w:r>
          </w:p>
        </w:tc>
      </w:tr>
    </w:tbl>
    <w:p w14:paraId="1B45D8C1" w14:textId="77777777" w:rsidR="008D2428" w:rsidRDefault="008D2428" w:rsidP="008D2428">
      <w:pPr>
        <w:rPr>
          <w:rFonts w:cs="Corsiva Hebrew"/>
          <w:lang w:val="en-GB"/>
        </w:rPr>
      </w:pPr>
      <w:r>
        <w:rPr>
          <w:rFonts w:cs="Corsiva Hebrew"/>
          <w:lang w:val="en-GB"/>
        </w:rPr>
        <w:br w:type="page"/>
      </w:r>
    </w:p>
    <w:p w14:paraId="61991650" w14:textId="77777777" w:rsidR="008D2428" w:rsidRDefault="008D2428" w:rsidP="008D2428">
      <w:pPr>
        <w:pStyle w:val="Caption"/>
        <w:rPr>
          <w:rFonts w:cs="Times New Roman"/>
          <w:lang w:val="en-US"/>
        </w:rPr>
      </w:pPr>
      <w:r>
        <w:t xml:space="preserve">Table </w:t>
      </w:r>
      <w:proofErr w:type="spellStart"/>
      <w:r>
        <w:t>S5</w:t>
      </w:r>
      <w:proofErr w:type="spellEnd"/>
      <w:r>
        <w:t>.</w:t>
      </w:r>
      <w:r>
        <w:rPr>
          <w:lang w:val="en-US"/>
        </w:rPr>
        <w:t xml:space="preserve"> Distribution of case types and age groups among COVID-19 cases confirmed in Hong Kong through the clinical diagnosis and public health surveillance between July to September 2020.</w:t>
      </w:r>
    </w:p>
    <w:tbl>
      <w:tblPr>
        <w:tblW w:w="9498" w:type="dxa"/>
        <w:tblBorders>
          <w:top w:val="single" w:sz="4" w:space="0" w:color="auto"/>
          <w:bottom w:val="single" w:sz="4" w:space="0" w:color="auto"/>
        </w:tblBorders>
        <w:tblLook w:val="04A0" w:firstRow="1" w:lastRow="0" w:firstColumn="1" w:lastColumn="0" w:noHBand="0" w:noVBand="1"/>
      </w:tblPr>
      <w:tblGrid>
        <w:gridCol w:w="2360"/>
        <w:gridCol w:w="1427"/>
        <w:gridCol w:w="1428"/>
        <w:gridCol w:w="1427"/>
        <w:gridCol w:w="1428"/>
        <w:gridCol w:w="1428"/>
      </w:tblGrid>
      <w:tr w:rsidR="008D2428" w14:paraId="183C3A1A" w14:textId="77777777" w:rsidTr="008D2428">
        <w:trPr>
          <w:trHeight w:val="320"/>
        </w:trPr>
        <w:tc>
          <w:tcPr>
            <w:tcW w:w="2360" w:type="dxa"/>
            <w:tcBorders>
              <w:top w:val="single" w:sz="4" w:space="0" w:color="auto"/>
              <w:left w:val="nil"/>
              <w:bottom w:val="single" w:sz="4" w:space="0" w:color="auto"/>
              <w:right w:val="nil"/>
            </w:tcBorders>
            <w:noWrap/>
            <w:vAlign w:val="center"/>
            <w:hideMark/>
          </w:tcPr>
          <w:p w14:paraId="48F9EFBA" w14:textId="77777777" w:rsidR="008D2428" w:rsidRDefault="008D2428">
            <w:pPr>
              <w:jc w:val="center"/>
              <w:rPr>
                <w:rFonts w:ascii="Cambria" w:hAnsi="Cambria"/>
                <w:b/>
                <w:bCs/>
              </w:rPr>
            </w:pPr>
            <w:r>
              <w:rPr>
                <w:rFonts w:cs="Calibri"/>
                <w:b/>
                <w:bCs/>
                <w:color w:val="000000"/>
              </w:rPr>
              <w:t>Case type</w:t>
            </w:r>
          </w:p>
        </w:tc>
        <w:tc>
          <w:tcPr>
            <w:tcW w:w="1427" w:type="dxa"/>
            <w:tcBorders>
              <w:top w:val="single" w:sz="4" w:space="0" w:color="auto"/>
              <w:left w:val="nil"/>
              <w:bottom w:val="single" w:sz="4" w:space="0" w:color="auto"/>
              <w:right w:val="nil"/>
            </w:tcBorders>
            <w:noWrap/>
            <w:vAlign w:val="center"/>
            <w:hideMark/>
          </w:tcPr>
          <w:p w14:paraId="376E854B" w14:textId="77777777" w:rsidR="008D2428" w:rsidRDefault="008D2428">
            <w:pPr>
              <w:jc w:val="center"/>
              <w:rPr>
                <w:rFonts w:ascii="Cambria" w:hAnsi="Cambria" w:cs="Calibri"/>
                <w:color w:val="000000"/>
              </w:rPr>
            </w:pPr>
            <w:r>
              <w:rPr>
                <w:rFonts w:cs="Calibri"/>
                <w:b/>
                <w:bCs/>
                <w:color w:val="000000"/>
              </w:rPr>
              <w:t>6-19 years</w:t>
            </w:r>
          </w:p>
        </w:tc>
        <w:tc>
          <w:tcPr>
            <w:tcW w:w="1428" w:type="dxa"/>
            <w:tcBorders>
              <w:top w:val="single" w:sz="4" w:space="0" w:color="auto"/>
              <w:left w:val="nil"/>
              <w:bottom w:val="single" w:sz="4" w:space="0" w:color="auto"/>
              <w:right w:val="nil"/>
            </w:tcBorders>
            <w:noWrap/>
            <w:vAlign w:val="center"/>
            <w:hideMark/>
          </w:tcPr>
          <w:p w14:paraId="25FC561B" w14:textId="77777777" w:rsidR="008D2428" w:rsidRDefault="008D2428">
            <w:pPr>
              <w:jc w:val="center"/>
              <w:rPr>
                <w:rFonts w:ascii="Cambria" w:hAnsi="Cambria" w:cs="Calibri"/>
                <w:color w:val="000000"/>
              </w:rPr>
            </w:pPr>
            <w:r>
              <w:rPr>
                <w:rFonts w:cs="Calibri"/>
                <w:b/>
                <w:bCs/>
                <w:color w:val="000000"/>
              </w:rPr>
              <w:t>20-64 years</w:t>
            </w:r>
          </w:p>
        </w:tc>
        <w:tc>
          <w:tcPr>
            <w:tcW w:w="1427" w:type="dxa"/>
            <w:tcBorders>
              <w:top w:val="single" w:sz="4" w:space="0" w:color="auto"/>
              <w:left w:val="nil"/>
              <w:bottom w:val="single" w:sz="4" w:space="0" w:color="auto"/>
              <w:right w:val="nil"/>
            </w:tcBorders>
            <w:noWrap/>
            <w:vAlign w:val="center"/>
            <w:hideMark/>
          </w:tcPr>
          <w:p w14:paraId="5C8004B3" w14:textId="77777777" w:rsidR="008D2428" w:rsidRDefault="008D2428">
            <w:pPr>
              <w:jc w:val="center"/>
              <w:rPr>
                <w:rFonts w:ascii="Cambria" w:hAnsi="Cambria" w:cs="Calibri"/>
                <w:color w:val="000000"/>
              </w:rPr>
            </w:pPr>
            <w:r>
              <w:rPr>
                <w:rFonts w:cs="Calibri"/>
                <w:b/>
                <w:bCs/>
                <w:color w:val="000000"/>
              </w:rPr>
              <w:t>65-79 years</w:t>
            </w:r>
          </w:p>
        </w:tc>
        <w:tc>
          <w:tcPr>
            <w:tcW w:w="1428" w:type="dxa"/>
            <w:tcBorders>
              <w:top w:val="single" w:sz="4" w:space="0" w:color="auto"/>
              <w:left w:val="nil"/>
              <w:bottom w:val="single" w:sz="4" w:space="0" w:color="auto"/>
              <w:right w:val="nil"/>
            </w:tcBorders>
            <w:noWrap/>
            <w:vAlign w:val="center"/>
            <w:hideMark/>
          </w:tcPr>
          <w:p w14:paraId="36413E64" w14:textId="77777777" w:rsidR="008D2428" w:rsidRDefault="008D2428">
            <w:pPr>
              <w:jc w:val="center"/>
              <w:rPr>
                <w:rFonts w:ascii="Cambria" w:hAnsi="Cambria" w:cs="Calibri"/>
                <w:color w:val="000000"/>
              </w:rPr>
            </w:pPr>
            <m:oMath>
              <m:r>
                <m:rPr>
                  <m:sty m:val="bi"/>
                </m:rPr>
                <w:rPr>
                  <w:rFonts w:ascii="Cambria Math" w:hAnsi="Cambria Math" w:cs="Calibri"/>
                  <w:color w:val="000000"/>
                </w:rPr>
                <m:t>≥80</m:t>
              </m:r>
            </m:oMath>
            <w:r>
              <w:rPr>
                <w:rFonts w:ascii="Cambria" w:hAnsi="Cambria" w:cs="Calibri"/>
                <w:b/>
                <w:color w:val="000000"/>
              </w:rPr>
              <w:t xml:space="preserve"> </w:t>
            </w:r>
            <w:r>
              <w:rPr>
                <w:rFonts w:cs="Calibri"/>
                <w:b/>
                <w:bCs/>
                <w:color w:val="000000"/>
              </w:rPr>
              <w:t>years</w:t>
            </w:r>
          </w:p>
        </w:tc>
        <w:tc>
          <w:tcPr>
            <w:tcW w:w="1428" w:type="dxa"/>
            <w:tcBorders>
              <w:top w:val="single" w:sz="4" w:space="0" w:color="auto"/>
              <w:left w:val="nil"/>
              <w:bottom w:val="single" w:sz="4" w:space="0" w:color="auto"/>
              <w:right w:val="nil"/>
            </w:tcBorders>
            <w:vAlign w:val="center"/>
            <w:hideMark/>
          </w:tcPr>
          <w:p w14:paraId="0003435F" w14:textId="77777777" w:rsidR="008D2428" w:rsidRDefault="008D2428">
            <w:pPr>
              <w:jc w:val="center"/>
              <w:rPr>
                <w:b/>
                <w:color w:val="000000"/>
              </w:rPr>
            </w:pPr>
            <w:r>
              <w:rPr>
                <w:rFonts w:eastAsia="PMingLiU"/>
                <w:b/>
                <w:bCs/>
                <w:color w:val="000000"/>
              </w:rPr>
              <w:t>P-value</w:t>
            </w:r>
          </w:p>
        </w:tc>
      </w:tr>
      <w:tr w:rsidR="008D2428" w14:paraId="3024B0F1" w14:textId="77777777" w:rsidTr="008D2428">
        <w:trPr>
          <w:trHeight w:val="320"/>
        </w:trPr>
        <w:tc>
          <w:tcPr>
            <w:tcW w:w="2360" w:type="dxa"/>
            <w:tcBorders>
              <w:top w:val="single" w:sz="4" w:space="0" w:color="auto"/>
              <w:left w:val="nil"/>
              <w:bottom w:val="nil"/>
              <w:right w:val="nil"/>
            </w:tcBorders>
            <w:noWrap/>
            <w:vAlign w:val="bottom"/>
            <w:hideMark/>
          </w:tcPr>
          <w:p w14:paraId="598DBFD4" w14:textId="77777777" w:rsidR="008D2428" w:rsidRDefault="008D2428">
            <w:pPr>
              <w:rPr>
                <w:rFonts w:ascii="Cambria" w:hAnsi="Cambria" w:cs="Calibri"/>
                <w:color w:val="000000"/>
              </w:rPr>
            </w:pPr>
            <w:r>
              <w:rPr>
                <w:rFonts w:ascii="Cambria" w:hAnsi="Cambria" w:cs="Calibri"/>
                <w:color w:val="000000"/>
              </w:rPr>
              <w:t>Possible primary</w:t>
            </w:r>
          </w:p>
        </w:tc>
        <w:tc>
          <w:tcPr>
            <w:tcW w:w="1427" w:type="dxa"/>
            <w:tcBorders>
              <w:top w:val="single" w:sz="4" w:space="0" w:color="auto"/>
              <w:left w:val="nil"/>
              <w:bottom w:val="nil"/>
              <w:right w:val="nil"/>
            </w:tcBorders>
            <w:noWrap/>
            <w:vAlign w:val="bottom"/>
            <w:hideMark/>
          </w:tcPr>
          <w:p w14:paraId="2E04FB26" w14:textId="77777777" w:rsidR="008D2428" w:rsidRDefault="008D2428">
            <w:pPr>
              <w:jc w:val="right"/>
              <w:rPr>
                <w:rFonts w:ascii="Cambria" w:hAnsi="Cambria" w:cs="Calibri"/>
                <w:color w:val="000000"/>
              </w:rPr>
            </w:pPr>
            <w:r>
              <w:rPr>
                <w:rFonts w:ascii="Cambria" w:hAnsi="Cambria" w:cs="Calibri"/>
                <w:color w:val="000000"/>
              </w:rPr>
              <w:t>31 (15)</w:t>
            </w:r>
          </w:p>
        </w:tc>
        <w:tc>
          <w:tcPr>
            <w:tcW w:w="1428" w:type="dxa"/>
            <w:tcBorders>
              <w:top w:val="single" w:sz="4" w:space="0" w:color="auto"/>
              <w:left w:val="nil"/>
              <w:bottom w:val="nil"/>
              <w:right w:val="nil"/>
            </w:tcBorders>
            <w:noWrap/>
            <w:vAlign w:val="bottom"/>
            <w:hideMark/>
          </w:tcPr>
          <w:p w14:paraId="1023BBC5" w14:textId="77777777" w:rsidR="008D2428" w:rsidRDefault="008D2428">
            <w:pPr>
              <w:jc w:val="right"/>
              <w:rPr>
                <w:rFonts w:ascii="Cambria" w:hAnsi="Cambria" w:cs="Calibri"/>
                <w:color w:val="000000"/>
              </w:rPr>
            </w:pPr>
            <w:r>
              <w:rPr>
                <w:rFonts w:ascii="Cambria" w:hAnsi="Cambria" w:cs="Calibri"/>
                <w:color w:val="000000"/>
              </w:rPr>
              <w:t>962 (41)</w:t>
            </w:r>
          </w:p>
        </w:tc>
        <w:tc>
          <w:tcPr>
            <w:tcW w:w="1427" w:type="dxa"/>
            <w:tcBorders>
              <w:top w:val="single" w:sz="4" w:space="0" w:color="auto"/>
              <w:left w:val="nil"/>
              <w:bottom w:val="nil"/>
              <w:right w:val="nil"/>
            </w:tcBorders>
            <w:noWrap/>
            <w:vAlign w:val="bottom"/>
            <w:hideMark/>
          </w:tcPr>
          <w:p w14:paraId="45E73BAC" w14:textId="77777777" w:rsidR="008D2428" w:rsidRDefault="008D2428">
            <w:pPr>
              <w:jc w:val="right"/>
              <w:rPr>
                <w:rFonts w:ascii="Cambria" w:hAnsi="Cambria" w:cs="Calibri"/>
                <w:color w:val="000000"/>
              </w:rPr>
            </w:pPr>
            <w:r>
              <w:rPr>
                <w:rFonts w:ascii="Cambria" w:hAnsi="Cambria" w:cs="Calibri"/>
                <w:color w:val="000000"/>
              </w:rPr>
              <w:t>234 (44)</w:t>
            </w:r>
          </w:p>
        </w:tc>
        <w:tc>
          <w:tcPr>
            <w:tcW w:w="1428" w:type="dxa"/>
            <w:tcBorders>
              <w:top w:val="single" w:sz="4" w:space="0" w:color="auto"/>
              <w:left w:val="nil"/>
              <w:bottom w:val="nil"/>
              <w:right w:val="nil"/>
            </w:tcBorders>
            <w:noWrap/>
            <w:vAlign w:val="bottom"/>
            <w:hideMark/>
          </w:tcPr>
          <w:p w14:paraId="52E91DC9" w14:textId="77777777" w:rsidR="008D2428" w:rsidRDefault="008D2428">
            <w:pPr>
              <w:jc w:val="right"/>
              <w:rPr>
                <w:rFonts w:ascii="Cambria" w:hAnsi="Cambria" w:cs="Calibri"/>
                <w:color w:val="000000"/>
              </w:rPr>
            </w:pPr>
            <w:r>
              <w:rPr>
                <w:rFonts w:ascii="Cambria" w:hAnsi="Cambria" w:cs="Calibri"/>
                <w:color w:val="000000"/>
              </w:rPr>
              <w:t>60 (31)</w:t>
            </w:r>
          </w:p>
        </w:tc>
        <w:tc>
          <w:tcPr>
            <w:tcW w:w="1428" w:type="dxa"/>
            <w:tcBorders>
              <w:top w:val="single" w:sz="4" w:space="0" w:color="auto"/>
              <w:left w:val="nil"/>
              <w:bottom w:val="nil"/>
              <w:right w:val="nil"/>
            </w:tcBorders>
            <w:hideMark/>
          </w:tcPr>
          <w:p w14:paraId="54287BDD" w14:textId="77777777" w:rsidR="008D2428" w:rsidRDefault="008D2428">
            <w:pPr>
              <w:jc w:val="center"/>
              <w:rPr>
                <w:rFonts w:ascii="Cambria" w:hAnsi="Cambria" w:cs="Calibri"/>
                <w:color w:val="000000"/>
              </w:rPr>
            </w:pPr>
            <w:r>
              <w:rPr>
                <w:rFonts w:cs="Calibri"/>
                <w:color w:val="000000"/>
              </w:rPr>
              <w:t>&lt;0.001</w:t>
            </w:r>
          </w:p>
        </w:tc>
      </w:tr>
      <w:tr w:rsidR="008D2428" w14:paraId="38D69029" w14:textId="77777777" w:rsidTr="008D2428">
        <w:trPr>
          <w:trHeight w:val="320"/>
        </w:trPr>
        <w:tc>
          <w:tcPr>
            <w:tcW w:w="2360" w:type="dxa"/>
            <w:tcBorders>
              <w:top w:val="nil"/>
              <w:left w:val="nil"/>
              <w:bottom w:val="single" w:sz="2" w:space="0" w:color="auto"/>
              <w:right w:val="nil"/>
            </w:tcBorders>
            <w:noWrap/>
            <w:vAlign w:val="bottom"/>
            <w:hideMark/>
          </w:tcPr>
          <w:p w14:paraId="0AA4D75C" w14:textId="77777777" w:rsidR="008D2428" w:rsidRDefault="008D2428">
            <w:pPr>
              <w:rPr>
                <w:rFonts w:ascii="Cambria" w:hAnsi="Cambria" w:cs="Calibri"/>
                <w:color w:val="000000"/>
              </w:rPr>
            </w:pPr>
            <w:r>
              <w:rPr>
                <w:rFonts w:ascii="Cambria" w:hAnsi="Cambria" w:cs="Calibri"/>
                <w:color w:val="000000"/>
              </w:rPr>
              <w:t>Possible contact</w:t>
            </w:r>
          </w:p>
        </w:tc>
        <w:tc>
          <w:tcPr>
            <w:tcW w:w="1427" w:type="dxa"/>
            <w:tcBorders>
              <w:top w:val="nil"/>
              <w:left w:val="nil"/>
              <w:bottom w:val="single" w:sz="2" w:space="0" w:color="auto"/>
              <w:right w:val="nil"/>
            </w:tcBorders>
            <w:noWrap/>
            <w:vAlign w:val="bottom"/>
            <w:hideMark/>
          </w:tcPr>
          <w:p w14:paraId="70E694AC" w14:textId="77777777" w:rsidR="008D2428" w:rsidRDefault="008D2428">
            <w:pPr>
              <w:jc w:val="right"/>
              <w:rPr>
                <w:rFonts w:ascii="Cambria" w:hAnsi="Cambria" w:cs="Calibri"/>
                <w:color w:val="000000"/>
              </w:rPr>
            </w:pPr>
            <w:r>
              <w:rPr>
                <w:rFonts w:ascii="Cambria" w:hAnsi="Cambria" w:cs="Calibri"/>
                <w:color w:val="000000"/>
              </w:rPr>
              <w:t>170 (85)</w:t>
            </w:r>
          </w:p>
        </w:tc>
        <w:tc>
          <w:tcPr>
            <w:tcW w:w="1428" w:type="dxa"/>
            <w:tcBorders>
              <w:top w:val="nil"/>
              <w:left w:val="nil"/>
              <w:bottom w:val="single" w:sz="2" w:space="0" w:color="auto"/>
              <w:right w:val="nil"/>
            </w:tcBorders>
            <w:noWrap/>
            <w:vAlign w:val="bottom"/>
            <w:hideMark/>
          </w:tcPr>
          <w:p w14:paraId="58E289C9" w14:textId="77777777" w:rsidR="008D2428" w:rsidRDefault="008D2428">
            <w:pPr>
              <w:jc w:val="right"/>
              <w:rPr>
                <w:rFonts w:ascii="Cambria" w:hAnsi="Cambria" w:cs="Calibri"/>
                <w:color w:val="000000"/>
              </w:rPr>
            </w:pPr>
            <w:r>
              <w:rPr>
                <w:rFonts w:ascii="Cambria" w:hAnsi="Cambria" w:cs="Calibri"/>
                <w:color w:val="000000"/>
              </w:rPr>
              <w:t>1397 (59)</w:t>
            </w:r>
          </w:p>
        </w:tc>
        <w:tc>
          <w:tcPr>
            <w:tcW w:w="1427" w:type="dxa"/>
            <w:tcBorders>
              <w:top w:val="nil"/>
              <w:left w:val="nil"/>
              <w:bottom w:val="single" w:sz="2" w:space="0" w:color="auto"/>
              <w:right w:val="nil"/>
            </w:tcBorders>
            <w:noWrap/>
            <w:vAlign w:val="bottom"/>
            <w:hideMark/>
          </w:tcPr>
          <w:p w14:paraId="05CCD53D" w14:textId="77777777" w:rsidR="008D2428" w:rsidRDefault="008D2428">
            <w:pPr>
              <w:jc w:val="right"/>
              <w:rPr>
                <w:rFonts w:ascii="Cambria" w:hAnsi="Cambria" w:cs="Calibri"/>
                <w:color w:val="000000"/>
              </w:rPr>
            </w:pPr>
            <w:r>
              <w:rPr>
                <w:rFonts w:ascii="Cambria" w:hAnsi="Cambria" w:cs="Calibri"/>
                <w:color w:val="000000"/>
              </w:rPr>
              <w:t>301 (56)</w:t>
            </w:r>
          </w:p>
        </w:tc>
        <w:tc>
          <w:tcPr>
            <w:tcW w:w="1428" w:type="dxa"/>
            <w:tcBorders>
              <w:top w:val="nil"/>
              <w:left w:val="nil"/>
              <w:bottom w:val="single" w:sz="2" w:space="0" w:color="auto"/>
              <w:right w:val="nil"/>
            </w:tcBorders>
            <w:noWrap/>
            <w:vAlign w:val="bottom"/>
            <w:hideMark/>
          </w:tcPr>
          <w:p w14:paraId="1E1D4A3F" w14:textId="77777777" w:rsidR="008D2428" w:rsidRDefault="008D2428">
            <w:pPr>
              <w:jc w:val="right"/>
              <w:rPr>
                <w:rFonts w:ascii="Cambria" w:hAnsi="Cambria" w:cs="Calibri"/>
                <w:color w:val="000000"/>
              </w:rPr>
            </w:pPr>
            <w:r>
              <w:rPr>
                <w:rFonts w:ascii="Cambria" w:hAnsi="Cambria" w:cs="Calibri"/>
                <w:color w:val="000000"/>
              </w:rPr>
              <w:t>134 (69)</w:t>
            </w:r>
          </w:p>
        </w:tc>
        <w:tc>
          <w:tcPr>
            <w:tcW w:w="1428" w:type="dxa"/>
            <w:tcBorders>
              <w:top w:val="nil"/>
              <w:left w:val="nil"/>
              <w:bottom w:val="single" w:sz="2" w:space="0" w:color="auto"/>
              <w:right w:val="nil"/>
            </w:tcBorders>
          </w:tcPr>
          <w:p w14:paraId="64B6187E" w14:textId="77777777" w:rsidR="008D2428" w:rsidRDefault="008D2428">
            <w:pPr>
              <w:jc w:val="center"/>
              <w:rPr>
                <w:rFonts w:ascii="Cambria" w:hAnsi="Cambria" w:cs="Calibri"/>
                <w:color w:val="000000"/>
              </w:rPr>
            </w:pPr>
          </w:p>
        </w:tc>
      </w:tr>
      <w:tr w:rsidR="008D2428" w14:paraId="5B0977FC" w14:textId="77777777" w:rsidTr="008D2428">
        <w:trPr>
          <w:trHeight w:val="320"/>
        </w:trPr>
        <w:tc>
          <w:tcPr>
            <w:tcW w:w="2360" w:type="dxa"/>
            <w:tcBorders>
              <w:top w:val="single" w:sz="2" w:space="0" w:color="auto"/>
              <w:left w:val="nil"/>
              <w:bottom w:val="single" w:sz="4" w:space="0" w:color="auto"/>
              <w:right w:val="nil"/>
            </w:tcBorders>
            <w:noWrap/>
            <w:vAlign w:val="bottom"/>
            <w:hideMark/>
          </w:tcPr>
          <w:p w14:paraId="1A654E70" w14:textId="77777777" w:rsidR="008D2428" w:rsidRDefault="008D2428">
            <w:pPr>
              <w:rPr>
                <w:rFonts w:ascii="Cambria" w:hAnsi="Cambria" w:cs="Calibri"/>
                <w:color w:val="000000"/>
              </w:rPr>
            </w:pPr>
            <w:r>
              <w:rPr>
                <w:rFonts w:ascii="Cambria" w:hAnsi="Cambria" w:cs="Calibri"/>
                <w:color w:val="000000"/>
              </w:rPr>
              <w:t>Total</w:t>
            </w:r>
          </w:p>
        </w:tc>
        <w:tc>
          <w:tcPr>
            <w:tcW w:w="1427" w:type="dxa"/>
            <w:tcBorders>
              <w:top w:val="single" w:sz="2" w:space="0" w:color="auto"/>
              <w:left w:val="nil"/>
              <w:bottom w:val="single" w:sz="4" w:space="0" w:color="auto"/>
              <w:right w:val="nil"/>
            </w:tcBorders>
            <w:noWrap/>
            <w:vAlign w:val="bottom"/>
            <w:hideMark/>
          </w:tcPr>
          <w:p w14:paraId="3B7ED47D" w14:textId="77777777" w:rsidR="008D2428" w:rsidRDefault="008D2428">
            <w:pPr>
              <w:jc w:val="right"/>
              <w:rPr>
                <w:rFonts w:ascii="Cambria" w:hAnsi="Cambria" w:cs="Calibri"/>
                <w:color w:val="000000"/>
              </w:rPr>
            </w:pPr>
            <w:r>
              <w:rPr>
                <w:rFonts w:ascii="Cambria" w:hAnsi="Cambria" w:cs="Calibri"/>
                <w:color w:val="000000"/>
              </w:rPr>
              <w:t>201 (100)</w:t>
            </w:r>
          </w:p>
        </w:tc>
        <w:tc>
          <w:tcPr>
            <w:tcW w:w="1428" w:type="dxa"/>
            <w:tcBorders>
              <w:top w:val="single" w:sz="2" w:space="0" w:color="auto"/>
              <w:left w:val="nil"/>
              <w:bottom w:val="single" w:sz="4" w:space="0" w:color="auto"/>
              <w:right w:val="nil"/>
            </w:tcBorders>
            <w:noWrap/>
            <w:vAlign w:val="bottom"/>
            <w:hideMark/>
          </w:tcPr>
          <w:p w14:paraId="0BAA82ED" w14:textId="77777777" w:rsidR="008D2428" w:rsidRDefault="008D2428">
            <w:pPr>
              <w:jc w:val="right"/>
              <w:rPr>
                <w:rFonts w:ascii="Cambria" w:hAnsi="Cambria" w:cs="Calibri"/>
                <w:color w:val="000000"/>
              </w:rPr>
            </w:pPr>
            <w:r>
              <w:rPr>
                <w:rFonts w:ascii="Cambria" w:hAnsi="Cambria" w:cs="Calibri"/>
                <w:color w:val="000000"/>
              </w:rPr>
              <w:t>2359 (100)</w:t>
            </w:r>
          </w:p>
        </w:tc>
        <w:tc>
          <w:tcPr>
            <w:tcW w:w="1427" w:type="dxa"/>
            <w:tcBorders>
              <w:top w:val="single" w:sz="2" w:space="0" w:color="auto"/>
              <w:left w:val="nil"/>
              <w:bottom w:val="single" w:sz="4" w:space="0" w:color="auto"/>
              <w:right w:val="nil"/>
            </w:tcBorders>
            <w:noWrap/>
            <w:vAlign w:val="bottom"/>
            <w:hideMark/>
          </w:tcPr>
          <w:p w14:paraId="276D6476" w14:textId="77777777" w:rsidR="008D2428" w:rsidRDefault="008D2428">
            <w:pPr>
              <w:jc w:val="right"/>
              <w:rPr>
                <w:rFonts w:ascii="Cambria" w:hAnsi="Cambria" w:cs="Calibri"/>
                <w:color w:val="000000"/>
              </w:rPr>
            </w:pPr>
            <w:r>
              <w:rPr>
                <w:rFonts w:ascii="Cambria" w:hAnsi="Cambria" w:cs="Calibri"/>
                <w:color w:val="000000"/>
              </w:rPr>
              <w:t>535 (100)</w:t>
            </w:r>
          </w:p>
        </w:tc>
        <w:tc>
          <w:tcPr>
            <w:tcW w:w="1428" w:type="dxa"/>
            <w:tcBorders>
              <w:top w:val="single" w:sz="2" w:space="0" w:color="auto"/>
              <w:left w:val="nil"/>
              <w:bottom w:val="single" w:sz="4" w:space="0" w:color="auto"/>
              <w:right w:val="nil"/>
            </w:tcBorders>
            <w:noWrap/>
            <w:vAlign w:val="bottom"/>
            <w:hideMark/>
          </w:tcPr>
          <w:p w14:paraId="2AB3DCB5" w14:textId="77777777" w:rsidR="008D2428" w:rsidRDefault="008D2428">
            <w:pPr>
              <w:jc w:val="right"/>
              <w:rPr>
                <w:rFonts w:ascii="Cambria" w:hAnsi="Cambria" w:cs="Calibri"/>
                <w:color w:val="000000"/>
              </w:rPr>
            </w:pPr>
            <w:r>
              <w:rPr>
                <w:rFonts w:ascii="Cambria" w:hAnsi="Cambria" w:cs="Calibri"/>
                <w:color w:val="000000"/>
              </w:rPr>
              <w:t>194 (100)</w:t>
            </w:r>
          </w:p>
        </w:tc>
        <w:tc>
          <w:tcPr>
            <w:tcW w:w="1428" w:type="dxa"/>
            <w:tcBorders>
              <w:top w:val="single" w:sz="2" w:space="0" w:color="auto"/>
              <w:left w:val="nil"/>
              <w:bottom w:val="single" w:sz="4" w:space="0" w:color="auto"/>
              <w:right w:val="nil"/>
            </w:tcBorders>
          </w:tcPr>
          <w:p w14:paraId="5126DD6D" w14:textId="77777777" w:rsidR="008D2428" w:rsidRDefault="008D2428">
            <w:pPr>
              <w:jc w:val="center"/>
              <w:rPr>
                <w:rFonts w:ascii="Cambria" w:hAnsi="Cambria" w:cs="Calibri"/>
                <w:color w:val="000000"/>
              </w:rPr>
            </w:pPr>
          </w:p>
        </w:tc>
      </w:tr>
    </w:tbl>
    <w:p w14:paraId="154CF323" w14:textId="77777777" w:rsidR="008D2428" w:rsidRDefault="008D2428" w:rsidP="008D2428">
      <w:pPr>
        <w:spacing w:before="240" w:line="276" w:lineRule="auto"/>
        <w:rPr>
          <w:lang w:val="en-GB"/>
        </w:rPr>
      </w:pPr>
      <w:r>
        <w:rPr>
          <w:lang w:val="en-US"/>
        </w:rPr>
        <w:t>Data are shown as case number and percentage in the parentheses. P-value was derived from Fisher exact test.</w:t>
      </w:r>
    </w:p>
    <w:p w14:paraId="47C48291" w14:textId="77777777" w:rsidR="008D2428" w:rsidRDefault="008D2428"/>
    <w:sectPr w:rsidR="008D24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rsiva Hebrew">
    <w:altName w:val="Corsiva Hebrew"/>
    <w:charset w:val="B1"/>
    <w:family w:val="auto"/>
    <w:pitch w:val="variable"/>
    <w:sig w:usb0="80000843" w:usb1="40000002" w:usb2="00000000" w:usb3="00000000" w:csb0="00000021"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428"/>
    <w:rsid w:val="008D2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76C95"/>
  <w15:chartTrackingRefBased/>
  <w15:docId w15:val="{31B57726-8C4B-42D1-BC24-2AF62669C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428"/>
    <w:pPr>
      <w:spacing w:after="0" w:line="480" w:lineRule="auto"/>
    </w:pPr>
    <w:rPr>
      <w:rFonts w:ascii="Times New Roman" w:eastAsia="Times New Roman" w:hAnsi="Times New Roman" w:cs="Times New Roman"/>
      <w:sz w:val="24"/>
      <w:szCs w:val="24"/>
      <w:lang w:val="en-HK"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semiHidden/>
    <w:unhideWhenUsed/>
    <w:qFormat/>
    <w:rsid w:val="008D2428"/>
    <w:rPr>
      <w:rFonts w:ascii="Cambria" w:eastAsiaTheme="minorEastAsia" w:hAnsi="Cambria" w:cstheme="minorBidi"/>
      <w:iCs/>
      <w:color w:val="000000" w:themeColor="text1"/>
      <w:szCs w:val="18"/>
      <w:lang w:eastAsia="zh-TW"/>
    </w:rPr>
  </w:style>
  <w:style w:type="table" w:styleId="TableGrid">
    <w:name w:val="Table Grid"/>
    <w:basedOn w:val="TableNormal"/>
    <w:uiPriority w:val="39"/>
    <w:rsid w:val="008D2428"/>
    <w:pPr>
      <w:spacing w:after="0" w:line="240" w:lineRule="auto"/>
    </w:pPr>
    <w:rPr>
      <w:rFonts w:eastAsiaTheme="minorEastAsia"/>
      <w:sz w:val="24"/>
      <w:szCs w:val="24"/>
      <w:lang w:val="en-HK" w:eastAsia="zh-TW"/>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5677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2200</Words>
  <Characters>12546</Characters>
  <Application>Microsoft Office Word</Application>
  <DocSecurity>0</DocSecurity>
  <Lines>104</Lines>
  <Paragraphs>29</Paragraphs>
  <ScaleCrop>false</ScaleCrop>
  <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Terri Scott</dc:creator>
  <cp:keywords/>
  <dc:description/>
  <cp:lastModifiedBy>Terri Scott</cp:lastModifiedBy>
  <cp:revision>1</cp:revision>
  <dcterms:created xsi:type="dcterms:W3CDTF">2021-05-20T18:34:00Z</dcterms:created>
  <dcterms:modified xsi:type="dcterms:W3CDTF">2021-05-20T18:35:00Z</dcterms:modified>
</cp:coreProperties>
</file>