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 w:eastAsiaTheme="minorEastAsia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color w:val="auto"/>
          <w:sz w:val="28"/>
          <w:szCs w:val="28"/>
          <w:lang w:eastAsia="zh-CN"/>
        </w:rPr>
        <w:t>Supplementary material</w:t>
      </w:r>
    </w:p>
    <w:p>
      <w:pP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drawing>
          <wp:inline distT="0" distB="0" distL="114300" distR="114300">
            <wp:extent cx="5271770" cy="3680460"/>
            <wp:effectExtent l="0" t="0" r="5080" b="5715"/>
            <wp:docPr id="2" name="图片 2" descr="Fi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S</w:t>
      </w:r>
      <w:r>
        <w:rPr>
          <w:rFonts w:ascii="Times New Roman" w:hAnsi="Times New Roman" w:cs="Times New Roman"/>
          <w:color w:val="auto"/>
          <w:sz w:val="21"/>
          <w:szCs w:val="21"/>
        </w:rPr>
        <w:t>Fig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cs="Times New Roman"/>
          <w:color w:val="auto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auto"/>
          <w:sz w:val="21"/>
          <w:szCs w:val="21"/>
        </w:rPr>
        <w:t>1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 w:val="21"/>
          <w:szCs w:val="21"/>
        </w:rPr>
        <w:t xml:space="preserve"> </w:t>
      </w:r>
      <w:r>
        <w:rPr>
          <w:rFonts w:ascii="Times New Roman" w:hAnsi="Times New Roman" w:cs="Times New Roman"/>
          <w:color w:val="auto"/>
          <w:sz w:val="21"/>
          <w:szCs w:val="21"/>
        </w:rPr>
        <w:t>Flow chart of this analysis based on C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LHLS</w:t>
      </w:r>
      <w:r>
        <w:rPr>
          <w:rFonts w:ascii="Times New Roman" w:hAnsi="Times New Roman" w:cs="Times New Roman"/>
          <w:color w:val="auto"/>
          <w:sz w:val="21"/>
          <w:szCs w:val="21"/>
        </w:rPr>
        <w:t xml:space="preserve"> 20</w:t>
      </w:r>
      <w:r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  <w:t>11-2018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b w:val="0"/>
          <w:bCs w:val="0"/>
          <w:i/>
          <w:i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kern w:val="2"/>
          <w:sz w:val="21"/>
          <w:szCs w:val="21"/>
          <w:lang w:val="en-US" w:eastAsia="zh-CN" w:bidi="ar-SA"/>
        </w:rPr>
        <w:drawing>
          <wp:inline distT="0" distB="0" distL="114300" distR="114300">
            <wp:extent cx="3971925" cy="3209925"/>
            <wp:effectExtent l="0" t="0" r="0" b="0"/>
            <wp:docPr id="1" name="图片 1" descr="R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RC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71925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i/>
          <w:iCs/>
          <w:color w:val="auto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kern w:val="2"/>
          <w:sz w:val="21"/>
          <w:szCs w:val="21"/>
          <w:lang w:val="en-US" w:eastAsia="zh-CN" w:bidi="ar-SA"/>
        </w:rPr>
        <w:t>S</w:t>
      </w:r>
      <w:r>
        <w:rPr>
          <w:rFonts w:hint="default" w:ascii="Times New Roman" w:hAnsi="Times New Roman" w:cs="Times New Roman" w:eastAsiaTheme="minorEastAsia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>Fig. 2</w:t>
      </w:r>
      <w:r>
        <w:rPr>
          <w:rFonts w:hint="eastAsia" w:ascii="Times New Roman" w:hAnsi="Times New Roman" w:cs="Times New Roman"/>
          <w:b w:val="0"/>
          <w:bCs w:val="0"/>
          <w:color w:val="auto"/>
          <w:kern w:val="2"/>
          <w:sz w:val="21"/>
          <w:szCs w:val="21"/>
          <w:lang w:val="en-US" w:eastAsia="zh-CN" w:bidi="ar-SA"/>
        </w:rPr>
        <w:t xml:space="preserve"> Restricted cubic spline curves for the relationship between sleep time and all-cause mortality in Chinese older adults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color w:val="auto"/>
          <w:sz w:val="21"/>
          <w:szCs w:val="21"/>
          <w:lang w:val="en-US" w:eastAsia="zh-CN"/>
        </w:rPr>
      </w:pPr>
    </w:p>
    <w:p>
      <w:pP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0NzQ0ZDBlNGQ1NzlhZDdhYjUxYWJjM2Y4NDhkNGMifQ=="/>
    <w:docVar w:name="KSO_WPS_MARK_KEY" w:val="54458748-f642-46c1-9599-2082026089e6"/>
  </w:docVars>
  <w:rsids>
    <w:rsidRoot w:val="00000000"/>
    <w:rsid w:val="08303D5C"/>
    <w:rsid w:val="152833EA"/>
    <w:rsid w:val="4D93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2023-05-23T02:23:00Z</dcterms:created>
  <dc:creator>26971</dc:creator>
  <cp:lastModifiedBy>taochunbai</cp:lastModifiedBy>
  <dcterms:modified xsi:type="dcterms:W3CDTF">2024-11-09T00:33:54Z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A2E3B40D51C848F1A404987CA5B5AC17_12</vt:lpwstr>
  </property>
</Properties>
</file>