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A3825C" w14:textId="77777777" w:rsidR="005F2530" w:rsidRPr="005F2530" w:rsidRDefault="005F2530" w:rsidP="005F2530">
      <w:pPr>
        <w:spacing w:after="160" w:line="259" w:lineRule="auto"/>
        <w:rPr>
          <w:rFonts w:eastAsia="Calibri" w:cs="Times New Roman"/>
          <w:b/>
          <w:bCs/>
          <w:kern w:val="0"/>
          <w14:ligatures w14:val="none"/>
        </w:rPr>
      </w:pPr>
      <w:r w:rsidRPr="005F2530">
        <w:rPr>
          <w:rFonts w:eastAsia="Calibri" w:cs="Times New Roman"/>
          <w:b/>
          <w:bCs/>
          <w:kern w:val="0"/>
          <w14:ligatures w14:val="none"/>
        </w:rPr>
        <w:t>Supplements</w:t>
      </w:r>
    </w:p>
    <w:tbl>
      <w:tblPr>
        <w:tblW w:w="10952" w:type="dxa"/>
        <w:tblInd w:w="-6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2400"/>
        <w:gridCol w:w="2667"/>
        <w:gridCol w:w="2209"/>
        <w:gridCol w:w="1292"/>
      </w:tblGrid>
      <w:tr w:rsidR="005F2530" w:rsidRPr="005F2530" w14:paraId="70465391" w14:textId="77777777" w:rsidTr="00C71ACD">
        <w:trPr>
          <w:trHeight w:val="209"/>
        </w:trPr>
        <w:tc>
          <w:tcPr>
            <w:tcW w:w="10952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ECCC249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Supplemental Table 1</w:t>
            </w:r>
            <w:r w:rsidRPr="005F2530">
              <w:rPr>
                <w:rFonts w:eastAsia="Times New Roman" w:cs="Times New Roman"/>
                <w:kern w:val="0"/>
                <w14:ligatures w14:val="none"/>
              </w:rPr>
              <w:t xml:space="preserve">. ART regimens and SNPs metabolizer profiles stratified by HIV-1 virologic suppression </w:t>
            </w:r>
          </w:p>
        </w:tc>
      </w:tr>
      <w:tr w:rsidR="005F2530" w:rsidRPr="005F2530" w14:paraId="27882C63" w14:textId="77777777" w:rsidTr="00C71ACD">
        <w:trPr>
          <w:trHeight w:val="209"/>
        </w:trPr>
        <w:tc>
          <w:tcPr>
            <w:tcW w:w="2384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00D4D7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F21CFE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487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4EEA6E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HIV-1 viral load</w:t>
            </w:r>
          </w:p>
        </w:tc>
        <w:tc>
          <w:tcPr>
            <w:tcW w:w="1292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84539B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5F2530" w:rsidRPr="005F2530" w14:paraId="2DFA0885" w14:textId="77777777" w:rsidTr="00C71ACD">
        <w:trPr>
          <w:trHeight w:val="209"/>
        </w:trPr>
        <w:tc>
          <w:tcPr>
            <w:tcW w:w="2384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1BABF5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A08F3F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A45B67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Suppressed</w:t>
            </w:r>
          </w:p>
          <w:p w14:paraId="2453271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:sz w:val="21"/>
                <w:szCs w:val="21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:sz w:val="21"/>
                <w:szCs w:val="21"/>
                <w14:ligatures w14:val="none"/>
              </w:rPr>
              <w:t>(&lt;</w:t>
            </w:r>
            <w:r w:rsidRPr="005F2530">
              <w:rPr>
                <w:rFonts w:eastAsia="Calibri" w:cs="Times New Roman"/>
                <w:kern w:val="0"/>
                <w:sz w:val="21"/>
                <w:szCs w:val="21"/>
                <w14:ligatures w14:val="none"/>
              </w:rPr>
              <w:t>50 viral copies/</w:t>
            </w:r>
            <w:r w:rsidRPr="005F2530">
              <w:rPr>
                <w:rFonts w:eastAsia="Calibri" w:cs="Times New Roman"/>
                <w:kern w:val="0"/>
                <w:sz w:val="21"/>
                <w:szCs w:val="21"/>
                <w14:ligatures w14:val="none"/>
              </w:rPr>
              <w:sym w:font="Symbol" w:char="F06D"/>
            </w:r>
            <w:r w:rsidRPr="005F2530">
              <w:rPr>
                <w:rFonts w:eastAsia="Calibri" w:cs="Times New Roman"/>
                <w:kern w:val="0"/>
                <w:sz w:val="21"/>
                <w:szCs w:val="21"/>
                <w14:ligatures w14:val="none"/>
              </w:rPr>
              <w:t>L)</w:t>
            </w:r>
          </w:p>
        </w:tc>
        <w:tc>
          <w:tcPr>
            <w:tcW w:w="2209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510027D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Non-suppressed</w:t>
            </w:r>
          </w:p>
          <w:p w14:paraId="723C3A6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:sz w:val="21"/>
                <w:szCs w:val="21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:sz w:val="21"/>
                <w:szCs w:val="21"/>
                <w14:ligatures w14:val="none"/>
              </w:rPr>
              <w:t>(</w:t>
            </w:r>
            <w:r w:rsidRPr="005F2530">
              <w:rPr>
                <w:rFonts w:eastAsia="Calibri" w:cs="Times New Roman"/>
                <w:kern w:val="0"/>
                <w:sz w:val="21"/>
                <w:szCs w:val="21"/>
                <w14:ligatures w14:val="none"/>
              </w:rPr>
              <w:t>≥50 viral copies/</w:t>
            </w:r>
            <w:r w:rsidRPr="005F2530">
              <w:rPr>
                <w:rFonts w:eastAsia="Calibri" w:cs="Times New Roman"/>
                <w:kern w:val="0"/>
                <w:sz w:val="21"/>
                <w:szCs w:val="21"/>
                <w14:ligatures w14:val="none"/>
              </w:rPr>
              <w:sym w:font="Symbol" w:char="F06D"/>
            </w:r>
            <w:r w:rsidRPr="005F2530">
              <w:rPr>
                <w:rFonts w:eastAsia="Calibri" w:cs="Times New Roman"/>
                <w:kern w:val="0"/>
                <w:sz w:val="21"/>
                <w:szCs w:val="21"/>
                <w14:ligatures w14:val="none"/>
              </w:rPr>
              <w:t>L)</w:t>
            </w:r>
          </w:p>
        </w:tc>
        <w:tc>
          <w:tcPr>
            <w:tcW w:w="1292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99FFE1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i/>
                <w:iCs/>
                <w:kern w:val="0"/>
                <w14:ligatures w14:val="none"/>
              </w:rPr>
              <w:t>p</w:t>
            </w: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-value</w:t>
            </w:r>
            <w:r w:rsidRPr="005F2530">
              <w:rPr>
                <w:rFonts w:eastAsia="Times New Roman" w:cs="Times New Roman"/>
                <w:b/>
                <w:bCs/>
                <w:kern w:val="0"/>
                <w:vertAlign w:val="superscript"/>
                <w14:ligatures w14:val="none"/>
              </w:rPr>
              <w:t>1</w:t>
            </w:r>
          </w:p>
        </w:tc>
      </w:tr>
      <w:tr w:rsidR="005F2530" w:rsidRPr="005F2530" w14:paraId="57D4FA80" w14:textId="77777777" w:rsidTr="00C71ACD">
        <w:trPr>
          <w:trHeight w:val="307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C25AF7B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487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CC9E15D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N (%)</w:t>
            </w:r>
          </w:p>
        </w:tc>
        <w:tc>
          <w:tcPr>
            <w:tcW w:w="1292" w:type="dxa"/>
            <w:vMerge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7D7AB56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5F2530" w:rsidRPr="005F2530" w14:paraId="3C84FC47" w14:textId="77777777" w:rsidTr="00C71ACD">
        <w:trPr>
          <w:trHeight w:val="421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09AEECC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All ART regimens</w:t>
            </w:r>
            <w:r w:rsidRPr="005F2530">
              <w:rPr>
                <w:rFonts w:eastAsia="Times New Roman" w:cs="Times New Roman"/>
                <w:kern w:val="0"/>
                <w14:ligatures w14:val="none"/>
              </w:rPr>
              <w:t xml:space="preserve"> (N=194)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2C7C9F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88 (45)</w:t>
            </w: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59C2255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106 (55)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1DDFECF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0.46</w:t>
            </w:r>
            <w:r w:rsidRPr="005F2530">
              <w:rPr>
                <w:rFonts w:eastAsia="Times New Roman" w:cs="Times New Roman"/>
                <w:kern w:val="0"/>
                <w:vertAlign w:val="superscript"/>
                <w14:ligatures w14:val="none"/>
              </w:rPr>
              <w:t>†</w:t>
            </w:r>
          </w:p>
        </w:tc>
      </w:tr>
      <w:tr w:rsidR="005F2530" w:rsidRPr="005F2530" w14:paraId="5FE7B87A" w14:textId="77777777" w:rsidTr="00C71ACD">
        <w:trPr>
          <w:trHeight w:val="288"/>
        </w:trPr>
        <w:tc>
          <w:tcPr>
            <w:tcW w:w="2384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4CF08A9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240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58C1636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A3CCEC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9D5E590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DD4986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5F2530" w:rsidRPr="005F2530" w14:paraId="387B7987" w14:textId="77777777" w:rsidTr="00C71ACD">
        <w:trPr>
          <w:trHeight w:val="421"/>
        </w:trPr>
        <w:tc>
          <w:tcPr>
            <w:tcW w:w="2384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79D1356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ART regimen</w:t>
            </w:r>
          </w:p>
        </w:tc>
        <w:tc>
          <w:tcPr>
            <w:tcW w:w="240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FFB9D1D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Calibri" w:cs="Times New Roman"/>
                <w:kern w:val="0"/>
                <w14:ligatures w14:val="none"/>
              </w:rPr>
              <w:t>efavirenz</w:t>
            </w:r>
            <w:r w:rsidRPr="005F2530">
              <w:rPr>
                <w:rFonts w:eastAsia="Times New Roman" w:cs="Times New Roman"/>
                <w:kern w:val="0"/>
                <w14:ligatures w14:val="none"/>
              </w:rPr>
              <w:t>-based (N=76)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2C73754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35 (43)</w:t>
            </w: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FA26A8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41 (43)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4DDB527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296A30E1" w14:textId="77777777" w:rsidTr="00C71ACD">
        <w:trPr>
          <w:trHeight w:val="421"/>
        </w:trPr>
        <w:tc>
          <w:tcPr>
            <w:tcW w:w="238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3F1FA25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i/>
                <w:iCs/>
                <w:kern w:val="0"/>
                <w14:ligatures w14:val="none"/>
              </w:rPr>
            </w:pPr>
          </w:p>
        </w:tc>
        <w:tc>
          <w:tcPr>
            <w:tcW w:w="2400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5164FEF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INSTI-based (N=90)</w:t>
            </w:r>
          </w:p>
        </w:tc>
        <w:tc>
          <w:tcPr>
            <w:tcW w:w="2667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4054C47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46 (57)</w:t>
            </w:r>
          </w:p>
        </w:tc>
        <w:tc>
          <w:tcPr>
            <w:tcW w:w="2209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A4C326F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54 (57)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837A2B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54F6B263" w14:textId="77777777" w:rsidTr="00C71ACD">
        <w:trPr>
          <w:trHeight w:val="421"/>
        </w:trPr>
        <w:tc>
          <w:tcPr>
            <w:tcW w:w="2384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9E1FEE1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i/>
                <w:iCs/>
                <w:kern w:val="0"/>
                <w14:ligatures w14:val="none"/>
              </w:rPr>
            </w:pPr>
          </w:p>
        </w:tc>
        <w:tc>
          <w:tcPr>
            <w:tcW w:w="240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DFBE118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Total</w:t>
            </w:r>
          </w:p>
        </w:tc>
        <w:tc>
          <w:tcPr>
            <w:tcW w:w="2667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2F72A03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81 (100)</w:t>
            </w:r>
          </w:p>
        </w:tc>
        <w:tc>
          <w:tcPr>
            <w:tcW w:w="2209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F139C31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95 (100)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E5BDB3D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0.99</w:t>
            </w:r>
          </w:p>
        </w:tc>
      </w:tr>
      <w:tr w:rsidR="005F2530" w:rsidRPr="005F2530" w14:paraId="17BE970F" w14:textId="77777777" w:rsidTr="00C71ACD">
        <w:trPr>
          <w:trHeight w:val="421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7266A4A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SNPs metabolizer genotypes</w:t>
            </w:r>
            <w:r w:rsidRPr="005F2530">
              <w:rPr>
                <w:rFonts w:eastAsia="Times New Roman" w:cs="Times New Roman"/>
                <w:b/>
                <w:bCs/>
                <w:kern w:val="0"/>
                <w:vertAlign w:val="superscript"/>
                <w14:ligatures w14:val="none"/>
              </w:rPr>
              <w:t>2</w:t>
            </w: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 xml:space="preserve"> 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7C8690F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E732590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274D93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5F2530" w:rsidRPr="005F2530" w14:paraId="266836EE" w14:textId="77777777" w:rsidTr="00C71ACD">
        <w:trPr>
          <w:trHeight w:val="421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5B5E023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Calibri" w:cs="Times New Roman"/>
                <w:kern w:val="0"/>
                <w14:ligatures w14:val="none"/>
              </w:rPr>
              <w:t>Efavirenz</w:t>
            </w:r>
            <w:r w:rsidRPr="005F2530">
              <w:rPr>
                <w:rFonts w:eastAsia="Times New Roman" w:cs="Times New Roman"/>
                <w:kern w:val="0"/>
                <w14:ligatures w14:val="none"/>
              </w:rPr>
              <w:t>-based ART (N=64)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D644F5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C44B862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3628A80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5F2530" w:rsidRPr="005F2530" w14:paraId="028C482D" w14:textId="77777777" w:rsidTr="00C71ACD">
        <w:trPr>
          <w:trHeight w:val="421"/>
        </w:trPr>
        <w:tc>
          <w:tcPr>
            <w:tcW w:w="2384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1007A1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i/>
                <w:iCs/>
                <w:kern w:val="0"/>
                <w14:ligatures w14:val="none"/>
              </w:rPr>
            </w:pPr>
          </w:p>
          <w:p w14:paraId="0D0163B0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b/>
                <w:bCs/>
                <w:i/>
                <w:i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i/>
                <w:iCs/>
                <w:kern w:val="0"/>
                <w14:ligatures w14:val="none"/>
              </w:rPr>
              <w:t>CYP2B6</w:t>
            </w:r>
          </w:p>
          <w:p w14:paraId="095A1342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genotypes</w:t>
            </w:r>
          </w:p>
        </w:tc>
        <w:tc>
          <w:tcPr>
            <w:tcW w:w="240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A186EB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 xml:space="preserve">Normal 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C1CB33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5 (15)</w:t>
            </w: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F9D379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11 (36)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6ABAC6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6771BF6B" w14:textId="77777777" w:rsidTr="00C71ACD">
        <w:trPr>
          <w:trHeight w:val="421"/>
        </w:trPr>
        <w:tc>
          <w:tcPr>
            <w:tcW w:w="238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B99EC4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0CBCCB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Intermediate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B37E54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23 (70)</w:t>
            </w: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6023A67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15 (48)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874BBF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418A149C" w14:textId="77777777" w:rsidTr="00C71ACD">
        <w:trPr>
          <w:trHeight w:val="421"/>
        </w:trPr>
        <w:tc>
          <w:tcPr>
            <w:tcW w:w="238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C94E54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2CEB9EA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Slow</w:t>
            </w:r>
          </w:p>
        </w:tc>
        <w:tc>
          <w:tcPr>
            <w:tcW w:w="266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BF3832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5 (15)</w:t>
            </w:r>
          </w:p>
        </w:tc>
        <w:tc>
          <w:tcPr>
            <w:tcW w:w="2209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5DBCF79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5 (16)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B331C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6C86FD10" w14:textId="77777777" w:rsidTr="00C71ACD">
        <w:trPr>
          <w:trHeight w:val="436"/>
        </w:trPr>
        <w:tc>
          <w:tcPr>
            <w:tcW w:w="2384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4572AC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4D0DB2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Total</w:t>
            </w:r>
          </w:p>
        </w:tc>
        <w:tc>
          <w:tcPr>
            <w:tcW w:w="2667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133E02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33 (100)</w:t>
            </w:r>
          </w:p>
        </w:tc>
        <w:tc>
          <w:tcPr>
            <w:tcW w:w="2209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03E8C20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31 (100)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92605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0.15</w:t>
            </w:r>
          </w:p>
        </w:tc>
      </w:tr>
      <w:tr w:rsidR="005F2530" w:rsidRPr="005F2530" w14:paraId="65F8CC86" w14:textId="77777777" w:rsidTr="00C71ACD">
        <w:trPr>
          <w:trHeight w:val="209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A73AA3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INSTI-based ART (N=90)</w:t>
            </w:r>
          </w:p>
          <w:p w14:paraId="57814160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B5E8A1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AA196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59DE8CD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</w:p>
        </w:tc>
      </w:tr>
      <w:tr w:rsidR="005F2530" w:rsidRPr="005F2530" w14:paraId="61B57643" w14:textId="77777777" w:rsidTr="00C71ACD">
        <w:trPr>
          <w:trHeight w:val="421"/>
        </w:trPr>
        <w:tc>
          <w:tcPr>
            <w:tcW w:w="2384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CB1889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i/>
                <w:iCs/>
                <w:kern w:val="0"/>
                <w14:ligatures w14:val="none"/>
              </w:rPr>
            </w:pPr>
          </w:p>
          <w:p w14:paraId="4E78E9CE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b/>
                <w:bCs/>
                <w:i/>
                <w:iCs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i/>
                <w:iCs/>
                <w:kern w:val="0"/>
                <w14:ligatures w14:val="none"/>
              </w:rPr>
              <w:t>UGT1A1</w:t>
            </w:r>
          </w:p>
          <w:p w14:paraId="0FAE59DB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b/>
                <w:bCs/>
                <w:kern w:val="0"/>
                <w14:ligatures w14:val="none"/>
              </w:rPr>
              <w:t>genotypes</w:t>
            </w:r>
          </w:p>
        </w:tc>
        <w:tc>
          <w:tcPr>
            <w:tcW w:w="240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EB9EE1E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Normal</w:t>
            </w:r>
          </w:p>
          <w:p w14:paraId="2DF0BA49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273DA4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16 (39)</w:t>
            </w: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747C1F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22 (45)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CA65F0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561B92AE" w14:textId="77777777" w:rsidTr="00C71ACD">
        <w:trPr>
          <w:trHeight w:val="421"/>
        </w:trPr>
        <w:tc>
          <w:tcPr>
            <w:tcW w:w="238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86CC86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60DE8A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Intermediate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6460DE8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17 (41)</w:t>
            </w:r>
          </w:p>
        </w:tc>
        <w:tc>
          <w:tcPr>
            <w:tcW w:w="220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90327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21 (43)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ED712C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62406430" w14:textId="77777777" w:rsidTr="00C71ACD">
        <w:trPr>
          <w:trHeight w:val="436"/>
        </w:trPr>
        <w:tc>
          <w:tcPr>
            <w:tcW w:w="238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D6F40D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35D8492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Slow</w:t>
            </w:r>
          </w:p>
        </w:tc>
        <w:tc>
          <w:tcPr>
            <w:tcW w:w="2667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5B3939A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8 (20)</w:t>
            </w:r>
          </w:p>
        </w:tc>
        <w:tc>
          <w:tcPr>
            <w:tcW w:w="2209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5326E7C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6 (12)</w:t>
            </w:r>
          </w:p>
        </w:tc>
        <w:tc>
          <w:tcPr>
            <w:tcW w:w="1292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C56855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*</w:t>
            </w:r>
          </w:p>
        </w:tc>
      </w:tr>
      <w:tr w:rsidR="005F2530" w:rsidRPr="005F2530" w14:paraId="7F94937C" w14:textId="77777777" w:rsidTr="00C71ACD">
        <w:trPr>
          <w:trHeight w:val="377"/>
        </w:trPr>
        <w:tc>
          <w:tcPr>
            <w:tcW w:w="2384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506113" w14:textId="77777777" w:rsidR="005F2530" w:rsidRPr="005F2530" w:rsidRDefault="005F2530" w:rsidP="005F2530">
            <w:pPr>
              <w:spacing w:line="259" w:lineRule="auto"/>
              <w:rPr>
                <w:rFonts w:eastAsia="Times New Roman" w:cs="Times New Roman"/>
                <w:kern w:val="0"/>
                <w14:ligatures w14:val="none"/>
              </w:rPr>
            </w:pP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A8F55D" w14:textId="77777777" w:rsidR="005F2530" w:rsidRPr="005F2530" w:rsidRDefault="005F2530" w:rsidP="005F2530">
            <w:pPr>
              <w:spacing w:line="259" w:lineRule="auto"/>
              <w:jc w:val="right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Total</w:t>
            </w:r>
          </w:p>
        </w:tc>
        <w:tc>
          <w:tcPr>
            <w:tcW w:w="266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D9B3FF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41 (100)</w:t>
            </w:r>
          </w:p>
        </w:tc>
        <w:tc>
          <w:tcPr>
            <w:tcW w:w="220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DB14DB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49 (100)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6BBD984" w14:textId="77777777" w:rsidR="005F2530" w:rsidRPr="005F2530" w:rsidRDefault="005F2530" w:rsidP="005F2530">
            <w:pPr>
              <w:spacing w:line="259" w:lineRule="auto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5F2530">
              <w:rPr>
                <w:rFonts w:eastAsia="Times New Roman" w:cs="Times New Roman"/>
                <w:kern w:val="0"/>
                <w14:ligatures w14:val="none"/>
              </w:rPr>
              <w:t>0.66</w:t>
            </w:r>
          </w:p>
        </w:tc>
      </w:tr>
    </w:tbl>
    <w:p w14:paraId="01EB09E4" w14:textId="77777777" w:rsidR="005F2530" w:rsidRPr="005F2530" w:rsidRDefault="005F2530" w:rsidP="005F2530">
      <w:pPr>
        <w:spacing w:before="120" w:line="259" w:lineRule="auto"/>
        <w:rPr>
          <w:rFonts w:eastAsia="Calibri" w:cs="Times New Roman"/>
          <w:kern w:val="0"/>
          <w:sz w:val="20"/>
          <w:szCs w:val="20"/>
          <w14:ligatures w14:val="none"/>
        </w:rPr>
      </w:pPr>
      <w:r w:rsidRPr="005F2530">
        <w:rPr>
          <w:rFonts w:eastAsia="Calibri" w:cs="Times New Roman"/>
          <w:kern w:val="0"/>
          <w:sz w:val="20"/>
          <w:szCs w:val="20"/>
          <w:u w:val="single"/>
          <w14:ligatures w14:val="none"/>
        </w:rPr>
        <w:t>Footnotes: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 xml:space="preserve"> ART: antiretroviral therapy; SNPs: single nucleotide polymorphisms</w:t>
      </w:r>
      <w:r w:rsidRPr="005F2530">
        <w:rPr>
          <w:rFonts w:eastAsia="Calibri" w:cs="Times New Roman"/>
          <w:color w:val="000000"/>
          <w:kern w:val="0"/>
          <w:sz w:val="20"/>
          <w:szCs w:val="20"/>
          <w14:ligatures w14:val="none"/>
        </w:rPr>
        <w:t xml:space="preserve">; EFZ: efavirenz (a non-nucleoside reverse transcriptase inhibitor [NNRTI]); INSTI: integrase strand transfer inhibitors: raltegravir or dolutegravir. </w:t>
      </w:r>
      <w:r w:rsidRPr="005F2530">
        <w:rPr>
          <w:rFonts w:eastAsia="Calibri" w:cs="Times New Roman"/>
          <w:b/>
          <w:bCs/>
          <w:kern w:val="0"/>
          <w:sz w:val="20"/>
          <w:szCs w:val="20"/>
          <w:vertAlign w:val="superscript"/>
          <w14:ligatures w14:val="none"/>
        </w:rPr>
        <w:t>1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 xml:space="preserve">Fischer’s exact test. </w:t>
      </w:r>
      <w:r w:rsidRPr="005F2530">
        <w:rPr>
          <w:rFonts w:eastAsia="Times New Roman" w:cs="Times New Roman"/>
          <w:kern w:val="0"/>
          <w:vertAlign w:val="superscript"/>
          <w14:ligatures w14:val="none"/>
        </w:rPr>
        <w:t>†</w:t>
      </w:r>
      <w:r w:rsidRPr="005F2530">
        <w:rPr>
          <w:rFonts w:eastAsia="Times New Roman" w:cs="Times New Roman"/>
          <w:kern w:val="0"/>
          <w:sz w:val="20"/>
          <w:szCs w:val="20"/>
          <w14:ligatures w14:val="none"/>
        </w:rPr>
        <w:t>Z-test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 xml:space="preserve">. </w:t>
      </w:r>
      <w:r w:rsidRPr="005F2530">
        <w:rPr>
          <w:rFonts w:eastAsia="Calibri" w:cs="Times New Roman"/>
          <w:b/>
          <w:bCs/>
          <w:kern w:val="0"/>
          <w:sz w:val="20"/>
          <w:szCs w:val="20"/>
          <w14:ligatures w14:val="none"/>
        </w:rPr>
        <w:t>*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 xml:space="preserve"> Columns proportions do not differ significantly from each other at the .05 level. </w:t>
      </w:r>
      <w:r w:rsidRPr="005F2530">
        <w:rPr>
          <w:rFonts w:eastAsia="Calibri" w:cs="Times New Roman"/>
          <w:b/>
          <w:bCs/>
          <w:kern w:val="0"/>
          <w:sz w:val="20"/>
          <w:szCs w:val="20"/>
          <w:vertAlign w:val="superscript"/>
          <w14:ligatures w14:val="none"/>
        </w:rPr>
        <w:t>2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>Not all participants included had SNPs genotyped available. Of the 76 participants with efavirenz-based ART, 64 (84%) had SNPs genotyping available. And of the 100 participants with INSTI-based ART, 90 (90%) had SNPs genotyping available.</w:t>
      </w:r>
      <w:r w:rsidRPr="005F2530">
        <w:rPr>
          <w:rFonts w:eastAsia="Calibri" w:cs="Times New Roman"/>
          <w:b/>
          <w:bCs/>
          <w:kern w:val="0"/>
          <w14:ligatures w14:val="none"/>
        </w:rPr>
        <w:br w:type="page"/>
      </w:r>
    </w:p>
    <w:p w14:paraId="30E71D76" w14:textId="77777777" w:rsidR="005F2530" w:rsidRPr="005F2530" w:rsidRDefault="005F2530" w:rsidP="005F2530">
      <w:pPr>
        <w:tabs>
          <w:tab w:val="left" w:pos="1065"/>
        </w:tabs>
        <w:spacing w:after="240" w:line="259" w:lineRule="auto"/>
        <w:rPr>
          <w:rFonts w:eastAsia="Calibri" w:cs="Times New Roman"/>
          <w:kern w:val="0"/>
          <w14:ligatures w14:val="none"/>
        </w:rPr>
      </w:pPr>
      <w:r w:rsidRPr="005F2530">
        <w:rPr>
          <w:rFonts w:eastAsia="Calibri" w:cs="Times New Roman"/>
          <w:noProof/>
          <w:kern w:val="0"/>
          <w14:ligatures w14:val="none"/>
        </w:rPr>
        <w:lastRenderedPageBreak/>
        <w:drawing>
          <wp:anchor distT="0" distB="0" distL="114300" distR="114300" simplePos="0" relativeHeight="251659264" behindDoc="0" locked="0" layoutInCell="1" allowOverlap="1" wp14:anchorId="266BE108" wp14:editId="13A4B7C4">
            <wp:simplePos x="0" y="0"/>
            <wp:positionH relativeFrom="margin">
              <wp:align>left</wp:align>
            </wp:positionH>
            <wp:positionV relativeFrom="paragraph">
              <wp:posOffset>516034</wp:posOffset>
            </wp:positionV>
            <wp:extent cx="5821680" cy="4200144"/>
            <wp:effectExtent l="0" t="0" r="7620" b="0"/>
            <wp:wrapTopAndBottom/>
            <wp:docPr id="1083092385" name="Picture 5" descr="A graph of 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092385" name="Picture 5" descr="A graph of a graph of a number of people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1680" cy="42001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2530">
        <w:rPr>
          <w:rFonts w:eastAsia="Calibri" w:cs="Times New Roman"/>
          <w:b/>
          <w:bCs/>
          <w:kern w:val="0"/>
          <w14:ligatures w14:val="none"/>
        </w:rPr>
        <w:t>Supplemental Figure 1</w:t>
      </w:r>
      <w:r w:rsidRPr="005F2530">
        <w:rPr>
          <w:rFonts w:eastAsia="Calibri" w:cs="Times New Roman"/>
          <w:kern w:val="0"/>
          <w14:ligatures w14:val="none"/>
        </w:rPr>
        <w:t>. Time-to-HIV-1 virologic suppression (&lt;50 viral copies/</w:t>
      </w:r>
      <w:r w:rsidRPr="005F2530">
        <w:rPr>
          <w:rFonts w:eastAsia="Calibri" w:cs="Times New Roman"/>
          <w:kern w:val="0"/>
          <w14:ligatures w14:val="none"/>
        </w:rPr>
        <w:sym w:font="Symbol" w:char="F06D"/>
      </w:r>
      <w:r w:rsidRPr="005F2530">
        <w:rPr>
          <w:rFonts w:eastAsia="Calibri" w:cs="Times New Roman"/>
          <w:kern w:val="0"/>
          <w14:ligatures w14:val="none"/>
        </w:rPr>
        <w:t>L), according to ART regimen (Efavirenz vs INSTI), with a cutoff point of 50 viral copies/</w:t>
      </w:r>
      <w:r w:rsidRPr="005F2530">
        <w:rPr>
          <w:rFonts w:eastAsia="Calibri" w:cs="Times New Roman"/>
          <w:kern w:val="0"/>
          <w14:ligatures w14:val="none"/>
        </w:rPr>
        <w:sym w:font="Symbol" w:char="F06D"/>
      </w:r>
      <w:r w:rsidRPr="005F2530">
        <w:rPr>
          <w:rFonts w:eastAsia="Calibri" w:cs="Times New Roman"/>
          <w:kern w:val="0"/>
          <w14:ligatures w14:val="none"/>
        </w:rPr>
        <w:t>L</w:t>
      </w:r>
    </w:p>
    <w:p w14:paraId="2D620319" w14:textId="77777777" w:rsidR="005F2530" w:rsidRPr="005F2530" w:rsidRDefault="005F2530" w:rsidP="005F2530">
      <w:pPr>
        <w:tabs>
          <w:tab w:val="left" w:pos="1065"/>
        </w:tabs>
        <w:spacing w:line="259" w:lineRule="auto"/>
        <w:rPr>
          <w:rFonts w:eastAsia="Calibri" w:cs="Times New Roman"/>
          <w:kern w:val="0"/>
          <w14:ligatures w14:val="none"/>
        </w:rPr>
      </w:pPr>
      <w:r w:rsidRPr="005F2530">
        <w:rPr>
          <w:rFonts w:eastAsia="Calibri" w:cs="Times New Roman"/>
          <w:kern w:val="0"/>
          <w:sz w:val="20"/>
          <w:szCs w:val="20"/>
          <w:u w:val="single"/>
          <w14:ligatures w14:val="none"/>
        </w:rPr>
        <w:t>Footnote: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 xml:space="preserve"> ART: antiretroviral therapy </w:t>
      </w:r>
      <w:r w:rsidRPr="005F2530">
        <w:rPr>
          <w:rFonts w:eastAsia="Calibri" w:cs="Times New Roman"/>
          <w:color w:val="000000"/>
          <w:kern w:val="0"/>
          <w:sz w:val="20"/>
          <w:szCs w:val="20"/>
          <w14:ligatures w14:val="none"/>
        </w:rPr>
        <w:t>EFZ: efavirenz (a non-nucleoside reverse transcriptase inhibitor [NNRTI]). INSTI: integrase strand transfer inhibitors: raltegravir or dolutegravir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>. Statistical test: Wilcoxon-Gehan test (survival analysis), significance level .05.</w:t>
      </w:r>
    </w:p>
    <w:p w14:paraId="241DAEA6" w14:textId="77777777" w:rsidR="005F2530" w:rsidRPr="005F2530" w:rsidRDefault="005F2530" w:rsidP="005F2530">
      <w:pPr>
        <w:spacing w:after="160" w:line="259" w:lineRule="auto"/>
        <w:rPr>
          <w:rFonts w:eastAsia="Calibri" w:cs="Times New Roman"/>
          <w:kern w:val="0"/>
          <w14:ligatures w14:val="none"/>
        </w:rPr>
      </w:pPr>
      <w:r w:rsidRPr="005F2530">
        <w:rPr>
          <w:rFonts w:eastAsia="Calibri" w:cs="Times New Roman"/>
          <w:kern w:val="0"/>
          <w14:ligatures w14:val="none"/>
        </w:rPr>
        <w:br w:type="page"/>
      </w:r>
      <w:r w:rsidRPr="005F2530">
        <w:rPr>
          <w:rFonts w:eastAsia="Calibri" w:cs="Times New Roman"/>
          <w:b/>
          <w:bCs/>
          <w:kern w:val="0"/>
          <w14:ligatures w14:val="none"/>
        </w:rPr>
        <w:lastRenderedPageBreak/>
        <w:t>Supplemental Figure 2.</w:t>
      </w:r>
      <w:r w:rsidRPr="005F2530">
        <w:rPr>
          <w:rFonts w:eastAsia="Calibri" w:cs="Times New Roman"/>
          <w:kern w:val="0"/>
          <w14:ligatures w14:val="none"/>
        </w:rPr>
        <w:t xml:space="preserve"> Time-to-HIV-1 virologic suppression (&lt;50 viral copies/</w:t>
      </w:r>
      <w:r w:rsidRPr="005F2530">
        <w:rPr>
          <w:rFonts w:eastAsia="Calibri" w:cs="Times New Roman"/>
          <w:kern w:val="0"/>
          <w14:ligatures w14:val="none"/>
        </w:rPr>
        <w:sym w:font="Symbol" w:char="F06D"/>
      </w:r>
      <w:r w:rsidRPr="005F2530">
        <w:rPr>
          <w:rFonts w:eastAsia="Calibri" w:cs="Times New Roman"/>
          <w:kern w:val="0"/>
          <w14:ligatures w14:val="none"/>
        </w:rPr>
        <w:t xml:space="preserve">L), according </w:t>
      </w:r>
      <w:r w:rsidRPr="005F2530">
        <w:rPr>
          <w:rFonts w:eastAsia="Calibri" w:cs="Times New Roman"/>
          <w:noProof/>
          <w:kern w:val="0"/>
          <w14:ligatures w14:val="none"/>
        </w:rPr>
        <w:drawing>
          <wp:anchor distT="0" distB="0" distL="114300" distR="114300" simplePos="0" relativeHeight="251660288" behindDoc="0" locked="0" layoutInCell="1" allowOverlap="1" wp14:anchorId="312A9519" wp14:editId="49A6B114">
            <wp:simplePos x="0" y="0"/>
            <wp:positionH relativeFrom="margin">
              <wp:posOffset>500380</wp:posOffset>
            </wp:positionH>
            <wp:positionV relativeFrom="paragraph">
              <wp:posOffset>476885</wp:posOffset>
            </wp:positionV>
            <wp:extent cx="4657725" cy="7267575"/>
            <wp:effectExtent l="0" t="0" r="9525" b="9525"/>
            <wp:wrapTopAndBottom/>
            <wp:docPr id="567290279" name="Picture 6" descr="A graph of a cancer pati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290279" name="Picture 6" descr="A graph of a cancer patien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726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2530">
        <w:rPr>
          <w:rFonts w:eastAsia="Calibri" w:cs="Times New Roman"/>
          <w:kern w:val="0"/>
          <w14:ligatures w14:val="none"/>
        </w:rPr>
        <w:t xml:space="preserve">to </w:t>
      </w:r>
      <w:r w:rsidRPr="005F2530">
        <w:rPr>
          <w:rFonts w:eastAsia="Calibri" w:cs="Times New Roman"/>
          <w:b/>
          <w:bCs/>
          <w:kern w:val="0"/>
          <w14:ligatures w14:val="none"/>
        </w:rPr>
        <w:t>(A)</w:t>
      </w:r>
      <w:r w:rsidRPr="005F2530">
        <w:rPr>
          <w:rFonts w:eastAsia="Calibri" w:cs="Times New Roman"/>
          <w:kern w:val="0"/>
          <w14:ligatures w14:val="none"/>
        </w:rPr>
        <w:t xml:space="preserve"> </w:t>
      </w:r>
      <w:r w:rsidRPr="005F2530">
        <w:rPr>
          <w:rFonts w:eastAsia="Calibri" w:cs="Times New Roman"/>
          <w:i/>
          <w:iCs/>
          <w:kern w:val="0"/>
          <w14:ligatures w14:val="none"/>
        </w:rPr>
        <w:t>CYP2B6</w:t>
      </w:r>
      <w:r w:rsidRPr="005F2530">
        <w:rPr>
          <w:rFonts w:eastAsia="Calibri" w:cs="Times New Roman"/>
          <w:kern w:val="0"/>
          <w14:ligatures w14:val="none"/>
        </w:rPr>
        <w:t xml:space="preserve"> (Efavirenz) genotypes and </w:t>
      </w:r>
      <w:r w:rsidRPr="005F2530">
        <w:rPr>
          <w:rFonts w:eastAsia="Calibri" w:cs="Times New Roman"/>
          <w:b/>
          <w:bCs/>
          <w:kern w:val="0"/>
          <w14:ligatures w14:val="none"/>
        </w:rPr>
        <w:t>(B)</w:t>
      </w:r>
      <w:r w:rsidRPr="005F2530">
        <w:rPr>
          <w:rFonts w:eastAsia="Calibri" w:cs="Times New Roman"/>
          <w:kern w:val="0"/>
          <w14:ligatures w14:val="none"/>
        </w:rPr>
        <w:t xml:space="preserve"> </w:t>
      </w:r>
      <w:r w:rsidRPr="005F2530">
        <w:rPr>
          <w:rFonts w:eastAsia="Calibri" w:cs="Times New Roman"/>
          <w:i/>
          <w:iCs/>
          <w:kern w:val="0"/>
          <w14:ligatures w14:val="none"/>
        </w:rPr>
        <w:t>UGT1A1</w:t>
      </w:r>
      <w:r w:rsidRPr="005F2530">
        <w:rPr>
          <w:rFonts w:eastAsia="Calibri" w:cs="Times New Roman"/>
          <w:kern w:val="0"/>
          <w14:ligatures w14:val="none"/>
        </w:rPr>
        <w:t xml:space="preserve"> (INSTI).</w:t>
      </w:r>
    </w:p>
    <w:p w14:paraId="45996B42" w14:textId="5D9D43B9" w:rsidR="00AD49BC" w:rsidRPr="005F2530" w:rsidRDefault="005F2530" w:rsidP="005F2530">
      <w:pPr>
        <w:spacing w:after="160" w:line="259" w:lineRule="auto"/>
        <w:rPr>
          <w:rFonts w:eastAsia="Calibri" w:cs="Times New Roman"/>
          <w:kern w:val="0"/>
          <w14:ligatures w14:val="none"/>
        </w:rPr>
      </w:pPr>
      <w:r w:rsidRPr="005F2530">
        <w:rPr>
          <w:rFonts w:eastAsia="Calibri" w:cs="Times New Roman"/>
          <w:kern w:val="0"/>
          <w:sz w:val="20"/>
          <w:szCs w:val="20"/>
          <w:u w:val="single"/>
          <w14:ligatures w14:val="none"/>
        </w:rPr>
        <w:t>Footnote: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 xml:space="preserve"> ART: antiretroviral therapy</w:t>
      </w:r>
      <w:r w:rsidRPr="005F2530">
        <w:rPr>
          <w:rFonts w:eastAsia="Calibri" w:cs="Times New Roman"/>
          <w:color w:val="000000"/>
          <w:kern w:val="0"/>
          <w:sz w:val="20"/>
          <w:szCs w:val="20"/>
          <w14:ligatures w14:val="none"/>
        </w:rPr>
        <w:t>; INSTI: integrase strand transfer inhibitors: raltegravir or dolutegravir</w:t>
      </w:r>
      <w:r w:rsidRPr="005F2530">
        <w:rPr>
          <w:rFonts w:eastAsia="Calibri" w:cs="Times New Roman"/>
          <w:kern w:val="0"/>
          <w:sz w:val="20"/>
          <w:szCs w:val="20"/>
          <w14:ligatures w14:val="none"/>
        </w:rPr>
        <w:t>. Statistical test: Wilcoxon-Gehan test (survival analysis), significance level .05.</w:t>
      </w:r>
    </w:p>
    <w:sectPr w:rsidR="00AD49BC" w:rsidRPr="005F2530" w:rsidSect="005F2530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75499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E433AB" w14:textId="77777777" w:rsidR="005F2530" w:rsidRDefault="005F253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9EF413" w14:textId="77777777" w:rsidR="005F2530" w:rsidRDefault="005F253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530"/>
    <w:rsid w:val="002902E3"/>
    <w:rsid w:val="002C10FB"/>
    <w:rsid w:val="005F2530"/>
    <w:rsid w:val="00800CDB"/>
    <w:rsid w:val="009800BF"/>
    <w:rsid w:val="00A552D6"/>
    <w:rsid w:val="00AD49BC"/>
    <w:rsid w:val="00E00ACD"/>
    <w:rsid w:val="00E442DB"/>
    <w:rsid w:val="00F7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253A3"/>
  <w15:chartTrackingRefBased/>
  <w15:docId w15:val="{94DA0AAA-E91E-449F-A78B-8341349D6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442DB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5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53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53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53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53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53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53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53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2C10FB"/>
    <w:pPr>
      <w:spacing w:after="80"/>
      <w:contextualSpacing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10FB"/>
    <w:rPr>
      <w:rFonts w:eastAsiaTheme="majorEastAsia" w:cstheme="majorBidi"/>
      <w:spacing w:val="-10"/>
      <w:kern w:val="28"/>
      <w:sz w:val="28"/>
      <w:szCs w:val="56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2C10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10FB"/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E442DB"/>
    <w:rPr>
      <w:rFonts w:eastAsiaTheme="majorEastAsia" w:cstheme="majorBidi"/>
      <w:b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5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53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53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53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53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53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53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530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qFormat/>
    <w:rsid w:val="005F25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5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5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5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5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5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53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F2530"/>
    <w:pPr>
      <w:tabs>
        <w:tab w:val="center" w:pos="4680"/>
        <w:tab w:val="right" w:pos="9360"/>
      </w:tabs>
    </w:pPr>
    <w:rPr>
      <w:rFonts w:cs="Times New Roman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5F2530"/>
    <w:rPr>
      <w:rFonts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F25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320</Words>
  <Characters>1824</Characters>
  <Application>Microsoft Office Word</Application>
  <DocSecurity>0</DocSecurity>
  <Lines>15</Lines>
  <Paragraphs>4</Paragraphs>
  <ScaleCrop>false</ScaleCrop>
  <Company>VUMC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Ridolfi, Felipe</dc:creator>
  <cp:keywords/>
  <dc:description/>
  <cp:lastModifiedBy>Ridolfi, Felipe</cp:lastModifiedBy>
  <cp:revision>1</cp:revision>
  <dcterms:created xsi:type="dcterms:W3CDTF">2024-11-08T16:50:00Z</dcterms:created>
  <dcterms:modified xsi:type="dcterms:W3CDTF">2024-11-08T16:50:00Z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2024-11-08T16:50:57Z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0b4013b2-1a24-406d-aff9-76930b5aa6ec</vt:lpwstr>
  </property>
  <property fmtid="{D5CDD505-2E9C-101B-9397-08002B2CF9AE}" pid="8" name="MSIP_Label_792c8cef-6f2b-4af1-b4ac-d815ff795cd6_ContentBits">
    <vt:lpwstr>0</vt:lpwstr>
  </property>
</Properties>
</file>