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BA71AD" w14:textId="77777777" w:rsidR="00830386" w:rsidRPr="000A0201" w:rsidRDefault="00830386" w:rsidP="00830386">
      <w:pPr>
        <w:rPr>
          <w:rFonts w:ascii="Times New Roman" w:hAnsi="Times New Roman" w:cs="Times New Roman"/>
          <w:sz w:val="20"/>
          <w:szCs w:val="20"/>
        </w:rPr>
      </w:pPr>
      <w:r w:rsidRPr="000A0201">
        <w:rPr>
          <w:rFonts w:ascii="Times New Roman" w:hAnsi="Times New Roman" w:cs="Times New Roman"/>
          <w:b/>
          <w:bCs/>
          <w:sz w:val="20"/>
          <w:szCs w:val="20"/>
        </w:rPr>
        <w:t>Table 1. Baseline Demographic of the Patients, Including Previous Medications.</w:t>
      </w:r>
    </w:p>
    <w:p w14:paraId="0FA7DAA9" w14:textId="77777777" w:rsidR="00830386" w:rsidRDefault="00830386" w:rsidP="0083038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A0201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6024271" wp14:editId="1FBB970F">
            <wp:extent cx="5274310" cy="3505200"/>
            <wp:effectExtent l="0" t="0" r="0" b="0"/>
            <wp:docPr id="3" name="table">
              <a:extLst xmlns:a="http://schemas.openxmlformats.org/drawingml/2006/main">
                <a:ext uri="{FF2B5EF4-FFF2-40B4-BE49-F238E27FC236}">
                  <a16:creationId xmlns:a16="http://schemas.microsoft.com/office/drawing/2014/main" id="{BA6DEC80-3163-844D-F03B-60D41AE1882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">
                      <a:extLst>
                        <a:ext uri="{FF2B5EF4-FFF2-40B4-BE49-F238E27FC236}">
                          <a16:creationId xmlns:a16="http://schemas.microsoft.com/office/drawing/2014/main" id="{BA6DEC80-3163-844D-F03B-60D41AE1882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C2C95" w14:textId="77777777" w:rsidR="00830386" w:rsidRPr="000A0201" w:rsidRDefault="00830386" w:rsidP="00830386">
      <w:pPr>
        <w:kinsoku w:val="0"/>
        <w:overflowPunct w:val="0"/>
        <w:textAlignment w:val="baseline"/>
        <w:rPr>
          <w:rFonts w:ascii="Times New Roman" w:eastAsia="Times New Roman" w:hAnsi="Times New Roman" w:cs="Times New Roman"/>
          <w:color w:val="000000" w:themeColor="text1"/>
          <w:kern w:val="24"/>
          <w:sz w:val="16"/>
          <w:szCs w:val="16"/>
        </w:rPr>
      </w:pPr>
      <w:r w:rsidRPr="000A0201">
        <w:rPr>
          <w:rFonts w:ascii="Times New Roman" w:eastAsia="Times New Roman" w:hAnsi="Times New Roman" w:cs="Times New Roman"/>
          <w:color w:val="000000" w:themeColor="text1"/>
          <w:kern w:val="24"/>
          <w:sz w:val="16"/>
          <w:szCs w:val="16"/>
        </w:rPr>
        <w:t xml:space="preserve">Data are mean(SD), median (IQR) or n (%). </w:t>
      </w:r>
      <w:r w:rsidRPr="000A0201">
        <w:rPr>
          <w:rFonts w:ascii="Times New Roman" w:hAnsi="Times New Roman" w:cs="Times New Roman"/>
          <w:color w:val="000000" w:themeColor="text1"/>
          <w:sz w:val="16"/>
          <w:szCs w:val="16"/>
        </w:rPr>
        <w:t>BD=</w:t>
      </w:r>
      <w:r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  <w:t>Behçet’s</w:t>
      </w:r>
      <w:r w:rsidRPr="000A0201">
        <w:rPr>
          <w:rFonts w:ascii="Times New Roman" w:hAnsi="Times New Roman" w:cs="Times New Roman"/>
          <w:color w:val="333333"/>
          <w:kern w:val="24"/>
          <w:sz w:val="16"/>
          <w:szCs w:val="16"/>
        </w:rPr>
        <w:t xml:space="preserve"> disease. ESR= erythrocyte sedimentation rate. </w:t>
      </w:r>
      <w:r w:rsidRPr="000A0201">
        <w:rPr>
          <w:rFonts w:ascii="Times New Roman" w:hAnsi="Times New Roman" w:cs="Times New Roman"/>
          <w:color w:val="242021"/>
          <w:kern w:val="24"/>
          <w:sz w:val="16"/>
          <w:szCs w:val="16"/>
        </w:rPr>
        <w:t xml:space="preserve">Treg=regulatory T cells. Teff= effector T cells. Tfh=Follicular helper T cell. Th=T helper cell. </w:t>
      </w:r>
    </w:p>
    <w:p w14:paraId="77C729E4" w14:textId="77777777" w:rsidR="00830386" w:rsidRPr="000A0201" w:rsidRDefault="00830386" w:rsidP="00830386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2E9F00E5" w14:textId="77777777" w:rsidR="00830386" w:rsidRPr="000A0201" w:rsidRDefault="00830386" w:rsidP="0083038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0A0201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2.  Clinical manifestation, Disease activity and Quality of life at Baseline, Week 4, Week 8, and Week 12 in LD-IL-2 group (n=26) and Placebo group (n=30)</w:t>
      </w:r>
    </w:p>
    <w:p w14:paraId="24F22EC7" w14:textId="77777777" w:rsidR="00830386" w:rsidRDefault="00830386" w:rsidP="0083038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7A9EE227" wp14:editId="3C56EBDA">
            <wp:extent cx="4882243" cy="3803334"/>
            <wp:effectExtent l="0" t="0" r="0" b="0"/>
            <wp:docPr id="8080980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561" cy="3815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F95D1C" w14:textId="77777777" w:rsidR="00830386" w:rsidRDefault="00830386" w:rsidP="00830386">
      <w:pPr>
        <w:pStyle w:val="NormalWeb"/>
        <w:kinsoku w:val="0"/>
        <w:overflowPunct w:val="0"/>
        <w:spacing w:before="0" w:beforeAutospacing="0" w:after="0" w:afterAutospacing="0"/>
        <w:textAlignment w:val="baseline"/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  <w:t xml:space="preserve">Changes in outcome measures </w:t>
      </w:r>
      <w:r>
        <w:rPr>
          <w:rFonts w:ascii="Times New Roman" w:hAnsi="Times New Roman" w:cs="Times New Roman"/>
          <w:color w:val="000000"/>
          <w:kern w:val="2"/>
          <w:sz w:val="16"/>
          <w:szCs w:val="16"/>
        </w:rPr>
        <w:t xml:space="preserve">between the Low-dose </w:t>
      </w:r>
      <w:r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  <w:t>interleukin2 group and the placebo group at week 4,8,12 from the baseline(week 0)</w:t>
      </w:r>
      <w:r>
        <w:rPr>
          <w:rFonts w:ascii="Times New Roman" w:hAnsi="Times New Roman" w:cs="Times New Roman"/>
          <w:color w:val="000000"/>
          <w:kern w:val="2"/>
          <w:sz w:val="16"/>
          <w:szCs w:val="16"/>
        </w:rPr>
        <w:t xml:space="preserve"> and were compared using a T-test.</w:t>
      </w:r>
      <w:r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  <w:t xml:space="preserve"> Data are mean(SD) or changes in mean(95%CI). BDCAF=Behçet’s Disease Current Activity Index score. BSAS=Behçet’s Syndrome Activity Score. VAS=visual analogue scale. BDQOL=Behçet’s Disease Quality of Life scale score. </w:t>
      </w:r>
    </w:p>
    <w:p w14:paraId="6E75ECB0" w14:textId="77777777" w:rsidR="00830386" w:rsidRDefault="00830386" w:rsidP="00830386">
      <w:pPr>
        <w:widowControl/>
        <w:jc w:val="left"/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  <w:br w:type="page"/>
      </w:r>
    </w:p>
    <w:p w14:paraId="3D05FCF8" w14:textId="77777777" w:rsidR="00830386" w:rsidRDefault="00830386" w:rsidP="00830386">
      <w:pPr>
        <w:pStyle w:val="NormalWeb"/>
        <w:kinsoku w:val="0"/>
        <w:overflowPunct w:val="0"/>
        <w:spacing w:before="0" w:beforeAutospacing="0" w:after="0" w:afterAutospacing="0"/>
        <w:textAlignment w:val="baseline"/>
      </w:pPr>
    </w:p>
    <w:p w14:paraId="29C698A0" w14:textId="77777777" w:rsidR="00830386" w:rsidRPr="00215E09" w:rsidRDefault="00830386" w:rsidP="0083038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15E09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3. Change of Clinical manifestation, Disease activity and Quality of life from Baseline to Week 12</w:t>
      </w:r>
    </w:p>
    <w:tbl>
      <w:tblPr>
        <w:tblW w:w="84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9"/>
        <w:gridCol w:w="1571"/>
        <w:gridCol w:w="1518"/>
        <w:gridCol w:w="1713"/>
        <w:gridCol w:w="1165"/>
      </w:tblGrid>
      <w:tr w:rsidR="00830386" w:rsidRPr="00215E09" w14:paraId="15BB58A8" w14:textId="77777777" w:rsidTr="00CC2019">
        <w:trPr>
          <w:trHeight w:val="379"/>
        </w:trPr>
        <w:tc>
          <w:tcPr>
            <w:tcW w:w="24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DA067F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15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37FDD8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Placebo(n=30)</w:t>
            </w: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121ACB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Low-dose IL-2(n=26)</w:t>
            </w:r>
          </w:p>
        </w:tc>
        <w:tc>
          <w:tcPr>
            <w:tcW w:w="17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9A909E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6"/>
                <w:szCs w:val="16"/>
              </w:rPr>
              <w:t>Estimated Treatment Difference (95% Cl)</w:t>
            </w:r>
          </w:p>
        </w:tc>
        <w:tc>
          <w:tcPr>
            <w:tcW w:w="11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B0A6A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P value</w:t>
            </w:r>
          </w:p>
        </w:tc>
      </w:tr>
      <w:tr w:rsidR="00830386" w:rsidRPr="00215E09" w14:paraId="6DDB8332" w14:textId="77777777" w:rsidTr="00CC2019">
        <w:trPr>
          <w:trHeight w:val="487"/>
        </w:trPr>
        <w:tc>
          <w:tcPr>
            <w:tcW w:w="24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4D7D5" w14:textId="77777777" w:rsidR="00830386" w:rsidRPr="00215E09" w:rsidRDefault="00830386" w:rsidP="00CC2019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Changes of the number of oral ulcers</w:t>
            </w:r>
          </w:p>
        </w:tc>
        <w:tc>
          <w:tcPr>
            <w:tcW w:w="15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18E611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-0.97(-1.65, -0.28)</w:t>
            </w: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3ECBEE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-2.04(-2.90, -1.18)</w:t>
            </w:r>
          </w:p>
        </w:tc>
        <w:tc>
          <w:tcPr>
            <w:tcW w:w="17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23451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-1.07(-2.13, -0.13)</w:t>
            </w:r>
          </w:p>
        </w:tc>
        <w:tc>
          <w:tcPr>
            <w:tcW w:w="11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3DCC82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</w:tr>
      <w:tr w:rsidR="00830386" w:rsidRPr="00215E09" w14:paraId="55918849" w14:textId="77777777" w:rsidTr="00CC2019">
        <w:trPr>
          <w:trHeight w:val="472"/>
        </w:trPr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450B8E" w14:textId="77777777" w:rsidR="00830386" w:rsidRPr="00215E09" w:rsidRDefault="00830386" w:rsidP="00CC2019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Changes of the number of genital ulcers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D8F9C4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-0.50(-0.86, -0.14)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28A01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-0.69(-1.13, -0.25)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A50BE0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-0.19(-0.74, 0.36)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55D1A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0.488</w:t>
            </w:r>
          </w:p>
        </w:tc>
      </w:tr>
      <w:tr w:rsidR="00830386" w:rsidRPr="00215E09" w14:paraId="3FB4873F" w14:textId="77777777" w:rsidTr="00CC2019">
        <w:trPr>
          <w:trHeight w:val="379"/>
        </w:trPr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262A31" w14:textId="77777777" w:rsidR="00830386" w:rsidRPr="00215E09" w:rsidRDefault="00830386" w:rsidP="00CC2019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Changes of the Behcet’s Disease Current Activity Form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D7331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-1.00(-1.75, -0.25)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A8ED06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-1.88(-2.50, -1.27)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9F14C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-0.88(-1.86, 0.09)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ABCAA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</w:tr>
      <w:tr w:rsidR="00830386" w:rsidRPr="00215E09" w14:paraId="3B47FC10" w14:textId="77777777" w:rsidTr="00CC2019">
        <w:trPr>
          <w:trHeight w:val="379"/>
        </w:trPr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B54C4A" w14:textId="77777777" w:rsidR="00830386" w:rsidRPr="00215E09" w:rsidRDefault="00830386" w:rsidP="00CC2019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Changes of the Behcet’s Syndrome Activity Scale score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3C628A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-6.47(-10.17, -2.76)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9D0FB1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-20.12(-24.54, -15.69)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6FBEAE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-13.65(-19.24, -8.06)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F3210E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830386" w:rsidRPr="00215E09" w14:paraId="4E0C9F69" w14:textId="77777777" w:rsidTr="00CC2019">
        <w:trPr>
          <w:trHeight w:val="570"/>
        </w:trPr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9DD3D1" w14:textId="77777777" w:rsidR="00830386" w:rsidRPr="00215E09" w:rsidRDefault="00830386" w:rsidP="00CC2019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>Changes of the pain associated with oral ulcers, as measured by VAS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D3E93E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-1.67(-2.48, -0.85)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A7D414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-3.46(-4.39, -2.53)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7FD3F6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-1.79(-3.00, -0.59)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F37643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830386" w:rsidRPr="00215E09" w14:paraId="1D211712" w14:textId="77777777" w:rsidTr="00CC2019">
        <w:trPr>
          <w:trHeight w:val="379"/>
        </w:trPr>
        <w:tc>
          <w:tcPr>
            <w:tcW w:w="24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C6C64" w14:textId="77777777" w:rsidR="00830386" w:rsidRPr="00215E09" w:rsidRDefault="00830386" w:rsidP="00CC2019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  <w:t xml:space="preserve">Changes of </w:t>
            </w:r>
            <w:r w:rsidRPr="00215E0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  <w:t>Behçet’s Disease Quality of Life scale score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E70BB9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-1.23(-1.57, -0.89)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B9986B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-3.42(-4.14, -2.70)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18FD0A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-2.19(-2.93, -1.45)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B03D00" w14:textId="77777777" w:rsidR="00830386" w:rsidRPr="00215E09" w:rsidRDefault="00830386" w:rsidP="00CC2019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15E09"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</w:tbl>
    <w:p w14:paraId="197EE0F0" w14:textId="77777777" w:rsidR="00830386" w:rsidRPr="00215E09" w:rsidRDefault="00830386" w:rsidP="00830386">
      <w:pPr>
        <w:pStyle w:val="NormalWeb"/>
        <w:kinsoku w:val="0"/>
        <w:overflowPunct w:val="0"/>
        <w:spacing w:before="0" w:beforeAutospacing="0" w:after="0" w:afterAutospacing="0"/>
        <w:textAlignment w:val="baseline"/>
        <w:rPr>
          <w:rFonts w:eastAsiaTheme="minorEastAsia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  <w:t>Changes in</w:t>
      </w:r>
      <w:r>
        <w:rPr>
          <w:rFonts w:ascii="Times New Roman" w:hAnsi="Times New Roman" w:cs="Times New Roman"/>
          <w:color w:val="000000"/>
          <w:kern w:val="2"/>
          <w:sz w:val="16"/>
          <w:szCs w:val="16"/>
        </w:rPr>
        <w:t xml:space="preserve"> outcome measures between the Low-dose </w:t>
      </w:r>
      <w:r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  <w:t>interleukin2 group and the placebo group at week 12 from baseline(week 0) and were</w:t>
      </w:r>
      <w:r>
        <w:rPr>
          <w:rFonts w:ascii="Times New Roman" w:hAnsi="Times New Roman" w:cs="Times New Roman"/>
          <w:color w:val="000000"/>
          <w:kern w:val="2"/>
          <w:sz w:val="16"/>
          <w:szCs w:val="16"/>
        </w:rPr>
        <w:t xml:space="preserve"> compared using a T-test with two-sided P values</w:t>
      </w:r>
      <w:r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  <w:t>. Data are mean(</w:t>
      </w:r>
      <w:r>
        <w:rPr>
          <w:rFonts w:ascii="Times New Roman" w:hAnsi="Times New Roman" w:cs="Times New Roman"/>
          <w:color w:val="000000"/>
          <w:kern w:val="2"/>
          <w:sz w:val="16"/>
          <w:szCs w:val="16"/>
        </w:rPr>
        <w:t>95% Cl) and P value</w:t>
      </w:r>
      <w:r>
        <w:rPr>
          <w:rFonts w:ascii="Times New Roman" w:eastAsia="Times New Roman" w:hAnsi="Times New Roman" w:cs="Times New Roman"/>
          <w:color w:val="000000"/>
          <w:kern w:val="24"/>
          <w:sz w:val="16"/>
          <w:szCs w:val="16"/>
        </w:rPr>
        <w:t>.</w:t>
      </w:r>
    </w:p>
    <w:p w14:paraId="615BC916" w14:textId="1CFBFFFA" w:rsidR="00755780" w:rsidRPr="00830386" w:rsidRDefault="00755780" w:rsidP="00830386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00755780" w:rsidRPr="00830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386"/>
    <w:rsid w:val="00331A6B"/>
    <w:rsid w:val="00755780"/>
    <w:rsid w:val="00830386"/>
    <w:rsid w:val="00857596"/>
    <w:rsid w:val="009C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98F0"/>
  <w15:chartTrackingRefBased/>
  <w15:docId w15:val="{17081220-0754-4D28-8B16-17D65C510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386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038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38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386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386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386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386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386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386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386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3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3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3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3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3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3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3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3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3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38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03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386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03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386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03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386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03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38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3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38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830386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</Words>
  <Characters>1673</Characters>
  <Application>Microsoft Office Word</Application>
  <DocSecurity>0</DocSecurity>
  <Lines>13</Lines>
  <Paragraphs>3</Paragraphs>
  <ScaleCrop>false</ScaleCrop>
  <Company>Springer Nature</Company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2024-11-21T18:21:00Z</dcterms:created>
  <dcterms:modified xsi:type="dcterms:W3CDTF">2024-11-21T18:21:00Z</dcterms:modified>
</cp:coreProperties>
</file>