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2.9.0 -->
  <w:body>
    <w:p w:rsidR="00203EA5" w:rsidRPr="00996385" w:rsidP="00203EA5" w14:paraId="77F7EFE0" w14:textId="0377083E">
      <w:pPr>
        <w:spacing w:after="40"/>
        <w:rPr>
          <w:rFonts w:ascii="Times New Roman" w:hAnsi="Times New Roman" w:cs="Times New Roman"/>
          <w:b/>
          <w:bCs/>
          <w:sz w:val="20"/>
          <w:szCs w:val="20"/>
        </w:rPr>
      </w:pPr>
      <w:r w:rsidRPr="00996385">
        <w:rPr>
          <w:rFonts w:ascii="Times New Roman" w:hAnsi="Times New Roman" w:cs="Times New Roman"/>
          <w:b/>
          <w:bCs/>
          <w:sz w:val="20"/>
          <w:szCs w:val="20"/>
        </w:rPr>
        <w:t>Supplementary Figure Legends</w:t>
      </w:r>
    </w:p>
    <w:p w:rsidR="00203EA5" w:rsidRPr="00996385" w:rsidP="00203EA5" w14:paraId="7DBA57E9" w14:textId="57DF87D7">
      <w:pPr>
        <w:spacing w:after="40"/>
        <w:rPr>
          <w:rFonts w:ascii="Times New Roman" w:hAnsi="Times New Roman" w:cs="Times New Roman"/>
          <w:b/>
          <w:bCs/>
          <w:sz w:val="20"/>
          <w:szCs w:val="20"/>
        </w:rPr>
      </w:pPr>
      <w:r w:rsidRPr="00996385">
        <w:rPr>
          <w:rFonts w:ascii="Times New Roman" w:hAnsi="Times New Roman" w:cs="Times New Roman"/>
          <w:b/>
          <w:bCs/>
          <w:sz w:val="20"/>
          <w:szCs w:val="20"/>
        </w:rPr>
        <w:t xml:space="preserve">Figure S1. GW8510 improves muscle atrophy and weakness in dexamethasone-induced mice. </w:t>
      </w:r>
    </w:p>
    <w:p w:rsidR="00203EA5" w:rsidRPr="00996385" w:rsidP="00203EA5" w14:paraId="70CB8971" w14:textId="78A19DE2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(A). The muscle weight/body weight ratio of skeletal muscle, including Gastrocnemius (GC), Soleus (SOL), Tibialis Anterior (TA), Extensor Digitorum Longus (EDL), Quadriceps (Quad), in non-dexamethasone-induced, dexamethasone-induced and dexamethasone-induced mice treated with GW8510. </w:t>
      </w:r>
      <w:r w:rsidRPr="00996385" w:rsidR="00187635">
        <w:rPr>
          <w:rFonts w:ascii="Times New Roman" w:hAnsi="Times New Roman" w:cs="Times New Roman"/>
          <w:sz w:val="20"/>
          <w:szCs w:val="20"/>
        </w:rPr>
        <w:t>N = 5-6 in each group.</w:t>
      </w:r>
    </w:p>
    <w:p w:rsidR="00203EA5" w:rsidRPr="00996385" w:rsidP="00203EA5" w14:paraId="4B64A15F" w14:textId="7FBCFB77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>(B). The measurements of maximal grip strength in 4 limbs and latency to fall off in non-dexamethasone-induced, dexamethasone-induced, and dexamethasone-induced mice treated with GW8510 in day 14 after treatment of GW8510.</w:t>
      </w:r>
      <w:r w:rsidRPr="00996385" w:rsidR="00187635">
        <w:rPr>
          <w:rFonts w:ascii="Times New Roman" w:hAnsi="Times New Roman" w:cs="Times New Roman"/>
          <w:sz w:val="20"/>
          <w:szCs w:val="20"/>
        </w:rPr>
        <w:t xml:space="preserve"> N = 5-6 in each group.</w:t>
      </w:r>
    </w:p>
    <w:p w:rsidR="00203EA5" w:rsidRPr="00996385" w:rsidP="00203EA5" w14:paraId="6E8F93F3" w14:textId="205F53E6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>(C). The activity of Superoxide dismutase (SOD) and Creatine kinase (CK) in serum in non-dexamethasone-induced, dexamethasone-induced and dexamethasone-induced mice treated with GW8510.</w:t>
      </w:r>
      <w:r w:rsidRPr="00996385" w:rsidR="00187635">
        <w:rPr>
          <w:rFonts w:ascii="Times New Roman" w:hAnsi="Times New Roman" w:cs="Times New Roman"/>
          <w:sz w:val="20"/>
          <w:szCs w:val="20"/>
        </w:rPr>
        <w:t xml:space="preserve"> N = 5-6 in each group.</w:t>
      </w:r>
    </w:p>
    <w:p w:rsidR="00203EA5" w:rsidRPr="00996385" w:rsidP="00203EA5" w14:paraId="152BB456" w14:textId="77777777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>Data are presented as means ± SEM. One-way ANOVA with a post-hoc analysis was performed. ns, no significance, *P &lt; 0.05; **P &lt; 0.01; ****P &lt; 0.0001.</w:t>
      </w:r>
    </w:p>
    <w:p w:rsidR="00203EA5" w:rsidRPr="00996385" w:rsidP="00203EA5" w14:paraId="0B154EBF" w14:textId="77777777">
      <w:pPr>
        <w:spacing w:after="40"/>
        <w:rPr>
          <w:rFonts w:ascii="Times New Roman" w:hAnsi="Times New Roman" w:cs="Times New Roman"/>
          <w:sz w:val="20"/>
          <w:szCs w:val="20"/>
        </w:rPr>
      </w:pPr>
    </w:p>
    <w:p w:rsidR="00203EA5" w:rsidRPr="00996385" w:rsidP="00203EA5" w14:paraId="34FC1394" w14:textId="2AFA1AB6">
      <w:pPr>
        <w:spacing w:after="40"/>
        <w:rPr>
          <w:rFonts w:ascii="Times New Roman" w:hAnsi="Times New Roman" w:cs="Times New Roman"/>
          <w:b/>
          <w:bCs/>
          <w:sz w:val="20"/>
          <w:szCs w:val="20"/>
        </w:rPr>
      </w:pPr>
      <w:r w:rsidRPr="00996385">
        <w:rPr>
          <w:rFonts w:ascii="Times New Roman" w:hAnsi="Times New Roman" w:cs="Times New Roman"/>
          <w:b/>
          <w:bCs/>
          <w:sz w:val="20"/>
          <w:szCs w:val="20"/>
        </w:rPr>
        <w:t xml:space="preserve">Figure S2. GW8510 improves muscle atrophy in Gastrocnemius and Tibialis Anterior in dexamethasone-induced mice. </w:t>
      </w:r>
    </w:p>
    <w:p w:rsidR="00203EA5" w:rsidRPr="00996385" w:rsidP="00203EA5" w14:paraId="4587D1E8" w14:textId="738A2FC1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(A). The image of hematoxylin-eosin (HE) staining gastrocnemius and tibialis anterior in non-dexamethasone-induced, dexamethasone-induced and dexamethasone-induced mice treated with GW8510. Scale bars show 10 </w:t>
      </w:r>
      <w:r w:rsidRPr="00996385">
        <w:rPr>
          <w:rFonts w:ascii="Times New Roman" w:hAnsi="Times New Roman" w:cs="Times New Roman"/>
          <w:sz w:val="20"/>
          <w:szCs w:val="20"/>
        </w:rPr>
        <w:t>μm</w:t>
      </w:r>
      <w:r w:rsidRPr="00996385">
        <w:rPr>
          <w:rFonts w:ascii="Times New Roman" w:hAnsi="Times New Roman" w:cs="Times New Roman"/>
          <w:sz w:val="20"/>
          <w:szCs w:val="20"/>
        </w:rPr>
        <w:t>.</w:t>
      </w:r>
      <w:r w:rsidRPr="00996385" w:rsidR="00187635">
        <w:rPr>
          <w:rFonts w:ascii="Times New Roman" w:hAnsi="Times New Roman" w:cs="Times New Roman"/>
          <w:sz w:val="20"/>
          <w:szCs w:val="20"/>
        </w:rPr>
        <w:t xml:space="preserve"> N = 6 in each group.</w:t>
      </w:r>
    </w:p>
    <w:p w:rsidR="00203EA5" w:rsidRPr="00996385" w:rsidP="00203EA5" w14:paraId="068C9384" w14:textId="7F1A9D58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(B). The quantification of mean cross-sectional area (CSA) and CSA distribution of gastrocnemius muscle. </w:t>
      </w:r>
      <w:r w:rsidRPr="00996385" w:rsidR="00187635">
        <w:rPr>
          <w:rFonts w:ascii="Times New Roman" w:hAnsi="Times New Roman" w:cs="Times New Roman"/>
          <w:sz w:val="20"/>
          <w:szCs w:val="20"/>
        </w:rPr>
        <w:t>N = 6 in each group.</w:t>
      </w:r>
    </w:p>
    <w:p w:rsidR="00203EA5" w:rsidRPr="00996385" w:rsidP="00203EA5" w14:paraId="5A03E773" w14:textId="6874621C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(C). The quantification of mean cross-sectional area (CSA) and CSA distribution of tibialis anterior. </w:t>
      </w:r>
      <w:r w:rsidRPr="00996385" w:rsidR="00187635">
        <w:rPr>
          <w:rFonts w:ascii="Times New Roman" w:hAnsi="Times New Roman" w:cs="Times New Roman"/>
          <w:sz w:val="20"/>
          <w:szCs w:val="20"/>
        </w:rPr>
        <w:t>N = 6 in each group.</w:t>
      </w:r>
    </w:p>
    <w:p w:rsidR="00203EA5" w:rsidRPr="00996385" w:rsidP="00203EA5" w14:paraId="62D2FEF7" w14:textId="2D6122E1">
      <w:pPr>
        <w:spacing w:line="25" w:lineRule="atLeast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>Data are presented as means ± SEM. One-way ANOVA with a post-hoc analysis was performed. **P &lt; 0.01; ****P &lt; 0.0001.</w:t>
      </w:r>
    </w:p>
    <w:p w:rsidR="00203EA5" w:rsidRPr="00996385" w:rsidP="00203EA5" w14:paraId="3A038B19" w14:textId="77777777">
      <w:pPr>
        <w:spacing w:after="40"/>
        <w:rPr>
          <w:rFonts w:ascii="Times New Roman" w:hAnsi="Times New Roman" w:cs="Times New Roman"/>
          <w:sz w:val="20"/>
          <w:szCs w:val="20"/>
        </w:rPr>
      </w:pPr>
    </w:p>
    <w:p w:rsidR="00203EA5" w:rsidRPr="00996385" w:rsidP="00203EA5" w14:paraId="48B1FFD0" w14:textId="77777777">
      <w:pPr>
        <w:spacing w:after="40"/>
        <w:rPr>
          <w:rFonts w:ascii="Times New Roman" w:hAnsi="Times New Roman" w:cs="Times New Roman"/>
          <w:sz w:val="20"/>
          <w:szCs w:val="20"/>
        </w:rPr>
      </w:pPr>
    </w:p>
    <w:p w:rsidR="00203EA5" w:rsidRPr="00996385" w:rsidP="00203EA5" w14:paraId="6FAFADB8" w14:textId="582904BB">
      <w:pPr>
        <w:spacing w:after="40"/>
        <w:rPr>
          <w:rFonts w:ascii="Times New Roman" w:hAnsi="Times New Roman" w:cs="Times New Roman"/>
          <w:b/>
          <w:bCs/>
          <w:sz w:val="20"/>
          <w:szCs w:val="20"/>
        </w:rPr>
      </w:pPr>
      <w:r w:rsidRPr="00996385">
        <w:rPr>
          <w:rFonts w:ascii="Times New Roman" w:hAnsi="Times New Roman" w:cs="Times New Roman"/>
          <w:b/>
          <w:bCs/>
          <w:sz w:val="20"/>
          <w:szCs w:val="20"/>
        </w:rPr>
        <w:t xml:space="preserve">Figure S3. GW8510 improves muscle atrophy and weakness in glycerol-induced mice. </w:t>
      </w:r>
    </w:p>
    <w:p w:rsidR="00203EA5" w:rsidRPr="00996385" w:rsidP="00203EA5" w14:paraId="41A85FE8" w14:textId="30B74DA3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(A). The muscle weight/body weight ratio of skeletal muscle, including Gastrocnemius (GC), Soleus (SOL), Tibialis Anterior (TA), Extensor Digitorum Longus (EDL), Quadriceps (Quad), in non-glycerol-induced, glycerol-induced and glycerol-induced mice treated with GW8510. </w:t>
      </w:r>
      <w:r w:rsidRPr="00996385" w:rsidR="00187635">
        <w:rPr>
          <w:rFonts w:ascii="Times New Roman" w:hAnsi="Times New Roman" w:cs="Times New Roman"/>
          <w:sz w:val="20"/>
          <w:szCs w:val="20"/>
        </w:rPr>
        <w:t>N = 4-5 in each group.</w:t>
      </w:r>
    </w:p>
    <w:p w:rsidR="00203EA5" w:rsidRPr="00996385" w:rsidP="00203EA5" w14:paraId="73742F0E" w14:textId="360DA0D2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>(B). The measurements of maximal grip strength in 4 limbs and latency to fall off in non-glycerol-induced, glycerol-induced, and glycerol-induced mice treated with GW8510 in day 4 after intramuscular injection of glycerol.</w:t>
      </w:r>
      <w:r w:rsidRPr="00996385" w:rsidR="00187635">
        <w:rPr>
          <w:rFonts w:ascii="Times New Roman" w:hAnsi="Times New Roman" w:cs="Times New Roman"/>
          <w:sz w:val="20"/>
          <w:szCs w:val="20"/>
        </w:rPr>
        <w:t xml:space="preserve"> N = 4-5 in each group.</w:t>
      </w:r>
    </w:p>
    <w:p w:rsidR="00203EA5" w:rsidRPr="00996385" w:rsidP="00203EA5" w14:paraId="4B3E1BE1" w14:textId="6F216289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>(C). The activity of Superoxide dismutase (SOD) and Creatine kinase (CK) in serum in non-glycerol-induced, glycerol-induced and glycerol-induced mice treated with GW8510.</w:t>
      </w:r>
      <w:r w:rsidRPr="00996385" w:rsidR="00187635">
        <w:rPr>
          <w:rFonts w:ascii="Times New Roman" w:hAnsi="Times New Roman" w:cs="Times New Roman"/>
          <w:sz w:val="20"/>
          <w:szCs w:val="20"/>
        </w:rPr>
        <w:t xml:space="preserve"> N = 4-5 in each group.</w:t>
      </w:r>
    </w:p>
    <w:p w:rsidR="00203EA5" w:rsidRPr="00996385" w:rsidP="00203EA5" w14:paraId="28C060E1" w14:textId="77777777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Data are presented as means ± SEM. One-way ANOVA with a post-hoc analysis was performed. </w:t>
      </w:r>
      <w:r w:rsidRPr="00996385">
        <w:rPr>
          <w:rFonts w:ascii="Times New Roman" w:hAnsi="Times New Roman" w:cs="Times New Roman"/>
          <w:kern w:val="0"/>
          <w:sz w:val="20"/>
          <w:szCs w:val="20"/>
        </w:rPr>
        <w:t>ns, no significance, *P &lt; 0.05; **P &lt; 0.01; ***P &lt; 0.001.</w:t>
      </w:r>
    </w:p>
    <w:p w:rsidR="00644F69" w:rsidRPr="00996385" w14:paraId="4B37454A" w14:textId="77777777">
      <w:pPr>
        <w:rPr>
          <w:rFonts w:ascii="Times New Roman" w:hAnsi="Times New Roman" w:cs="Times New Roman"/>
          <w:sz w:val="20"/>
          <w:szCs w:val="20"/>
        </w:rPr>
      </w:pPr>
    </w:p>
    <w:p w:rsidR="00203EA5" w:rsidRPr="00996385" w:rsidP="00203EA5" w14:paraId="68FD0C19" w14:textId="699A3A79">
      <w:pPr>
        <w:spacing w:after="40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72216024"/>
      <w:r w:rsidRPr="00996385">
        <w:rPr>
          <w:rFonts w:ascii="Times New Roman" w:hAnsi="Times New Roman" w:cs="Times New Roman"/>
          <w:b/>
          <w:bCs/>
          <w:sz w:val="20"/>
          <w:szCs w:val="20"/>
        </w:rPr>
        <w:t xml:space="preserve">Figure S4. GW8510 improves muscle atrophy in Gastrocnemius and soleus in glycerol-induced mice. </w:t>
      </w:r>
    </w:p>
    <w:bookmarkEnd w:id="0"/>
    <w:p w:rsidR="00203EA5" w:rsidRPr="00996385" w:rsidP="00203EA5" w14:paraId="4EC5FB84" w14:textId="0C408806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(A). The image of hematoxylin-eosin (HE) staining gastrocnemius and soleus in non-glycerol-induced, glycerol-induced and glycerol-induced mice treated with GW8510. Scale bars show 10 </w:t>
      </w:r>
      <w:r w:rsidRPr="00996385">
        <w:rPr>
          <w:rFonts w:ascii="Times New Roman" w:hAnsi="Times New Roman" w:cs="Times New Roman"/>
          <w:sz w:val="20"/>
          <w:szCs w:val="20"/>
        </w:rPr>
        <w:t>μm</w:t>
      </w:r>
      <w:r w:rsidRPr="00996385">
        <w:rPr>
          <w:rFonts w:ascii="Times New Roman" w:hAnsi="Times New Roman" w:cs="Times New Roman"/>
          <w:sz w:val="20"/>
          <w:szCs w:val="20"/>
        </w:rPr>
        <w:t>.</w:t>
      </w:r>
      <w:r w:rsidRPr="00996385" w:rsidR="00187635">
        <w:rPr>
          <w:rFonts w:ascii="Times New Roman" w:hAnsi="Times New Roman" w:cs="Times New Roman"/>
          <w:sz w:val="20"/>
          <w:szCs w:val="20"/>
        </w:rPr>
        <w:t xml:space="preserve"> N = 6 in each group.</w:t>
      </w:r>
    </w:p>
    <w:p w:rsidR="00203EA5" w:rsidRPr="00996385" w:rsidP="00203EA5" w14:paraId="1C4EC807" w14:textId="22AEF931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(B). The quantification of mean cross-sectional area (CSA) and CSA distribution of gastrocnemius muscle. </w:t>
      </w:r>
      <w:r w:rsidRPr="00996385" w:rsidR="00187635">
        <w:rPr>
          <w:rFonts w:ascii="Times New Roman" w:hAnsi="Times New Roman" w:cs="Times New Roman"/>
          <w:sz w:val="20"/>
          <w:szCs w:val="20"/>
        </w:rPr>
        <w:t>N = 6 in each group.</w:t>
      </w:r>
    </w:p>
    <w:p w:rsidR="00203EA5" w:rsidRPr="00996385" w:rsidP="00203EA5" w14:paraId="155C7C8D" w14:textId="2D9A8A52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(C). The quantification of mean cross-sectional area (CSA) and CSA distribution of soleus. </w:t>
      </w:r>
      <w:r w:rsidRPr="00996385" w:rsidR="00187635">
        <w:rPr>
          <w:rFonts w:ascii="Times New Roman" w:hAnsi="Times New Roman" w:cs="Times New Roman"/>
          <w:sz w:val="20"/>
          <w:szCs w:val="20"/>
        </w:rPr>
        <w:t>N = 6 in each group.</w:t>
      </w:r>
    </w:p>
    <w:p w:rsidR="00203EA5" w:rsidRPr="00996385" w:rsidP="00203EA5" w14:paraId="1822F60E" w14:textId="77777777">
      <w:pPr>
        <w:spacing w:line="25" w:lineRule="atLeast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>Data are presented as means ± SEM. One-way ANOVA with a post-hoc analysis was performed. **P &lt; 0.01; ****P &lt; 0.0001.</w:t>
      </w:r>
    </w:p>
    <w:p w:rsidR="00203EA5" w:rsidRPr="00996385" w14:paraId="138B7B12" w14:textId="77777777">
      <w:pPr>
        <w:rPr>
          <w:rFonts w:ascii="Times New Roman" w:hAnsi="Times New Roman" w:cs="Times New Roman"/>
          <w:sz w:val="20"/>
          <w:szCs w:val="20"/>
        </w:rPr>
      </w:pPr>
    </w:p>
    <w:p w:rsidR="00981AB9" w:rsidRPr="00996385" w:rsidP="00981AB9" w14:paraId="786422AB" w14:textId="6AC0A1FC">
      <w:pPr>
        <w:spacing w:after="40"/>
        <w:rPr>
          <w:rFonts w:ascii="Times New Roman" w:hAnsi="Times New Roman" w:cs="Times New Roman"/>
          <w:b/>
          <w:bCs/>
          <w:sz w:val="20"/>
          <w:szCs w:val="20"/>
        </w:rPr>
      </w:pPr>
      <w:r w:rsidRPr="00996385">
        <w:rPr>
          <w:rFonts w:ascii="Times New Roman" w:hAnsi="Times New Roman" w:cs="Times New Roman"/>
          <w:b/>
          <w:bCs/>
          <w:sz w:val="20"/>
          <w:szCs w:val="20"/>
        </w:rPr>
        <w:t>Figure S5. GW8510 did not affect the protein level of oxidative phosphorylation in C2C12 myotubes.</w:t>
      </w:r>
      <w:r w:rsidRPr="00996385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ns, no significance, *P &lt; 0.05</w:t>
      </w:r>
      <w:r w:rsidRPr="00996385" w:rsidR="00187635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. </w:t>
      </w:r>
      <w:r w:rsidRPr="00996385" w:rsidR="00187635">
        <w:rPr>
          <w:rFonts w:ascii="Times New Roman" w:hAnsi="Times New Roman" w:cs="Times New Roman"/>
          <w:b/>
          <w:bCs/>
          <w:sz w:val="20"/>
          <w:szCs w:val="20"/>
        </w:rPr>
        <w:t>N = 4 in each group.</w:t>
      </w:r>
    </w:p>
    <w:p w:rsidR="00981AB9" w:rsidRPr="00996385" w14:paraId="13B09581" w14:textId="77777777">
      <w:pPr>
        <w:rPr>
          <w:rFonts w:ascii="Times New Roman" w:hAnsi="Times New Roman" w:cs="Times New Roman"/>
          <w:sz w:val="20"/>
          <w:szCs w:val="20"/>
        </w:rPr>
      </w:pPr>
    </w:p>
    <w:p w:rsidR="00981AB9" w:rsidRPr="00996385" w:rsidP="00981AB9" w14:paraId="7725646D" w14:textId="78F39F7A">
      <w:pPr>
        <w:spacing w:after="40"/>
        <w:rPr>
          <w:rFonts w:ascii="Times New Roman" w:hAnsi="Times New Roman" w:cs="Times New Roman"/>
          <w:b/>
          <w:bCs/>
          <w:sz w:val="20"/>
          <w:szCs w:val="20"/>
        </w:rPr>
      </w:pPr>
      <w:r w:rsidRPr="00996385">
        <w:rPr>
          <w:rFonts w:ascii="Times New Roman" w:hAnsi="Times New Roman" w:cs="Times New Roman"/>
          <w:b/>
          <w:bCs/>
          <w:sz w:val="20"/>
          <w:szCs w:val="20"/>
        </w:rPr>
        <w:t xml:space="preserve">Figure S6. GW8510 retrieved the expression of denervation and antioxidation-related-marker in Gastrocnemius </w:t>
      </w:r>
      <w:r w:rsidRPr="00996385" w:rsidR="00CC7701">
        <w:rPr>
          <w:rFonts w:ascii="Times New Roman" w:hAnsi="Times New Roman" w:cs="Times New Roman"/>
          <w:b/>
          <w:bCs/>
          <w:sz w:val="20"/>
          <w:szCs w:val="20"/>
        </w:rPr>
        <w:t xml:space="preserve">and soleus tissue </w:t>
      </w:r>
      <w:r w:rsidRPr="00996385">
        <w:rPr>
          <w:rFonts w:ascii="Times New Roman" w:hAnsi="Times New Roman" w:cs="Times New Roman"/>
          <w:b/>
          <w:bCs/>
          <w:sz w:val="20"/>
          <w:szCs w:val="20"/>
        </w:rPr>
        <w:t xml:space="preserve">in denervation mice. </w:t>
      </w:r>
    </w:p>
    <w:p w:rsidR="00981AB9" w:rsidRPr="00996385" w:rsidP="00981AB9" w14:paraId="708AABF8" w14:textId="00325BE4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(A). </w:t>
      </w:r>
      <w:r w:rsidRPr="00996385" w:rsidR="00CC7701">
        <w:rPr>
          <w:rFonts w:ascii="Times New Roman" w:hAnsi="Times New Roman" w:cs="Times New Roman"/>
          <w:sz w:val="20"/>
          <w:szCs w:val="20"/>
        </w:rPr>
        <w:t xml:space="preserve">The relative expression of muscle denervation-related genes (Gadd45a and Ncam1) and antioxidation-related genes (Sod1 and Sod2) in Gastrocnemius tissue in denervation mice. </w:t>
      </w:r>
      <w:r w:rsidRPr="00996385" w:rsidR="00265EDE">
        <w:rPr>
          <w:rFonts w:ascii="Times New Roman" w:hAnsi="Times New Roman" w:cs="Times New Roman"/>
          <w:sz w:val="20"/>
          <w:szCs w:val="20"/>
        </w:rPr>
        <w:t>N = 4 in each group.</w:t>
      </w:r>
    </w:p>
    <w:p w:rsidR="00981AB9" w:rsidRPr="00996385" w:rsidP="00981AB9" w14:paraId="12F44B66" w14:textId="612ADD23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(B). </w:t>
      </w:r>
      <w:r w:rsidRPr="00996385" w:rsidR="00CC7701">
        <w:rPr>
          <w:rFonts w:ascii="Times New Roman" w:hAnsi="Times New Roman" w:cs="Times New Roman"/>
          <w:sz w:val="20"/>
          <w:szCs w:val="20"/>
        </w:rPr>
        <w:t>The relative expression of muscle denervation-related genes (Gadd45a and Ncam1) and antioxidation-related genes (Sod1 and Sod2) in soleus tissue in denervation mice.</w:t>
      </w:r>
      <w:r w:rsidRPr="00996385" w:rsidR="00265EDE">
        <w:rPr>
          <w:rFonts w:ascii="Times New Roman" w:hAnsi="Times New Roman" w:cs="Times New Roman"/>
          <w:sz w:val="20"/>
          <w:szCs w:val="20"/>
        </w:rPr>
        <w:t xml:space="preserve"> N = 3 in each group.</w:t>
      </w:r>
    </w:p>
    <w:p w:rsidR="00981AB9" w:rsidRPr="00996385" w:rsidP="00981AB9" w14:paraId="40FD36BC" w14:textId="739778CA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(C). </w:t>
      </w:r>
      <w:r w:rsidRPr="00996385" w:rsidR="00CC7701">
        <w:rPr>
          <w:rFonts w:ascii="Times New Roman" w:hAnsi="Times New Roman" w:cs="Times New Roman"/>
          <w:sz w:val="20"/>
          <w:szCs w:val="20"/>
        </w:rPr>
        <w:t>The western blot of Pgc1α in Gastrocnemius tissue in denervation mice.</w:t>
      </w:r>
    </w:p>
    <w:p w:rsidR="00CC7701" w:rsidRPr="00996385" w:rsidP="00CC7701" w14:paraId="0E1D3654" w14:textId="77777777">
      <w:pPr>
        <w:rPr>
          <w:rFonts w:ascii="Times New Roman" w:hAnsi="Times New Roman" w:cs="Times New Roman"/>
          <w:sz w:val="20"/>
          <w:szCs w:val="20"/>
        </w:rPr>
      </w:pPr>
      <w:bookmarkStart w:id="1" w:name="OLE_LINK1"/>
      <w:r w:rsidRPr="00996385">
        <w:rPr>
          <w:rFonts w:ascii="Times New Roman" w:hAnsi="Times New Roman" w:cs="Times New Roman"/>
          <w:sz w:val="20"/>
          <w:szCs w:val="20"/>
        </w:rPr>
        <w:t xml:space="preserve">Data are presented as means ± SEM. One-way ANOVA with a post-hoc analysis was performed </w:t>
      </w:r>
      <w:bookmarkEnd w:id="1"/>
      <w:r w:rsidRPr="00996385">
        <w:rPr>
          <w:rFonts w:ascii="Times New Roman" w:hAnsi="Times New Roman" w:cs="Times New Roman"/>
          <w:sz w:val="20"/>
          <w:szCs w:val="20"/>
        </w:rPr>
        <w:t xml:space="preserve">in B-F. </w:t>
      </w:r>
      <w:r w:rsidRPr="00996385">
        <w:rPr>
          <w:rFonts w:ascii="Times New Roman" w:hAnsi="Times New Roman" w:cs="Times New Roman"/>
          <w:kern w:val="0"/>
          <w:sz w:val="20"/>
          <w:szCs w:val="20"/>
        </w:rPr>
        <w:t>ns, no significance, *P &lt; 0.05; **P &lt; 0.01; ***P &lt; 0.001; ****P &lt; 0.0001.</w:t>
      </w:r>
    </w:p>
    <w:p w:rsidR="00CC7701" w:rsidRPr="00996385" w:rsidP="00CC7701" w14:paraId="11B9EAD7" w14:textId="77777777">
      <w:pPr>
        <w:rPr>
          <w:rFonts w:ascii="Times New Roman" w:hAnsi="Times New Roman" w:cs="Times New Roman"/>
          <w:sz w:val="20"/>
          <w:szCs w:val="20"/>
        </w:rPr>
      </w:pPr>
    </w:p>
    <w:p w:rsidR="00CC7701" w:rsidRPr="00996385" w:rsidP="00CC7701" w14:paraId="6C07F125" w14:textId="20465D0F">
      <w:pPr>
        <w:spacing w:after="40"/>
        <w:rPr>
          <w:rFonts w:ascii="Times New Roman" w:hAnsi="Times New Roman" w:cs="Times New Roman"/>
          <w:b/>
          <w:bCs/>
          <w:sz w:val="20"/>
          <w:szCs w:val="20"/>
        </w:rPr>
      </w:pPr>
      <w:r w:rsidRPr="00996385">
        <w:rPr>
          <w:rFonts w:ascii="Times New Roman" w:hAnsi="Times New Roman" w:cs="Times New Roman"/>
          <w:b/>
          <w:bCs/>
          <w:sz w:val="20"/>
          <w:szCs w:val="20"/>
        </w:rPr>
        <w:t xml:space="preserve">Figure S7. GW8510 inhibited ERK1/2 signaling in Gastrocnemius and in C2C12 myotubes. </w:t>
      </w:r>
    </w:p>
    <w:p w:rsidR="00CC7701" w:rsidRPr="00996385" w:rsidP="00CC7701" w14:paraId="34B042F1" w14:textId="0255C944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(A-B). The relative expression of </w:t>
      </w:r>
      <w:r w:rsidRPr="00996385">
        <w:rPr>
          <w:rFonts w:ascii="Times New Roman" w:hAnsi="Times New Roman" w:cs="Times New Roman"/>
          <w:sz w:val="20"/>
          <w:szCs w:val="20"/>
        </w:rPr>
        <w:t>Mstn</w:t>
      </w:r>
      <w:r w:rsidRPr="00996385">
        <w:rPr>
          <w:rFonts w:ascii="Times New Roman" w:hAnsi="Times New Roman" w:cs="Times New Roman"/>
          <w:sz w:val="20"/>
          <w:szCs w:val="20"/>
        </w:rPr>
        <w:t xml:space="preserve"> and Famb132b in C2C12 myotubes.</w:t>
      </w:r>
      <w:r w:rsidRPr="00996385" w:rsidR="00265EDE">
        <w:rPr>
          <w:rFonts w:ascii="Times New Roman" w:hAnsi="Times New Roman" w:cs="Times New Roman"/>
          <w:sz w:val="20"/>
          <w:szCs w:val="20"/>
        </w:rPr>
        <w:t xml:space="preserve"> N = 3-4 in each group.</w:t>
      </w:r>
    </w:p>
    <w:p w:rsidR="00CC7701" w:rsidRPr="00996385" w:rsidP="00CC7701" w14:textId="0255C944">
      <w:pPr>
        <w:spacing w:after="40"/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>(C-D). The western blot of ERK1/2 and p-ERK1/2 in Gastrocnemius tissue in denervation mice and in C2C12 myotubes.</w:t>
      </w:r>
    </w:p>
    <w:p w:rsidR="00CC7701" w:rsidRPr="00996385" w:rsidP="00CC7701" w14:paraId="48B26F17" w14:textId="7B629DB2">
      <w:pPr>
        <w:rPr>
          <w:rFonts w:ascii="Times New Roman" w:hAnsi="Times New Roman" w:cs="Times New Roman"/>
          <w:sz w:val="20"/>
          <w:szCs w:val="20"/>
        </w:rPr>
      </w:pPr>
      <w:r w:rsidRPr="00996385">
        <w:rPr>
          <w:rFonts w:ascii="Times New Roman" w:hAnsi="Times New Roman" w:cs="Times New Roman"/>
          <w:sz w:val="20"/>
          <w:szCs w:val="20"/>
        </w:rPr>
        <w:t xml:space="preserve">Data are presented as means ± SEM. One-way ANOVA with a post-hoc analysis was performed in B-F. </w:t>
      </w:r>
      <w:r w:rsidRPr="00996385">
        <w:rPr>
          <w:rFonts w:ascii="Times New Roman" w:hAnsi="Times New Roman" w:cs="Times New Roman"/>
          <w:kern w:val="0"/>
          <w:sz w:val="20"/>
          <w:szCs w:val="20"/>
        </w:rPr>
        <w:t>ns, no significance, *P &lt; 0.05; ****P &lt; 0.0001.</w:t>
      </w:r>
    </w:p>
    <w:p w:rsidR="00CC7701" w:rsidRPr="00996385" w:rsidP="00CC7701" w14:paraId="7DA89D96" w14:textId="77777777">
      <w:pPr>
        <w:spacing w:after="40"/>
        <w:rPr>
          <w:rFonts w:ascii="Times New Roman" w:hAnsi="Times New Roman" w:cs="Times New Roman"/>
          <w:sz w:val="20"/>
          <w:szCs w:val="20"/>
        </w:rPr>
      </w:pPr>
    </w:p>
    <w:p w:rsidR="00981AB9" w:rsidRPr="00996385" w14:paraId="54C891EC" w14:textId="77777777">
      <w:pPr>
        <w:rPr>
          <w:rFonts w:ascii="Times New Roman" w:hAnsi="Times New Roman" w:cs="Times New Roman"/>
          <w:sz w:val="20"/>
          <w:szCs w:val="20"/>
        </w:rPr>
      </w:pPr>
    </w:p>
    <w:sectPr w:rsidSect="0098486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EA5"/>
    <w:rsid w:val="000C2F08"/>
    <w:rsid w:val="00162B74"/>
    <w:rsid w:val="00187635"/>
    <w:rsid w:val="00203EA5"/>
    <w:rsid w:val="00265EDE"/>
    <w:rsid w:val="00565079"/>
    <w:rsid w:val="00577F9D"/>
    <w:rsid w:val="00644F69"/>
    <w:rsid w:val="00981AB9"/>
    <w:rsid w:val="00984865"/>
    <w:rsid w:val="00996385"/>
    <w:rsid w:val="00CC7701"/>
    <w:rsid w:val="00F86C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A8E730"/>
  <w15:chartTrackingRefBased/>
  <w15:docId w15:val="{9CC6FE7B-9433-4A14-8882-247F1B747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3EA5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9963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96385"/>
    <w:rPr>
      <w:sz w:val="18"/>
      <w:szCs w:val="18"/>
      <w14:ligatures w14:val="none"/>
    </w:rPr>
  </w:style>
  <w:style w:type="paragraph" w:styleId="Footer">
    <w:name w:val="footer"/>
    <w:basedOn w:val="Normal"/>
    <w:link w:val="a0"/>
    <w:uiPriority w:val="99"/>
    <w:unhideWhenUsed/>
    <w:rsid w:val="00996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96385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709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陈</dc:creator>
  <cp:lastModifiedBy>陈 陈</cp:lastModifiedBy>
  <cp:revision>3</cp:revision>
  <dcterms:created xsi:type="dcterms:W3CDTF">2024-07-18T10:17:00Z</dcterms:created>
  <dcterms:modified xsi:type="dcterms:W3CDTF">2024-07-18T10:39:00Z</dcterms:modified>
</cp:coreProperties>
</file>