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878B0">
      <w:pPr>
        <w:pStyle w:val="2"/>
        <w:numPr>
          <w:ilvl w:val="0"/>
          <w:numId w:val="0"/>
        </w:numPr>
        <w:bidi w:val="0"/>
        <w:ind w:left="320" w:leftChars="0" w:hanging="320" w:hangingChars="100"/>
        <w:jc w:val="center"/>
        <w:rPr>
          <w:rFonts w:hint="default" w:eastAsia="宋体"/>
          <w:sz w:val="32"/>
          <w:szCs w:val="32"/>
          <w:lang w:val="en-US" w:eastAsia="zh-CN"/>
        </w:rPr>
      </w:pPr>
      <w:bookmarkStart w:id="0" w:name="_Toc19951"/>
      <w:bookmarkStart w:id="1" w:name="_Toc1435"/>
      <w:bookmarkStart w:id="2" w:name="_Toc17345"/>
      <w:bookmarkStart w:id="3" w:name="_Toc4745"/>
      <w:r>
        <w:rPr>
          <w:rFonts w:hint="default"/>
          <w:sz w:val="32"/>
          <w:szCs w:val="32"/>
        </w:rPr>
        <w:t>Supplementa</w:t>
      </w:r>
      <w:r>
        <w:rPr>
          <w:rFonts w:hint="eastAsia" w:eastAsia="宋体"/>
          <w:sz w:val="32"/>
          <w:szCs w:val="32"/>
          <w:lang w:val="en-US" w:eastAsia="zh-CN"/>
        </w:rPr>
        <w:t>l</w:t>
      </w:r>
      <w:r>
        <w:rPr>
          <w:rFonts w:hint="default"/>
          <w:sz w:val="32"/>
          <w:szCs w:val="32"/>
        </w:rPr>
        <w:t xml:space="preserve"> </w:t>
      </w:r>
      <w:r>
        <w:rPr>
          <w:rFonts w:hint="eastAsia" w:eastAsia="宋体"/>
          <w:sz w:val="32"/>
          <w:szCs w:val="32"/>
          <w:lang w:val="en-US" w:eastAsia="zh-CN"/>
        </w:rPr>
        <w:t>information</w:t>
      </w:r>
    </w:p>
    <w:p w14:paraId="4DF10E9A">
      <w:pPr>
        <w:pStyle w:val="2"/>
        <w:numPr>
          <w:ilvl w:val="0"/>
          <w:numId w:val="0"/>
        </w:numPr>
        <w:bidi w:val="0"/>
        <w:ind w:left="240" w:leftChars="0" w:hanging="240" w:hangingChars="100"/>
        <w:rPr>
          <w:rFonts w:hint="default"/>
          <w:sz w:val="24"/>
          <w:szCs w:val="24"/>
        </w:rPr>
      </w:pPr>
    </w:p>
    <w:p w14:paraId="47D37D1E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left="240" w:leftChars="0" w:hanging="240" w:hangingChars="100"/>
        <w:textAlignment w:val="auto"/>
        <w:rPr>
          <w:rStyle w:val="6"/>
          <w:rFonts w:hint="eastAsia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</w:rPr>
        <w:t>Supplementa</w:t>
      </w:r>
      <w:r>
        <w:rPr>
          <w:rFonts w:hint="eastAsia" w:eastAsia="宋体"/>
          <w:sz w:val="24"/>
          <w:szCs w:val="24"/>
          <w:lang w:val="en-US" w:eastAsia="zh-CN"/>
        </w:rPr>
        <w:t>l</w:t>
      </w:r>
      <w:r>
        <w:rPr>
          <w:rFonts w:hint="default"/>
          <w:sz w:val="24"/>
          <w:szCs w:val="24"/>
        </w:rPr>
        <w:t xml:space="preserve"> Table</w:t>
      </w:r>
      <w:r>
        <w:rPr>
          <w:rFonts w:hint="eastAsia" w:eastAsia="宋体"/>
          <w:sz w:val="24"/>
          <w:szCs w:val="24"/>
          <w:lang w:val="en-US" w:eastAsia="zh-CN"/>
        </w:rPr>
        <w:t xml:space="preserve"> 1. </w:t>
      </w:r>
      <w:r>
        <w:rPr>
          <w:rFonts w:hint="default"/>
          <w:sz w:val="24"/>
          <w:szCs w:val="24"/>
        </w:rPr>
        <w:t>List of antibodies used for immunofluorescence</w:t>
      </w:r>
      <w:r>
        <w:rPr>
          <w:rFonts w:hint="eastAsia" w:eastAsia="宋体"/>
          <w:sz w:val="24"/>
          <w:szCs w:val="24"/>
          <w:lang w:val="en-US" w:eastAsia="zh-CN"/>
        </w:rPr>
        <w:t xml:space="preserve">, </w:t>
      </w:r>
      <w:r>
        <w:rPr>
          <w:rFonts w:hint="default"/>
          <w:sz w:val="24"/>
          <w:szCs w:val="24"/>
        </w:rPr>
        <w:t>immunohistochemistry</w:t>
      </w:r>
      <w:r>
        <w:rPr>
          <w:rFonts w:hint="eastAsia" w:eastAsia="宋体"/>
          <w:sz w:val="24"/>
          <w:szCs w:val="24"/>
          <w:lang w:val="en-US" w:eastAsia="zh-CN"/>
        </w:rPr>
        <w:t xml:space="preserve"> and w</w:t>
      </w:r>
      <w:r>
        <w:rPr>
          <w:rFonts w:hint="default"/>
          <w:sz w:val="24"/>
          <w:szCs w:val="24"/>
        </w:rPr>
        <w:t>estern blot analysis</w:t>
      </w:r>
      <w:bookmarkEnd w:id="0"/>
      <w:bookmarkEnd w:id="1"/>
      <w:bookmarkEnd w:id="2"/>
      <w:bookmarkEnd w:id="3"/>
      <w:r>
        <w:rPr>
          <w:rFonts w:hint="eastAsia" w:eastAsia="宋体"/>
          <w:sz w:val="24"/>
          <w:szCs w:val="24"/>
          <w:lang w:val="en-US" w:eastAsia="zh-CN"/>
        </w:rPr>
        <w:t>.</w:t>
      </w:r>
    </w:p>
    <w:tbl>
      <w:tblPr>
        <w:tblStyle w:val="3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5"/>
        <w:gridCol w:w="1493"/>
        <w:gridCol w:w="1492"/>
        <w:gridCol w:w="1383"/>
        <w:gridCol w:w="1099"/>
      </w:tblGrid>
      <w:tr w14:paraId="35642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6220C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Target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38989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Company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D43E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Cat No.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D9FC0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Application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BD9C4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Dilution</w:t>
            </w:r>
          </w:p>
        </w:tc>
      </w:tr>
      <w:tr w14:paraId="6D50C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65774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AXL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BAB7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A6DC5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  <w:t>13196-1-AP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CA3D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IF/IHC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947A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500</w:t>
            </w:r>
          </w:p>
        </w:tc>
      </w:tr>
      <w:tr w14:paraId="49069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106E2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AXL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F98C4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0904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  <w:t>13196-1-AP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301C3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C061C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000</w:t>
            </w:r>
          </w:p>
        </w:tc>
      </w:tr>
      <w:tr w14:paraId="2E015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FF68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AKT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B2F9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30CFF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9272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01C48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3E56D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1：2000</w:t>
            </w:r>
          </w:p>
        </w:tc>
      </w:tr>
      <w:tr w14:paraId="15DA4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6B56C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Phospho-Akt (Ser473)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A1AF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3EA1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4060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66F5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950F2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1：2000</w:t>
            </w:r>
          </w:p>
        </w:tc>
      </w:tr>
      <w:tr w14:paraId="288E4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9E384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mTOR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E9C74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8D209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28273-1-AP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8A83D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3297A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1：2000</w:t>
            </w:r>
          </w:p>
        </w:tc>
      </w:tr>
      <w:tr w14:paraId="25B93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8C18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Phospho-mTOR (Ser2448)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1EB80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18454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2971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C8A0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AB8A9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1：1000</w:t>
            </w:r>
          </w:p>
        </w:tc>
      </w:tr>
      <w:tr w14:paraId="28171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4644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p44/42 MAPK (Erk1/2)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77D2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E38E6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4695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B7CC5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54E8C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1：2000</w:t>
            </w:r>
          </w:p>
        </w:tc>
      </w:tr>
      <w:tr w14:paraId="35107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99E0C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Phospho-p44/42 MAPK (Erk1/2) (Thr202/Tyr204)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221B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bookmarkStart w:id="4" w:name="OLE_LINK1"/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  <w:bookmarkEnd w:id="4"/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ECEE6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4370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39ECA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1814F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1：2000</w:t>
            </w:r>
          </w:p>
        </w:tc>
      </w:tr>
      <w:tr w14:paraId="5B45A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E5231E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p38 MAPK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35BE91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8893FE0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8690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8DEF445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7D5FBD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：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2000</w:t>
            </w:r>
          </w:p>
        </w:tc>
      </w:tr>
      <w:tr w14:paraId="3CE4E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CA8E860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Phospho-p38 MAPK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0F06D48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9159E2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4511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B59F8F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CD5A6D0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：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2000</w:t>
            </w:r>
          </w:p>
        </w:tc>
      </w:tr>
      <w:tr w14:paraId="35AB4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35226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  <w:t>S6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7036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F413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  <w:t>2217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F5E38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53579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000</w:t>
            </w:r>
          </w:p>
        </w:tc>
      </w:tr>
      <w:tr w14:paraId="3EF49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67086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Phospho-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S6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01EA0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8D94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  <w:t>4858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CAFA7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DC320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000</w:t>
            </w:r>
          </w:p>
        </w:tc>
      </w:tr>
      <w:tr w14:paraId="1D6BB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ACE73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  <w:t>c-MYC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173E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9C1C4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  <w:t>18583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CA6C9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98BA9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000</w:t>
            </w:r>
          </w:p>
        </w:tc>
      </w:tr>
      <w:tr w14:paraId="1C738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79AF5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CDK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9C4E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Affinity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1544A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  <w:t>AF6108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6547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AD35C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000</w:t>
            </w:r>
          </w:p>
        </w:tc>
      </w:tr>
      <w:tr w14:paraId="64EE1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E8BE6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Cyclin B1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1B4E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80093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28603-1-AP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0D0A0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59EA4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1：1000</w:t>
            </w:r>
          </w:p>
        </w:tc>
      </w:tr>
      <w:tr w14:paraId="36C50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DE605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Cyclin D1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95B8C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B5A23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26939-1-AP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7C646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1498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1：1000</w:t>
            </w:r>
          </w:p>
        </w:tc>
      </w:tr>
      <w:tr w14:paraId="24CF2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B81EA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Retinoblastoma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06587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Affinity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408AF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AF6103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558FF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5CEB2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1：2000</w:t>
            </w:r>
          </w:p>
        </w:tc>
      </w:tr>
      <w:tr w14:paraId="709AB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49326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Phospho-Retinoblastoma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129F6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Affinity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B9C37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AF3103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6BAD8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C46E6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1：2000</w:t>
            </w:r>
          </w:p>
        </w:tc>
      </w:tr>
      <w:tr w14:paraId="13AFF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A493EC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p53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0FDD2C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5E4035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10442-1-AP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3D9FC02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025B863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：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2000</w:t>
            </w:r>
          </w:p>
        </w:tc>
      </w:tr>
      <w:tr w14:paraId="49A52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A357409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BAD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3F296FD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004FCD8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10435-1-AP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DD99982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B416F2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：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2000</w:t>
            </w:r>
          </w:p>
        </w:tc>
      </w:tr>
      <w:tr w14:paraId="4478D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E07D2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M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CL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-1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A5CD3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26D8F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94296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2E36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BA1E2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1：2000</w:t>
            </w:r>
          </w:p>
        </w:tc>
      </w:tr>
      <w:tr w14:paraId="5563F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1EB92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GAPDH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CCF3E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CST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FF3D7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5174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BF2E9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DC54F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1：10000</w:t>
            </w:r>
          </w:p>
        </w:tc>
      </w:tr>
      <w:tr w14:paraId="77C6B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7914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  <w:t>Tubulin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A754D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Affinity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15138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szCs w:val="24"/>
                <w:vertAlign w:val="baseline"/>
                <w:lang w:val="en-US" w:eastAsia="zh-CN"/>
              </w:rPr>
              <w:t>AF7011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9A882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8E5E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</w:t>
            </w:r>
            <w:r>
              <w:rPr>
                <w:rStyle w:val="6"/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000</w:t>
            </w:r>
          </w:p>
        </w:tc>
      </w:tr>
      <w:tr w14:paraId="72152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5686B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HRP-conjugated Affinipure Goat Anti-Rabbit IgG (H+L)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F894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F467A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SA00001-2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2AEF4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9082D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1：10000</w:t>
            </w:r>
          </w:p>
        </w:tc>
      </w:tr>
      <w:tr w14:paraId="3AC1B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AC784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HRP-conjugated Affinipure Goat Anti-Mouse IgG (H+L)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E4DFA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0690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SA00001-1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DB56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WB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A7701">
            <w:pPr>
              <w:spacing w:line="360" w:lineRule="auto"/>
              <w:jc w:val="center"/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1：10000</w:t>
            </w:r>
          </w:p>
        </w:tc>
      </w:tr>
    </w:tbl>
    <w:p w14:paraId="4438352C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55FEA01B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03EBEB4E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42D32F63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06974BD3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3BF1BB37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259106E7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097AD416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241FA36C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675C868D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71B681B2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771A5C3D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3D933639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37CE61F3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7167F5D5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3ECB2597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09083055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719088B8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39DC81B3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64C94FF9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4C28AA1E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1CB11EEC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7D7AC711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3135EC6E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78F5C362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6A3971D4">
      <w:pPr>
        <w:keepNext w:val="0"/>
        <w:keepLines w:val="0"/>
        <w:widowControl/>
        <w:suppressLineNumbers w:val="0"/>
        <w:spacing w:line="360" w:lineRule="auto"/>
        <w:jc w:val="left"/>
        <w:rPr>
          <w:rFonts w:ascii="Times New Roman" w:hAnsi="Times New Roman" w:eastAsia="宋体" w:cs="Times New Roman"/>
          <w:bCs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2.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Gene set enrichment analysis (GSEA) analysis</w:t>
      </w:r>
    </w:p>
    <w:tbl>
      <w:tblPr>
        <w:tblStyle w:val="3"/>
        <w:tblW w:w="8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1083"/>
        <w:gridCol w:w="1060"/>
        <w:gridCol w:w="1060"/>
        <w:gridCol w:w="1083"/>
        <w:gridCol w:w="1060"/>
        <w:gridCol w:w="1060"/>
      </w:tblGrid>
      <w:tr w14:paraId="40EBF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vMerge w:val="restart"/>
            <w:shd w:val="clear" w:color="auto" w:fill="auto"/>
            <w:noWrap/>
            <w:vAlign w:val="center"/>
          </w:tcPr>
          <w:p w14:paraId="4E79D4E7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Gene set name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4974A2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NES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6F52E9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NES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1B3B53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NES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704EEF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FDR q VALUE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7B74EC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FDR q VALUE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246BD8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FDR q VALUE</w:t>
            </w:r>
          </w:p>
        </w:tc>
      </w:tr>
      <w:tr w14:paraId="3EA3A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vMerge w:val="continue"/>
            <w:shd w:val="clear" w:color="auto" w:fill="auto"/>
            <w:noWrap/>
            <w:vAlign w:val="center"/>
          </w:tcPr>
          <w:p w14:paraId="2CC4AE2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2CB847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KYSE30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5A1B8D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A2780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FCC01B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HGC27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0E0BF5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KYSE30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62CF5E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A2780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6713B6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HGC27</w:t>
            </w:r>
          </w:p>
        </w:tc>
      </w:tr>
      <w:tr w14:paraId="2509E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 w14:paraId="4279E87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"http://www.gsea-msigdb.org/gsea/msigdb/human/geneset/HALLMARK_CHOLESTEROL_HOMEOSTASIS"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CHOLESTEROL_</w:t>
            </w:r>
          </w:p>
          <w:p w14:paraId="5C05D41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HOMEOSTASIS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6A4FB7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2.33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7B1C63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2.14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C894FB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2.28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475B92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7542DF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D2A689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14:paraId="33B65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 w14:paraId="5DF90B8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COAGULATION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F593D9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1.84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5A1AF6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1.32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989C4C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1.09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9287B7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C5CE79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0.12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E8B972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0.37</w:t>
            </w:r>
          </w:p>
        </w:tc>
      </w:tr>
      <w:tr w14:paraId="23C62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 w14:paraId="0334657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IL2_STAT5_</w:t>
            </w:r>
          </w:p>
          <w:p w14:paraId="618FBE2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SIGNALING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027AE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1.35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9F5D03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1.45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E5E2F9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1.39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2C2553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D53507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4CFAB3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0.08</w:t>
            </w:r>
          </w:p>
        </w:tc>
      </w:tr>
      <w:tr w14:paraId="53D15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 w14:paraId="761DE45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IL6_JAK_STAT3_</w:t>
            </w:r>
          </w:p>
          <w:p w14:paraId="2E3665D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SIGNALING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174DEF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1.66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C13058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0.84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2ADF4A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1.14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CA6B28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6DECA7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BCB6EA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0.30</w:t>
            </w:r>
          </w:p>
        </w:tc>
      </w:tr>
      <w:tr w14:paraId="140EC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 w14:paraId="6E36F88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P53_PATHWAY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83FB4D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1.17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2FA57D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0.96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4A4122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1.71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C697A0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0.24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E8244C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0.71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650B68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</w:tr>
      <w:tr w14:paraId="166A8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 w14:paraId="33C292C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DNA_REPAIR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392DB9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-1.56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C64E79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-1.01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588046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-1.51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391449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7E0EB9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677318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</w:tr>
      <w:tr w14:paraId="67E4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 w14:paraId="3ED5694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OXIDATIVE_</w:t>
            </w:r>
          </w:p>
          <w:p w14:paraId="3F867D4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PHOSPHORYLATION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DB626A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-1.14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D6841E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-1.59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F91B90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-0.64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0785C9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0.28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317E66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4B9AAE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</w:tr>
      <w:tr w14:paraId="7A9B2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 w14:paraId="758FD6D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G2M_CHECKPOINT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41D189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-3.58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526C80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-0.82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68776D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-1.98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CC36A9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CDA203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FDF32E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14:paraId="7F59B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 w14:paraId="48B3030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MYC_TARGETS_V1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C0F4BB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-3.32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E5A527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-1.27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9ED7F5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-2.50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42E610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DFBDCC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0.29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247D14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14:paraId="0D383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 w14:paraId="5EBEAFA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E2F_TARGETS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141BCD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-3.79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BAF255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-1.59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D5B449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-2.41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74237B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1143A4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EDF744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</w:tbl>
    <w:p w14:paraId="44A6694A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7513C5E8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23CE4EE8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52313A70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31A1FE43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66844CD1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784E253A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0FF435AC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637D7586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64ED9BC7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0E5C86E2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17C21BE2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29D64C8B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78C4B644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47EEE43E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358DC966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54634906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670E3E3C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65C36929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7134C4D1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5F07E50B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26319DED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4DA2AC0C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5465CEF3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12476979">
      <w:pPr>
        <w:rPr>
          <w:rFonts w:ascii="Times New Roman" w:hAnsi="Times New Roman" w:eastAsia="宋体" w:cs="Times New Roman"/>
          <w:bCs w:val="0"/>
          <w:sz w:val="24"/>
          <w:szCs w:val="24"/>
        </w:rPr>
      </w:pPr>
    </w:p>
    <w:p w14:paraId="545357B0"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77597950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drawing>
          <wp:inline distT="0" distB="0" distL="114300" distR="114300">
            <wp:extent cx="5273040" cy="5701665"/>
            <wp:effectExtent l="0" t="0" r="3810" b="13335"/>
            <wp:docPr id="3" name="图片 3" descr="Supplemental Figure 1 RNAseq cycle and apopto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l Figure 1 RNAseq cycle and apoptosi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70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9B7BC">
      <w:pPr>
        <w:spacing w:line="360" w:lineRule="auto"/>
        <w:outlineLvl w:val="9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l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1.</w:t>
      </w:r>
      <w:bookmarkStart w:id="5" w:name="_Toc19345"/>
      <w:bookmarkStart w:id="6" w:name="_Toc6122"/>
      <w:bookmarkStart w:id="7" w:name="_Toc14828"/>
      <w:bookmarkStart w:id="8" w:name="_Toc18088"/>
      <w:r>
        <w:rPr>
          <w:rStyle w:val="7"/>
        </w:rPr>
        <w:t xml:space="preserve"> </w:t>
      </w:r>
      <w:bookmarkEnd w:id="5"/>
      <w:bookmarkEnd w:id="6"/>
      <w:bookmarkEnd w:id="7"/>
      <w:bookmarkEnd w:id="8"/>
      <w:r>
        <w:rPr>
          <w:rStyle w:val="7"/>
        </w:rPr>
        <w:t>Gilteritinib</w:t>
      </w:r>
      <w:r>
        <w:rPr>
          <w:rStyle w:val="7"/>
          <w:rFonts w:hint="eastAsia" w:eastAsia="宋体"/>
          <w:lang w:val="en-US" w:eastAsia="zh-CN"/>
        </w:rPr>
        <w:t xml:space="preserve"> </w:t>
      </w:r>
      <w:r>
        <w:rPr>
          <w:rFonts w:ascii="Times New Roman" w:hAnsi="Times New Roman" w:eastAsia="等线" w:cs="Times New Roman"/>
          <w:b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significantly regulated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the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cell cycle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apoptosis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DEGs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expression in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EC, OC and GC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cells. </w:t>
      </w:r>
      <w:r>
        <w:rPr>
          <w:rFonts w:ascii="Times New Roman" w:hAnsi="Times New Roman"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Heatmap 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significantly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displaying the levels of major cell cycle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(A) and </w:t>
      </w:r>
      <w:r>
        <w:rPr>
          <w:rFonts w:ascii="Times New Roman" w:hAnsi="Times New Roman"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apoptosis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(B) </w:t>
      </w:r>
      <w:r>
        <w:rPr>
          <w:rFonts w:ascii="Times New Roman" w:hAnsi="Times New Roman"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related genes in the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KYSE30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A2780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HGC-27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cells treated with Control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and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1 µM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Gilteritinib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.</w:t>
      </w:r>
    </w:p>
    <w:p w14:paraId="17680DF2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5E629C72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13704F14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3ACCEA73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1B939FA5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0B4BFA75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6B854602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4FCF76FE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66176B18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6216015"/>
            <wp:effectExtent l="0" t="0" r="7620" b="13335"/>
            <wp:docPr id="2" name="图片 2" descr="Supplemental Figure 2 RNAseq mTOR, AMPK，P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l Figure 2 RNAseq mTOR, AMPK，P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21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9F073">
      <w:pPr>
        <w:spacing w:line="360" w:lineRule="auto"/>
        <w:outlineLvl w:val="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l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2. </w:t>
      </w:r>
      <w:r>
        <w:rPr>
          <w:rStyle w:val="7"/>
        </w:rPr>
        <w:t>Gilteritinib</w:t>
      </w:r>
      <w:r>
        <w:rPr>
          <w:rFonts w:ascii="Times New Roman" w:hAnsi="Times New Roman" w:eastAsia="等线" w:cs="Times New Roman"/>
          <w:b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significantly regulated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the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mTOR,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AMPK 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and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P53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pathway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DEGs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expression in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EC, OC and GC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cells.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Heatmap of significantly regulated genes of transcriptomes</w:t>
      </w:r>
      <w:r>
        <w:rPr>
          <w:rFonts w:ascii="Times New Roman" w:hAnsi="Times New Roman"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in the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KYSE30 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(A),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A2780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(B) and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HGC-27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(C) cells treated with Control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and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1 µM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Gilteritinib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correlated with the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mTOR,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AMPK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P53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signaling 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pathway.</w:t>
      </w:r>
    </w:p>
    <w:p w14:paraId="6683819A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7D7DC9C0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773C4F50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6C188D46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785CA814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78D364CB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865" cy="6176010"/>
            <wp:effectExtent l="0" t="0" r="6985" b="15240"/>
            <wp:docPr id="4" name="图片 4" descr="Supplemental Figure 3 RNAseq FOXO，Hippo, W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l Figure 3 RNAseq FOXO，Hippo, Wn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17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A3968">
      <w:pPr>
        <w:spacing w:line="360" w:lineRule="auto"/>
        <w:outlineLvl w:val="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l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3. </w:t>
      </w:r>
      <w:r>
        <w:rPr>
          <w:rStyle w:val="7"/>
        </w:rPr>
        <w:t>Gilteritinib</w:t>
      </w:r>
      <w:r>
        <w:rPr>
          <w:rFonts w:ascii="Times New Roman" w:hAnsi="Times New Roman" w:eastAsia="等线" w:cs="Times New Roman"/>
          <w:b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significantly regulated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the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FOXO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, Hippo</w:t>
      </w:r>
      <w:r>
        <w:rPr>
          <w:rFonts w:hint="eastAsia" w:ascii="Times New Roman" w:hAnsi="Times New Roman" w:eastAsia="等线" w:cs="Times New Roman"/>
          <w:b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Wnt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pathway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DEGs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expression in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EC, OC and GC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cells.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Heatmap of significantly regulated genes of transcriptomes</w:t>
      </w:r>
      <w:r>
        <w:rPr>
          <w:rFonts w:ascii="Times New Roman" w:hAnsi="Times New Roman" w:eastAsia="宋体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in the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KYSE30 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(A),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A2780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(B) and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HGC-27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(C) cells treated with Control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and</w:t>
      </w:r>
      <w:r>
        <w:rPr>
          <w:rFonts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1 µM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Gilteritinib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correlated with the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FOXO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, Hippo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Wnt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signaling 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pathway.</w:t>
      </w:r>
    </w:p>
    <w:p w14:paraId="5B5B9A69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0CF9CA9F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45C1D822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5815ED7B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0A0B1112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21C72FAF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4407535"/>
            <wp:effectExtent l="0" t="0" r="7620" b="12065"/>
            <wp:docPr id="1" name="图片 1" descr="Supplemental Figure 3  Expression of DE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l Figure 3  Expression of DEG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40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B9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l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4.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Expression of genes in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EC, OC and GC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TCGA cohort.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The expression of C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ENPE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MCM4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GSPT1,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MMS22L, DDX21, VDAC1, FDX1, OPA1, PDHX, ELOA, BCL3 and RACGP1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genes were high in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EC, OC and GC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in comparison to normal controls. p&lt;0.05 is considered significant and was calculated by the two tailed Student’s t test.</w:t>
      </w:r>
    </w:p>
    <w:p w14:paraId="1EE2A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11C5E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4556D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1F656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176E7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09EC9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116D1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1F975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5E160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670FA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0500" cy="4024630"/>
            <wp:effectExtent l="0" t="0" r="6350" b="13970"/>
            <wp:docPr id="8" name="图片 8" descr="Supplemental Figure 5  BW PD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al Figure 5  BW PDX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2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7C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l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5.</w:t>
      </w:r>
      <w:r>
        <w:rPr>
          <w:rStyle w:val="7"/>
          <w:rFonts w:hint="eastAsia" w:eastAsia="宋体" w:cs="Times New Roman"/>
          <w:b/>
          <w:bCs/>
          <w:lang w:val="en-US" w:eastAsia="zh-CN"/>
        </w:rPr>
        <w:t xml:space="preserve"> </w:t>
      </w:r>
      <w:r>
        <w:rPr>
          <w:rStyle w:val="7"/>
          <w:rFonts w:hint="eastAsia" w:eastAsia="宋体"/>
          <w:b/>
          <w:bCs/>
          <w:lang w:val="en-US" w:eastAsia="zh-CN"/>
        </w:rPr>
        <w:t>Effects of Gilteritinib</w:t>
      </w:r>
      <w:r>
        <w:rPr>
          <w:rStyle w:val="7"/>
          <w:b/>
          <w:bCs/>
        </w:rPr>
        <w:t xml:space="preserve"> on </w:t>
      </w:r>
      <w:r>
        <w:rPr>
          <w:rStyle w:val="7"/>
          <w:rFonts w:hint="eastAsia"/>
          <w:b/>
          <w:bCs/>
        </w:rPr>
        <w:t>body weight</w:t>
      </w:r>
      <w:r>
        <w:rPr>
          <w:rStyle w:val="7"/>
          <w:b/>
          <w:bCs/>
        </w:rPr>
        <w:t xml:space="preserve"> of</w:t>
      </w:r>
      <w:r>
        <w:rPr>
          <w:rStyle w:val="7"/>
          <w:rFonts w:hint="eastAsia" w:eastAsia="宋体"/>
          <w:b/>
          <w:bCs/>
          <w:lang w:val="en-US" w:eastAsia="zh-CN"/>
        </w:rPr>
        <w:t xml:space="preserve"> EC</w:t>
      </w:r>
      <w:r>
        <w:rPr>
          <w:rStyle w:val="7"/>
          <w:rFonts w:hint="eastAsia"/>
          <w:b/>
          <w:bCs/>
        </w:rPr>
        <w:t xml:space="preserve"> PDX model</w:t>
      </w:r>
      <w:r>
        <w:rPr>
          <w:rStyle w:val="7"/>
          <w:rFonts w:hint="eastAsia" w:eastAsia="宋体"/>
          <w:b/>
          <w:bCs/>
          <w:lang w:val="en-US" w:eastAsia="zh-CN"/>
        </w:rPr>
        <w:t>s</w:t>
      </w:r>
      <w:r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weights and the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ir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corresponding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weight changes of mice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following treatment with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Gilteritinib</w:t>
      </w:r>
      <w:r>
        <w:rPr>
          <w:rFonts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as indicated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were assessed twice every week in 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EC-241</w:t>
      </w:r>
      <w:r>
        <w:rPr>
          <w:rFonts w:hint="eastAsia" w:ascii="Times New Roman" w:hAnsi="Times New Roman" w:eastAsia="等线" w:cs="Times New Roman"/>
          <w:b w:val="0"/>
          <w:bCs w:val="0"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(A)</w:t>
      </w:r>
      <w:r>
        <w:rPr>
          <w:rFonts w:hint="eastAsia"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and E</w:t>
      </w:r>
      <w:r>
        <w:rPr>
          <w:rFonts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-291</w:t>
      </w:r>
      <w:r>
        <w:rPr>
          <w:rFonts w:hint="eastAsia" w:ascii="Times New Roman" w:hAnsi="Times New Roman" w:eastAsia="等线" w:cs="Times New Roman"/>
          <w:b w:val="0"/>
          <w:bCs w:val="0"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B</w:t>
      </w:r>
      <w:r>
        <w:rPr>
          <w:rFonts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PDX models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 w14:paraId="20CD4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0B19A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04839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2BD80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1135" cy="5810250"/>
            <wp:effectExtent l="0" t="0" r="5715" b="0"/>
            <wp:docPr id="7" name="图片 7" descr="Supplemental Figure 6  HE PD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l Figure 6  HE PDX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81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BC26E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55491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l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6. </w:t>
      </w:r>
      <w:r>
        <w:rPr>
          <w:rStyle w:val="7"/>
          <w:rFonts w:hint="eastAsia" w:eastAsia="宋体"/>
          <w:b/>
          <w:bCs/>
          <w:lang w:val="en-US" w:eastAsia="zh-CN"/>
        </w:rPr>
        <w:t>Effects of Gilteritinib</w:t>
      </w:r>
      <w:r>
        <w:rPr>
          <w:rStyle w:val="7"/>
          <w:b/>
          <w:bCs/>
        </w:rPr>
        <w:t xml:space="preserve"> on</w:t>
      </w:r>
      <w:r>
        <w:rPr>
          <w:rStyle w:val="7"/>
          <w:rFonts w:hint="eastAsia" w:eastAsia="宋体"/>
          <w:b/>
          <w:bCs/>
          <w:lang w:val="en-US" w:eastAsia="zh-CN"/>
        </w:rPr>
        <w:t xml:space="preserve"> </w:t>
      </w:r>
      <w:r>
        <w:rPr>
          <w:rStyle w:val="7"/>
          <w:b/>
          <w:bCs/>
        </w:rPr>
        <w:t>histology of</w:t>
      </w:r>
      <w:r>
        <w:rPr>
          <w:rStyle w:val="7"/>
          <w:rFonts w:hint="eastAsia" w:eastAsia="宋体"/>
          <w:b/>
          <w:bCs/>
          <w:lang w:val="en-US" w:eastAsia="zh-CN"/>
        </w:rPr>
        <w:t xml:space="preserve"> EC</w:t>
      </w:r>
      <w:r>
        <w:rPr>
          <w:rStyle w:val="7"/>
          <w:rFonts w:hint="eastAsia"/>
          <w:b/>
          <w:bCs/>
        </w:rPr>
        <w:t xml:space="preserve"> PDX model</w:t>
      </w:r>
      <w:r>
        <w:rPr>
          <w:rStyle w:val="7"/>
          <w:rFonts w:hint="eastAsia" w:eastAsia="宋体"/>
          <w:b/>
          <w:bCs/>
          <w:lang w:val="en-US" w:eastAsia="zh-CN"/>
        </w:rPr>
        <w:t>s</w:t>
      </w:r>
      <w:r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宋体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Histopathology (H&amp;E) of the vital organs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heart, liver, spleen, lung and kidney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EC-241</w:t>
      </w:r>
      <w:r>
        <w:rPr>
          <w:rFonts w:hint="eastAsia"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and E</w:t>
      </w:r>
      <w:r>
        <w:rPr>
          <w:rFonts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eastAsia="等线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-291</w:t>
      </w:r>
      <w:r>
        <w:rPr>
          <w:rStyle w:val="7"/>
          <w:rFonts w:hint="eastAsia"/>
          <w:b w:val="0"/>
          <w:bCs w:val="0"/>
        </w:rPr>
        <w:t xml:space="preserve"> PDX</w:t>
      </w:r>
      <w:r>
        <w:rPr>
          <w:rStyle w:val="7"/>
          <w:rFonts w:hint="eastAsia" w:eastAsia="宋体"/>
          <w:b w:val="0"/>
          <w:bCs w:val="0"/>
          <w:lang w:val="en-US" w:eastAsia="zh-CN"/>
        </w:rPr>
        <w:t>s</w:t>
      </w:r>
      <w:r>
        <w:rPr>
          <w:rFonts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at the end of the experiment</w:t>
      </w:r>
      <w:r>
        <w:rPr>
          <w:rFonts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The images were scanned and captured using digital scanner EVOS Image system at </w:t>
      </w:r>
      <w:r>
        <w:rPr>
          <w:rFonts w:ascii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200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×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magnification. Scale bars = 50 µm.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AA68C9"/>
    <w:multiLevelType w:val="multilevel"/>
    <w:tmpl w:val="70AA68C9"/>
    <w:lvl w:ilvl="0" w:tentative="0">
      <w:start w:val="1"/>
      <w:numFmt w:val="decimal"/>
      <w:pStyle w:val="2"/>
      <w:lvlText w:val="%1."/>
      <w:lvlJc w:val="left"/>
      <w:pPr>
        <w:ind w:left="420" w:hanging="420"/>
      </w:pPr>
    </w:lvl>
    <w:lvl w:ilvl="1" w:tentative="0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4MDgzYjBjYWNkMTIyZWQ1NzRkMGY4MTMwMDc4NTQifQ=="/>
  </w:docVars>
  <w:rsids>
    <w:rsidRoot w:val="21464A74"/>
    <w:rsid w:val="00537C28"/>
    <w:rsid w:val="06AA65CF"/>
    <w:rsid w:val="0FFA5F9B"/>
    <w:rsid w:val="10993D87"/>
    <w:rsid w:val="115231BD"/>
    <w:rsid w:val="135053A1"/>
    <w:rsid w:val="16821B96"/>
    <w:rsid w:val="1AA04930"/>
    <w:rsid w:val="1D4806BC"/>
    <w:rsid w:val="1E2F264C"/>
    <w:rsid w:val="21464A74"/>
    <w:rsid w:val="23021FAC"/>
    <w:rsid w:val="242D4168"/>
    <w:rsid w:val="25BE7D90"/>
    <w:rsid w:val="2A8635C1"/>
    <w:rsid w:val="2A9E2546"/>
    <w:rsid w:val="2F195A15"/>
    <w:rsid w:val="30AE1C18"/>
    <w:rsid w:val="30B66AED"/>
    <w:rsid w:val="33D2699B"/>
    <w:rsid w:val="34754627"/>
    <w:rsid w:val="35BC4AA2"/>
    <w:rsid w:val="38805848"/>
    <w:rsid w:val="38A018AB"/>
    <w:rsid w:val="3B0B1523"/>
    <w:rsid w:val="42AE426E"/>
    <w:rsid w:val="453A293A"/>
    <w:rsid w:val="458733EC"/>
    <w:rsid w:val="459E05CA"/>
    <w:rsid w:val="475C698F"/>
    <w:rsid w:val="47DE1152"/>
    <w:rsid w:val="489839F7"/>
    <w:rsid w:val="4ACE0368"/>
    <w:rsid w:val="4ED43D8A"/>
    <w:rsid w:val="51CE3B77"/>
    <w:rsid w:val="53C929EF"/>
    <w:rsid w:val="57B45D98"/>
    <w:rsid w:val="585F42E8"/>
    <w:rsid w:val="5A2E6C0D"/>
    <w:rsid w:val="5D5061F6"/>
    <w:rsid w:val="5D6C4F36"/>
    <w:rsid w:val="622A5268"/>
    <w:rsid w:val="6F98323E"/>
    <w:rsid w:val="797E310A"/>
    <w:rsid w:val="7BDF7AA9"/>
    <w:rsid w:val="7CB2612B"/>
    <w:rsid w:val="7EAD4DFF"/>
    <w:rsid w:val="7F5E3D33"/>
    <w:rsid w:val="7FBC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numPr>
        <w:ilvl w:val="0"/>
        <w:numId w:val="1"/>
      </w:numPr>
      <w:spacing w:before="120" w:after="120" w:line="360" w:lineRule="auto"/>
      <w:outlineLvl w:val="0"/>
    </w:pPr>
    <w:rPr>
      <w:rFonts w:ascii="Times New Roman" w:hAnsi="Times New Roman" w:eastAsia="Times New Roman"/>
      <w:b/>
      <w:bCs/>
      <w:kern w:val="44"/>
      <w:sz w:val="2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style01"/>
    <w:basedOn w:val="5"/>
    <w:qFormat/>
    <w:uiPriority w:val="0"/>
    <w:rPr>
      <w:rFonts w:hint="default" w:ascii="CIDFont+F2" w:hAnsi="CIDFont+F2"/>
      <w:b/>
      <w:bCs/>
      <w:color w:val="000000"/>
      <w:sz w:val="20"/>
      <w:szCs w:val="20"/>
    </w:rPr>
  </w:style>
  <w:style w:type="character" w:customStyle="1" w:styleId="7">
    <w:name w:val="标题 1 Char"/>
    <w:link w:val="2"/>
    <w:qFormat/>
    <w:uiPriority w:val="9"/>
    <w:rPr>
      <w:rFonts w:ascii="Times New Roman" w:hAnsi="Times New Roman" w:eastAsia="Times New Roman"/>
      <w:b/>
      <w:bCs/>
      <w:kern w:val="44"/>
      <w:sz w:val="2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655</Words>
  <Characters>3335</Characters>
  <Lines>0</Lines>
  <Paragraphs>0</Paragraphs>
  <TotalTime>0</TotalTime>
  <ScaleCrop>false</ScaleCrop>
  <LinksUpToDate>false</LinksUpToDate>
  <CharactersWithSpaces>3688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2023-09-27T07:54:00Z</dcterms:created>
  <dc:creator>Lu_葫芦@@@</dc:creator>
  <cp:lastModifiedBy>93644</cp:lastModifiedBy>
  <dcterms:modified xsi:type="dcterms:W3CDTF">2024-09-22T04:24:41Z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F69D0EE2AFAD419B89ADD6F74CCF9075_11</vt:lpwstr>
  </property>
</Properties>
</file>