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4D444">
      <w:pPr>
        <w:widowControl/>
        <w:autoSpaceDE w:val="0"/>
        <w:autoSpaceDN w:val="0"/>
        <w:adjustRightInd w:val="0"/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Unveiling the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ontinuum of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cute-on-chronic liver failure: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henotypic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nsights into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everity and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o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utcomes</w:t>
      </w:r>
    </w:p>
    <w:p w14:paraId="41A89C75">
      <w:pPr>
        <w:spacing w:line="480" w:lineRule="auto"/>
        <w:rPr>
          <w:rFonts w:hint="default" w:ascii="Times New Roman" w:hAnsi="Times New Roman" w:eastAsia="等线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Qian Zhang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12</w:t>
      </w:r>
      <w:r>
        <w:rPr>
          <w:rFonts w:hint="default" w:ascii="Times New Roman" w:hAnsi="Times New Roman" w:eastAsia="等线" w:cs="Times New Roman"/>
          <w:sz w:val="24"/>
          <w:szCs w:val="24"/>
        </w:rPr>
        <w:t>, Jiaxuan Hu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34</w:t>
      </w:r>
      <w:r>
        <w:rPr>
          <w:rFonts w:hint="default" w:ascii="Times New Roman" w:hAnsi="Times New Roman" w:eastAsia="等线" w:cs="Times New Roman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Shaotian Qiu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34</w:t>
      </w:r>
      <w:r>
        <w:rPr>
          <w:rFonts w:hint="default" w:ascii="Times New Roman" w:hAnsi="Times New Roman" w:eastAsia="等线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>Jiale Bian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34</w:t>
      </w:r>
      <w:r>
        <w:rPr>
          <w:rFonts w:hint="default" w:ascii="Times New Roman" w:hAnsi="Times New Roman" w:eastAsia="等线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>Aimin Gao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>, Fang Liu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6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等线" w:cs="Times New Roman"/>
          <w:sz w:val="24"/>
          <w:szCs w:val="24"/>
        </w:rPr>
        <w:t>Caiyan Zhao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7</w:t>
      </w:r>
      <w:r>
        <w:rPr>
          <w:rFonts w:hint="default" w:ascii="Times New Roman" w:hAnsi="Times New Roman" w:eastAsia="等线" w:cs="Times New Roman"/>
          <w:sz w:val="24"/>
          <w:szCs w:val="24"/>
        </w:rPr>
        <w:t>, Liaoyun Zhang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8</w:t>
      </w:r>
      <w:r>
        <w:rPr>
          <w:rFonts w:hint="default" w:ascii="Times New Roman" w:hAnsi="Times New Roman" w:eastAsia="等线" w:cs="Times New Roman"/>
          <w:sz w:val="24"/>
          <w:szCs w:val="24"/>
        </w:rPr>
        <w:t>, Wanhua Ren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9</w:t>
      </w:r>
      <w:r>
        <w:rPr>
          <w:rFonts w:hint="default" w:ascii="Times New Roman" w:hAnsi="Times New Roman" w:eastAsia="等线" w:cs="Times New Roman"/>
          <w:sz w:val="24"/>
          <w:szCs w:val="24"/>
        </w:rPr>
        <w:t>, Shaojie Xin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10</w:t>
      </w:r>
      <w:r>
        <w:rPr>
          <w:rFonts w:hint="default" w:ascii="Times New Roman" w:hAnsi="Times New Roman" w:eastAsia="等线" w:cs="Times New Roman"/>
          <w:sz w:val="24"/>
          <w:szCs w:val="24"/>
        </w:rPr>
        <w:t>, Yu Chen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11</w:t>
      </w:r>
      <w:r>
        <w:rPr>
          <w:rFonts w:hint="default" w:ascii="Times New Roman" w:hAnsi="Times New Roman" w:eastAsia="等线" w:cs="Times New Roman"/>
          <w:sz w:val="24"/>
          <w:szCs w:val="24"/>
        </w:rPr>
        <w:t>, Zhongping Duan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11</w:t>
      </w:r>
      <w:r>
        <w:rPr>
          <w:rFonts w:hint="default" w:ascii="Times New Roman" w:hAnsi="Times New Roman" w:eastAsia="等线" w:cs="Times New Roman"/>
          <w:sz w:val="24"/>
          <w:szCs w:val="24"/>
        </w:rPr>
        <w:t>, Tao Han</w:t>
      </w: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*13456</w:t>
      </w:r>
    </w:p>
    <w:p w14:paraId="1ECC1F3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Gastroenterology and Hepatology, Tianjin Union Medical Center, Tianjin 300121, China;</w:t>
      </w:r>
    </w:p>
    <w:p w14:paraId="26B201A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Tianjin Medical University, Tianjin 300070, China;</w:t>
      </w:r>
    </w:p>
    <w:p w14:paraId="5119366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The School of Medicine, Nankai University, Tianjin 300071, China;</w:t>
      </w:r>
    </w:p>
    <w:p w14:paraId="689DCE5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4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Gastroenterology and Hepatology, Tianjin Union Medical Center Affiliated to Nankai University, Tianjin 300121, China;</w:t>
      </w:r>
    </w:p>
    <w:p w14:paraId="6720E4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Gastroenterology and Hepatology, Tianjin Union Medical Center of Tianjin Medical University, Tianjin 300121, China;</w:t>
      </w:r>
    </w:p>
    <w:p w14:paraId="5209795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>6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Hepatology and Gastroenterology, The Third Central Clinical College of</w:t>
      </w:r>
      <w:r>
        <w:rPr>
          <w:rFonts w:hint="default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Tianjin Medical University, Tianjin 300170, China;</w:t>
      </w:r>
    </w:p>
    <w:p w14:paraId="772A548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7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Infectious Disease, the Third Hospital of Hebei Medical University, Shijiazhuang 050051, China;</w:t>
      </w:r>
    </w:p>
    <w:p w14:paraId="586B320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vertAlign w:val="superscript"/>
        </w:rPr>
        <w:t>8</w:t>
      </w:r>
      <w:r>
        <w:rPr>
          <w:rFonts w:hint="eastAsia" w:ascii="Times New Roman" w:hAnsi="Times New Roman" w:eastAsia="等线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Department of Infection Disease, First Hospital of Shanxi Medical University, Taiyuan 030001, China;</w:t>
      </w:r>
    </w:p>
    <w:p w14:paraId="330E246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vertAlign w:val="superscript"/>
        </w:rPr>
        <w:t>9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Infectious Department of Shandong First Medical University Affiliated Shandong Provincial Hospital, Jinan 250021, China;</w:t>
      </w:r>
    </w:p>
    <w:p w14:paraId="27F728A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vertAlign w:val="superscript"/>
        </w:rPr>
        <w:t>10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Liver Failure Treatment and Research Center, The Fifth Medical Center of Chinese PLA General Hospital, Beijing 100039, China;</w:t>
      </w:r>
    </w:p>
    <w:p w14:paraId="26FE996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vertAlign w:val="superscript"/>
        </w:rPr>
        <w:t>11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 w:val="24"/>
          <w:szCs w:val="24"/>
        </w:rPr>
        <w:t>Liver Disease Center (Difficult &amp; Complicated Liver Diseases and Artificial Liver Center), Beijing You’an Hospital Affiliated to Capital Medical University, Beijing 100069, China.</w:t>
      </w:r>
    </w:p>
    <w:p w14:paraId="66BA596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sz w:val="24"/>
          <w:szCs w:val="24"/>
        </w:rPr>
        <w:t xml:space="preserve">Corresponding author: </w:t>
      </w:r>
      <w:r>
        <w:rPr>
          <w:rFonts w:hint="default" w:ascii="Times New Roman" w:hAnsi="Times New Roman" w:eastAsia="等线" w:cs="Times New Roman"/>
          <w:sz w:val="24"/>
          <w:szCs w:val="24"/>
        </w:rPr>
        <w:t>Tao Han, M.D PhD</w:t>
      </w:r>
    </w:p>
    <w:p w14:paraId="1604F50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E-mail: hantaomd@126.com</w:t>
      </w:r>
    </w:p>
    <w:p w14:paraId="5738C5E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Tel: +86 02227557228</w:t>
      </w:r>
    </w:p>
    <w:p w14:paraId="380C86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Fax: +86 02224316799</w:t>
      </w:r>
    </w:p>
    <w:p w14:paraId="5380ADB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ORCID: 0000-0003-4216-6968</w:t>
      </w:r>
    </w:p>
    <w:p w14:paraId="0A9445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480" w:lineRule="auto"/>
        <w:textAlignment w:val="auto"/>
        <w:rPr>
          <w:rFonts w:hint="default" w:ascii="Times New Roman" w:hAnsi="Times New Roman" w:eastAsia="等线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</w:rPr>
        <w:t>Address: Department of Hepatology and Gastroenterology, Tianjin Union Medical Center affiliated to Nankai University, 190 Jieyuan Road, Hongqiao District, Tianjin 300121, China.</w:t>
      </w:r>
    </w:p>
    <w:p w14:paraId="692D3F1F">
      <w:pPr>
        <w:widowControl/>
        <w:autoSpaceDE w:val="0"/>
        <w:autoSpaceDN w:val="0"/>
        <w:adjustRightInd w:val="0"/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321"/>
        <w:gridCol w:w="765"/>
        <w:gridCol w:w="1389"/>
        <w:gridCol w:w="819"/>
        <w:gridCol w:w="1321"/>
        <w:gridCol w:w="765"/>
        <w:gridCol w:w="1335"/>
        <w:gridCol w:w="754"/>
        <w:gridCol w:w="1328"/>
        <w:gridCol w:w="758"/>
        <w:gridCol w:w="1342"/>
        <w:gridCol w:w="755"/>
      </w:tblGrid>
      <w:tr w14:paraId="5E41F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right w:val="nil"/>
            </w:tcBorders>
            <w:vAlign w:val="bottom"/>
          </w:tcPr>
          <w:p w14:paraId="06A90595">
            <w:pPr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HAnsi"/>
                <w:b/>
                <w:sz w:val="24"/>
                <w:szCs w:val="24"/>
              </w:rPr>
              <w:t>Supplementary Table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 xml:space="preserve">1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erformance of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prognostic s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coring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ystems for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redicting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28-d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ay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>ortality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of 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atients with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re-ACLF </w:t>
            </w:r>
            <w:r>
              <w:rPr>
                <w:rFonts w:hint="eastAsia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stage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>and EASL-CLIF ACLF </w:t>
            </w:r>
            <w:r>
              <w:rPr>
                <w:rFonts w:hint="eastAsia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stage</w:t>
            </w:r>
          </w:p>
        </w:tc>
      </w:tr>
      <w:tr w14:paraId="0E7B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vMerge w:val="restart"/>
            <w:vAlign w:val="bottom"/>
          </w:tcPr>
          <w:p w14:paraId="5391CC35">
            <w:pPr>
              <w:ind w:firstLine="240" w:firstLineChars="100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Models</w:t>
            </w:r>
          </w:p>
        </w:tc>
        <w:tc>
          <w:tcPr>
            <w:tcW w:w="1514" w:type="pct"/>
            <w:gridSpan w:val="4"/>
            <w:vAlign w:val="center"/>
          </w:tcPr>
          <w:p w14:paraId="49D430CC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ALL</w:t>
            </w:r>
          </w:p>
        </w:tc>
        <w:tc>
          <w:tcPr>
            <w:tcW w:w="1472" w:type="pct"/>
            <w:gridSpan w:val="4"/>
            <w:vAlign w:val="center"/>
          </w:tcPr>
          <w:p w14:paraId="62C3165B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HBV</w:t>
            </w:r>
          </w:p>
        </w:tc>
        <w:tc>
          <w:tcPr>
            <w:tcW w:w="1475" w:type="pct"/>
            <w:gridSpan w:val="4"/>
            <w:vAlign w:val="center"/>
          </w:tcPr>
          <w:p w14:paraId="07A481E8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Alcohol</w:t>
            </w:r>
          </w:p>
        </w:tc>
      </w:tr>
      <w:tr w14:paraId="3CB74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vMerge w:val="continue"/>
          </w:tcPr>
          <w:p w14:paraId="0FFA4B0C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35" w:type="pct"/>
            <w:gridSpan w:val="2"/>
            <w:vAlign w:val="center"/>
          </w:tcPr>
          <w:p w14:paraId="1A4A91FD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778" w:type="pct"/>
            <w:gridSpan w:val="2"/>
            <w:vAlign w:val="center"/>
          </w:tcPr>
          <w:p w14:paraId="7E7B315A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  <w:tc>
          <w:tcPr>
            <w:tcW w:w="735" w:type="pct"/>
            <w:gridSpan w:val="2"/>
            <w:vAlign w:val="center"/>
          </w:tcPr>
          <w:p w14:paraId="274F1417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736" w:type="pct"/>
            <w:gridSpan w:val="2"/>
            <w:vAlign w:val="center"/>
          </w:tcPr>
          <w:p w14:paraId="2E8CFD82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  <w:tc>
          <w:tcPr>
            <w:tcW w:w="735" w:type="pct"/>
            <w:gridSpan w:val="2"/>
            <w:vAlign w:val="center"/>
          </w:tcPr>
          <w:p w14:paraId="5E6A3C1A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739" w:type="pct"/>
            <w:gridSpan w:val="2"/>
            <w:vAlign w:val="center"/>
          </w:tcPr>
          <w:p w14:paraId="70DB4789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</w:tr>
      <w:tr w14:paraId="714A1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vMerge w:val="continue"/>
            <w:shd w:val="clear" w:color="auto" w:fill="auto"/>
            <w:vAlign w:val="center"/>
          </w:tcPr>
          <w:p w14:paraId="60786728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5" w:type="pct"/>
            <w:vAlign w:val="center"/>
          </w:tcPr>
          <w:p w14:paraId="4269A91A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69" w:type="pct"/>
            <w:vAlign w:val="center"/>
          </w:tcPr>
          <w:p w14:paraId="3BFCD650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489" w:type="pct"/>
            <w:vAlign w:val="center"/>
          </w:tcPr>
          <w:p w14:paraId="746CE4BE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88" w:type="pct"/>
            <w:vAlign w:val="center"/>
          </w:tcPr>
          <w:p w14:paraId="2351DBA9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465" w:type="pct"/>
            <w:vAlign w:val="center"/>
          </w:tcPr>
          <w:p w14:paraId="24022969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69" w:type="pct"/>
            <w:vAlign w:val="center"/>
          </w:tcPr>
          <w:p w14:paraId="6E134D2E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470" w:type="pct"/>
            <w:vAlign w:val="center"/>
          </w:tcPr>
          <w:p w14:paraId="60C3A5A7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65" w:type="pct"/>
            <w:vAlign w:val="center"/>
          </w:tcPr>
          <w:p w14:paraId="172D7942">
            <w:pPr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bidi="ar"/>
              </w:rPr>
              <w:t xml:space="preserve">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468" w:type="pct"/>
            <w:vAlign w:val="center"/>
          </w:tcPr>
          <w:p w14:paraId="01E2D8B8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67" w:type="pct"/>
            <w:vAlign w:val="center"/>
          </w:tcPr>
          <w:p w14:paraId="4A822F54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473" w:type="pct"/>
            <w:vAlign w:val="center"/>
          </w:tcPr>
          <w:p w14:paraId="3EB7E8E8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266" w:type="pct"/>
            <w:vAlign w:val="center"/>
          </w:tcPr>
          <w:p w14:paraId="03497121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 xml:space="preserve"> value</w:t>
            </w:r>
          </w:p>
        </w:tc>
      </w:tr>
      <w:tr w14:paraId="0E52D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shd w:val="clear" w:color="auto" w:fill="auto"/>
            <w:vAlign w:val="center"/>
          </w:tcPr>
          <w:p w14:paraId="6DCEFAA2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COSSH-ACLF IIs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72421D98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0.479 (0.402-0.555)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60A35D7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5E95E78F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0.665 (0.610-0.721)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1D5584F1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0.261</w:t>
            </w:r>
          </w:p>
        </w:tc>
        <w:tc>
          <w:tcPr>
            <w:tcW w:w="465" w:type="pct"/>
            <w:vAlign w:val="center"/>
          </w:tcPr>
          <w:p w14:paraId="36F99774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0.533 (0.444-0.621)</w:t>
            </w:r>
          </w:p>
        </w:tc>
        <w:tc>
          <w:tcPr>
            <w:tcW w:w="269" w:type="pct"/>
            <w:vAlign w:val="center"/>
          </w:tcPr>
          <w:p w14:paraId="02A00585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0.068</w:t>
            </w:r>
          </w:p>
        </w:tc>
        <w:tc>
          <w:tcPr>
            <w:tcW w:w="470" w:type="pct"/>
            <w:vAlign w:val="center"/>
          </w:tcPr>
          <w:p w14:paraId="1D2C8145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0.659 (0.589-0.730)</w:t>
            </w:r>
          </w:p>
        </w:tc>
        <w:tc>
          <w:tcPr>
            <w:tcW w:w="265" w:type="pct"/>
            <w:vAlign w:val="center"/>
          </w:tcPr>
          <w:p w14:paraId="224722E5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0.358</w:t>
            </w:r>
          </w:p>
        </w:tc>
        <w:tc>
          <w:tcPr>
            <w:tcW w:w="468" w:type="pct"/>
            <w:vAlign w:val="center"/>
          </w:tcPr>
          <w:p w14:paraId="0879C76A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0.509 (0.350-0.667)</w:t>
            </w:r>
          </w:p>
        </w:tc>
        <w:tc>
          <w:tcPr>
            <w:tcW w:w="267" w:type="pct"/>
            <w:vAlign w:val="center"/>
          </w:tcPr>
          <w:p w14:paraId="5FB7021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0.041</w:t>
            </w:r>
          </w:p>
        </w:tc>
        <w:tc>
          <w:tcPr>
            <w:tcW w:w="473" w:type="pct"/>
            <w:vAlign w:val="center"/>
          </w:tcPr>
          <w:p w14:paraId="37C924DD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0.700 (0.613-0.786)</w:t>
            </w:r>
          </w:p>
        </w:tc>
        <w:tc>
          <w:tcPr>
            <w:tcW w:w="266" w:type="pct"/>
            <w:vAlign w:val="center"/>
          </w:tcPr>
          <w:p w14:paraId="7729AD91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0.645</w:t>
            </w:r>
          </w:p>
        </w:tc>
      </w:tr>
      <w:tr w14:paraId="7E1DE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shd w:val="clear" w:color="auto" w:fill="auto"/>
            <w:vAlign w:val="center"/>
          </w:tcPr>
          <w:p w14:paraId="260CD778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CLIF-C ACLFs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0709046D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0.592 (0.516-0.668)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AC09B76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0.192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54FCFD1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0.689 (0.636-0.743)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3404E04D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465" w:type="pct"/>
            <w:vAlign w:val="center"/>
          </w:tcPr>
          <w:p w14:paraId="3FD2058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0.595 (0.506-0.684)</w:t>
            </w:r>
          </w:p>
        </w:tc>
        <w:tc>
          <w:tcPr>
            <w:tcW w:w="269" w:type="pct"/>
            <w:vAlign w:val="center"/>
          </w:tcPr>
          <w:p w14:paraId="48FE4305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0.587</w:t>
            </w:r>
          </w:p>
        </w:tc>
        <w:tc>
          <w:tcPr>
            <w:tcW w:w="470" w:type="pct"/>
            <w:vAlign w:val="center"/>
          </w:tcPr>
          <w:p w14:paraId="21587287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0.688 (0.620-0.755)</w:t>
            </w:r>
          </w:p>
        </w:tc>
        <w:tc>
          <w:tcPr>
            <w:tcW w:w="265" w:type="pct"/>
            <w:vAlign w:val="center"/>
          </w:tcPr>
          <w:p w14:paraId="710E19D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468" w:type="pct"/>
            <w:vAlign w:val="center"/>
          </w:tcPr>
          <w:p w14:paraId="7F7AF4D0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0.581 (0.433-0.728)</w:t>
            </w:r>
          </w:p>
        </w:tc>
        <w:tc>
          <w:tcPr>
            <w:tcW w:w="267" w:type="pct"/>
            <w:vAlign w:val="center"/>
          </w:tcPr>
          <w:p w14:paraId="485620A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0.129</w:t>
            </w:r>
          </w:p>
        </w:tc>
        <w:tc>
          <w:tcPr>
            <w:tcW w:w="473" w:type="pct"/>
            <w:vAlign w:val="center"/>
          </w:tcPr>
          <w:p w14:paraId="6F6532CA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0.706 (0.620-0.793)</w:t>
            </w:r>
          </w:p>
        </w:tc>
        <w:tc>
          <w:tcPr>
            <w:tcW w:w="266" w:type="pct"/>
            <w:vAlign w:val="center"/>
          </w:tcPr>
          <w:p w14:paraId="33E7BBA0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</w:tr>
      <w:tr w14:paraId="1DBE8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shd w:val="clear" w:color="auto" w:fill="auto"/>
            <w:vAlign w:val="center"/>
          </w:tcPr>
          <w:p w14:paraId="59BCDEDC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MELDs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6A4162C7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0.603 (0.527-0.680)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79D7AC1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0.119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7DD4AEF6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0.620 (0.563-0.676)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72B88387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0.054</w:t>
            </w:r>
          </w:p>
        </w:tc>
        <w:tc>
          <w:tcPr>
            <w:tcW w:w="465" w:type="pct"/>
            <w:vAlign w:val="center"/>
          </w:tcPr>
          <w:p w14:paraId="5D658E88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0.627 (0.539-0.718)</w:t>
            </w:r>
          </w:p>
        </w:tc>
        <w:tc>
          <w:tcPr>
            <w:tcW w:w="269" w:type="pct"/>
            <w:vAlign w:val="center"/>
          </w:tcPr>
          <w:p w14:paraId="77A9495F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0.948</w:t>
            </w:r>
          </w:p>
        </w:tc>
        <w:tc>
          <w:tcPr>
            <w:tcW w:w="470" w:type="pct"/>
            <w:vAlign w:val="center"/>
          </w:tcPr>
          <w:p w14:paraId="1247F798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0.624 (0.554-0.695)</w:t>
            </w:r>
          </w:p>
        </w:tc>
        <w:tc>
          <w:tcPr>
            <w:tcW w:w="265" w:type="pct"/>
            <w:vAlign w:val="center"/>
          </w:tcPr>
          <w:p w14:paraId="49B9753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0.162</w:t>
            </w:r>
          </w:p>
        </w:tc>
        <w:tc>
          <w:tcPr>
            <w:tcW w:w="468" w:type="pct"/>
            <w:vAlign w:val="center"/>
          </w:tcPr>
          <w:p w14:paraId="17D86E9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0.664 (0.537-0.792)</w:t>
            </w:r>
          </w:p>
        </w:tc>
        <w:tc>
          <w:tcPr>
            <w:tcW w:w="267" w:type="pct"/>
            <w:vAlign w:val="center"/>
          </w:tcPr>
          <w:p w14:paraId="08E92E5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0.210</w:t>
            </w:r>
          </w:p>
        </w:tc>
        <w:tc>
          <w:tcPr>
            <w:tcW w:w="473" w:type="pct"/>
            <w:vAlign w:val="center"/>
          </w:tcPr>
          <w:p w14:paraId="1E110F4D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0.602 (0.506-0.698)</w:t>
            </w:r>
          </w:p>
        </w:tc>
        <w:tc>
          <w:tcPr>
            <w:tcW w:w="266" w:type="pct"/>
            <w:vAlign w:val="center"/>
          </w:tcPr>
          <w:p w14:paraId="7DB20A65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0.051</w:t>
            </w:r>
          </w:p>
        </w:tc>
      </w:tr>
      <w:tr w14:paraId="2B410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" w:type="pct"/>
            <w:shd w:val="clear" w:color="auto" w:fill="auto"/>
            <w:vAlign w:val="center"/>
          </w:tcPr>
          <w:p w14:paraId="535DD989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MELD-Nas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29EE5DA6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0.659 (0.586-0.731)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907D041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7DF738F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0.579 (0.522-0.636)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7290AB9E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&lt;0.001</w:t>
            </w:r>
          </w:p>
        </w:tc>
        <w:tc>
          <w:tcPr>
            <w:tcW w:w="465" w:type="pct"/>
            <w:vAlign w:val="center"/>
          </w:tcPr>
          <w:p w14:paraId="750DE04E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0.628 (0.538-0.715)</w:t>
            </w:r>
          </w:p>
        </w:tc>
        <w:tc>
          <w:tcPr>
            <w:tcW w:w="269" w:type="pct"/>
            <w:vAlign w:val="center"/>
          </w:tcPr>
          <w:p w14:paraId="3A966809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470" w:type="pct"/>
            <w:vAlign w:val="center"/>
          </w:tcPr>
          <w:p w14:paraId="0D1040DC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0.601 (0.530-0.673)</w:t>
            </w:r>
          </w:p>
        </w:tc>
        <w:tc>
          <w:tcPr>
            <w:tcW w:w="265" w:type="pct"/>
            <w:vAlign w:val="center"/>
          </w:tcPr>
          <w:p w14:paraId="649B0D91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0.027</w:t>
            </w:r>
          </w:p>
        </w:tc>
        <w:tc>
          <w:tcPr>
            <w:tcW w:w="468" w:type="pct"/>
            <w:vAlign w:val="center"/>
          </w:tcPr>
          <w:p w14:paraId="1D169347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0.746 (0.618-0.873)</w:t>
            </w:r>
          </w:p>
        </w:tc>
        <w:tc>
          <w:tcPr>
            <w:tcW w:w="267" w:type="pct"/>
            <w:vAlign w:val="center"/>
          </w:tcPr>
          <w:p w14:paraId="474E828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473" w:type="pct"/>
            <w:vAlign w:val="center"/>
          </w:tcPr>
          <w:p w14:paraId="0E1C438C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0.552 (0.456-0.649)</w:t>
            </w:r>
          </w:p>
        </w:tc>
        <w:tc>
          <w:tcPr>
            <w:tcW w:w="266" w:type="pct"/>
            <w:vAlign w:val="center"/>
          </w:tcPr>
          <w:p w14:paraId="2AB35E7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0.024</w:t>
            </w:r>
          </w:p>
        </w:tc>
      </w:tr>
      <w:tr w14:paraId="59143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04B2D">
            <w:pPr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AUROCs 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"/>
              </w:rPr>
              <w:t>of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different models were compared using the Z test (Delong’s method);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ccuracy of this model as compared to the other models in predicting mortality</w:t>
            </w:r>
          </w:p>
          <w:p w14:paraId="2E233CA7">
            <w:pPr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ACLF, acute-on-chronic liver failure; EASL, European Association for the Study of the Liver; CLIF, Chronic Liver Failure; AUROC, area under the receiver operating characteristic curve; CI, confidence interval;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COSSH-ACLF IIs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Chinese Group on the Study of Severe Hepatitis B-ACLF II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CLIF-C ACLFs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Chronic Liver Failure-Consortium ACLF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Model for End Stage Liver Disease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MELD-Nas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MELD-sodium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; HBV, hepatitis B virus</w:t>
            </w:r>
          </w:p>
        </w:tc>
      </w:tr>
    </w:tbl>
    <w:p w14:paraId="4626BF1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379"/>
        <w:gridCol w:w="812"/>
        <w:gridCol w:w="1379"/>
        <w:gridCol w:w="812"/>
        <w:gridCol w:w="1379"/>
        <w:gridCol w:w="759"/>
        <w:gridCol w:w="1312"/>
        <w:gridCol w:w="752"/>
        <w:gridCol w:w="1263"/>
        <w:gridCol w:w="748"/>
        <w:gridCol w:w="1325"/>
        <w:gridCol w:w="746"/>
      </w:tblGrid>
      <w:tr w14:paraId="7589B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13"/>
            <w:tcBorders>
              <w:top w:val="nil"/>
              <w:left w:val="nil"/>
              <w:right w:val="nil"/>
            </w:tcBorders>
            <w:vAlign w:val="bottom"/>
          </w:tcPr>
          <w:p w14:paraId="4F285C20">
            <w:pPr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HAnsi"/>
                <w:b/>
                <w:sz w:val="24"/>
                <w:szCs w:val="24"/>
              </w:rPr>
              <w:t xml:space="preserve">Supplementary Table </w:t>
            </w:r>
            <w:r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  <w:lang w:val="en-US" w:eastAsia="zh-CN"/>
              </w:rPr>
              <w:t xml:space="preserve">2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Performance of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prognostic s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coring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ystems for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>redicting 90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-d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ay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>ortality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of 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atients with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 xml:space="preserve">re-ACLF </w:t>
            </w:r>
            <w:r>
              <w:rPr>
                <w:rFonts w:hint="eastAsia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stage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color w:val="auto"/>
                <w:sz w:val="24"/>
                <w:szCs w:val="24"/>
              </w:rPr>
              <w:t>and EASL-CLIF ACLF </w:t>
            </w:r>
            <w:r>
              <w:rPr>
                <w:rFonts w:hint="eastAsia" w:eastAsia="微软雅黑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stage</w:t>
            </w:r>
          </w:p>
        </w:tc>
      </w:tr>
      <w:tr w14:paraId="4D99D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vMerge w:val="restart"/>
            <w:vAlign w:val="bottom"/>
          </w:tcPr>
          <w:p w14:paraId="0E55B2A3">
            <w:pPr>
              <w:ind w:firstLine="240" w:firstLineChars="100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Models</w:t>
            </w:r>
          </w:p>
        </w:tc>
        <w:tc>
          <w:tcPr>
            <w:tcW w:w="4382" w:type="dxa"/>
            <w:gridSpan w:val="4"/>
            <w:vAlign w:val="center"/>
          </w:tcPr>
          <w:p w14:paraId="7E5D0781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ALL</w:t>
            </w:r>
          </w:p>
        </w:tc>
        <w:tc>
          <w:tcPr>
            <w:tcW w:w="4202" w:type="dxa"/>
            <w:gridSpan w:val="4"/>
            <w:vAlign w:val="center"/>
          </w:tcPr>
          <w:p w14:paraId="7D0E047D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HBV</w:t>
            </w:r>
          </w:p>
        </w:tc>
        <w:tc>
          <w:tcPr>
            <w:tcW w:w="4082" w:type="dxa"/>
            <w:gridSpan w:val="4"/>
            <w:vAlign w:val="center"/>
          </w:tcPr>
          <w:p w14:paraId="6A3304D0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Alcohol</w:t>
            </w:r>
          </w:p>
        </w:tc>
      </w:tr>
      <w:tr w14:paraId="71911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vMerge w:val="continue"/>
          </w:tcPr>
          <w:p w14:paraId="2D9DB102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07C6264B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2191" w:type="dxa"/>
            <w:gridSpan w:val="2"/>
            <w:vAlign w:val="center"/>
          </w:tcPr>
          <w:p w14:paraId="5B3C4A13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  <w:tc>
          <w:tcPr>
            <w:tcW w:w="2138" w:type="dxa"/>
            <w:gridSpan w:val="2"/>
            <w:vAlign w:val="center"/>
          </w:tcPr>
          <w:p w14:paraId="09E001E6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2064" w:type="dxa"/>
            <w:gridSpan w:val="2"/>
            <w:vAlign w:val="center"/>
          </w:tcPr>
          <w:p w14:paraId="089392A0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  <w:tc>
          <w:tcPr>
            <w:tcW w:w="2011" w:type="dxa"/>
            <w:gridSpan w:val="2"/>
            <w:vAlign w:val="center"/>
          </w:tcPr>
          <w:p w14:paraId="59E44F59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EASL 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re-ACLF</w:t>
            </w:r>
          </w:p>
        </w:tc>
        <w:tc>
          <w:tcPr>
            <w:tcW w:w="2071" w:type="dxa"/>
            <w:gridSpan w:val="2"/>
            <w:vAlign w:val="center"/>
          </w:tcPr>
          <w:p w14:paraId="29DA256B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</w:rPr>
              <w:t>EASL-CLIF ACLF</w:t>
            </w:r>
          </w:p>
        </w:tc>
      </w:tr>
      <w:tr w14:paraId="263D4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vMerge w:val="continue"/>
            <w:shd w:val="clear" w:color="auto" w:fill="auto"/>
            <w:vAlign w:val="center"/>
          </w:tcPr>
          <w:p w14:paraId="37CADBE5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9" w:type="dxa"/>
            <w:vAlign w:val="center"/>
          </w:tcPr>
          <w:p w14:paraId="23DF4467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812" w:type="dxa"/>
            <w:vAlign w:val="center"/>
          </w:tcPr>
          <w:p w14:paraId="06C9AC68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1379" w:type="dxa"/>
            <w:vAlign w:val="center"/>
          </w:tcPr>
          <w:p w14:paraId="12C82874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812" w:type="dxa"/>
            <w:vAlign w:val="center"/>
          </w:tcPr>
          <w:p w14:paraId="78539BF1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 xml:space="preserve"> value</w:t>
            </w:r>
          </w:p>
        </w:tc>
        <w:tc>
          <w:tcPr>
            <w:tcW w:w="1379" w:type="dxa"/>
            <w:vAlign w:val="center"/>
          </w:tcPr>
          <w:p w14:paraId="09FBD7EA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759" w:type="dxa"/>
            <w:vAlign w:val="center"/>
          </w:tcPr>
          <w:p w14:paraId="0F00C03C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1312" w:type="dxa"/>
            <w:vAlign w:val="center"/>
          </w:tcPr>
          <w:p w14:paraId="1184114E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752" w:type="dxa"/>
            <w:vAlign w:val="center"/>
          </w:tcPr>
          <w:p w14:paraId="09D332EC">
            <w:pPr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  <w:tc>
          <w:tcPr>
            <w:tcW w:w="1263" w:type="dxa"/>
            <w:vAlign w:val="center"/>
          </w:tcPr>
          <w:p w14:paraId="4B99D8EF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748" w:type="dxa"/>
            <w:vAlign w:val="center"/>
          </w:tcPr>
          <w:p w14:paraId="3FBF4868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 xml:space="preserve"> value</w:t>
            </w:r>
          </w:p>
        </w:tc>
        <w:tc>
          <w:tcPr>
            <w:tcW w:w="1325" w:type="dxa"/>
            <w:vAlign w:val="center"/>
          </w:tcPr>
          <w:p w14:paraId="50A8E24B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AUROC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(95% CI)</w:t>
            </w:r>
          </w:p>
        </w:tc>
        <w:tc>
          <w:tcPr>
            <w:tcW w:w="746" w:type="dxa"/>
            <w:vAlign w:val="center"/>
          </w:tcPr>
          <w:p w14:paraId="0814B206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sz w:val="24"/>
                <w:szCs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4"/>
                <w:szCs w:val="24"/>
                <w:lang w:bidi="ar"/>
              </w:rPr>
              <w:t>value</w:t>
            </w:r>
          </w:p>
        </w:tc>
      </w:tr>
      <w:tr w14:paraId="0CB60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3C279946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COSSH-ACLF IIs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71CAE00B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0.455 (0.394-0.516)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4C07C4B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&lt;0.001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0859548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0.697 (0.645-0.750)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705A1F8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1379" w:type="dxa"/>
            <w:vAlign w:val="center"/>
          </w:tcPr>
          <w:p w14:paraId="014FFF33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0.543 (0.474-0.612)</w:t>
            </w:r>
          </w:p>
        </w:tc>
        <w:tc>
          <w:tcPr>
            <w:tcW w:w="759" w:type="dxa"/>
            <w:vAlign w:val="center"/>
          </w:tcPr>
          <w:p w14:paraId="4CBA132D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0.008</w:t>
            </w:r>
          </w:p>
        </w:tc>
        <w:tc>
          <w:tcPr>
            <w:tcW w:w="1312" w:type="dxa"/>
            <w:vAlign w:val="center"/>
          </w:tcPr>
          <w:p w14:paraId="5052517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0.687 (0.621-0.754)</w:t>
            </w:r>
          </w:p>
        </w:tc>
        <w:tc>
          <w:tcPr>
            <w:tcW w:w="752" w:type="dxa"/>
            <w:vAlign w:val="center"/>
          </w:tcPr>
          <w:p w14:paraId="52A3F4AF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0.801</w:t>
            </w:r>
          </w:p>
        </w:tc>
        <w:tc>
          <w:tcPr>
            <w:tcW w:w="1263" w:type="dxa"/>
            <w:vAlign w:val="center"/>
          </w:tcPr>
          <w:p w14:paraId="20E21B3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0.561 (0.434-0.689)</w:t>
            </w:r>
          </w:p>
        </w:tc>
        <w:tc>
          <w:tcPr>
            <w:tcW w:w="748" w:type="dxa"/>
            <w:vAlign w:val="center"/>
          </w:tcPr>
          <w:p w14:paraId="6747294F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0.128</w:t>
            </w:r>
          </w:p>
        </w:tc>
        <w:tc>
          <w:tcPr>
            <w:tcW w:w="1325" w:type="dxa"/>
            <w:vAlign w:val="center"/>
          </w:tcPr>
          <w:p w14:paraId="2D9F867C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0.749 (0.669-0.829)</w:t>
            </w:r>
          </w:p>
        </w:tc>
        <w:tc>
          <w:tcPr>
            <w:tcW w:w="746" w:type="dxa"/>
            <w:vAlign w:val="center"/>
          </w:tcPr>
          <w:p w14:paraId="0A8AFE1A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</w:tr>
      <w:tr w14:paraId="65FD0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612A933A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CLIF-C ACLFs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79AEF0C4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0.640 (0.530-0.696)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667A11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0.803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05E41292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0.674 (0.621-0.726)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BC6F07E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0.319</w:t>
            </w:r>
          </w:p>
        </w:tc>
        <w:tc>
          <w:tcPr>
            <w:tcW w:w="1379" w:type="dxa"/>
            <w:vAlign w:val="center"/>
          </w:tcPr>
          <w:p w14:paraId="055ECA8A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0.652 (0.586-0.718)</w:t>
            </w:r>
          </w:p>
        </w:tc>
        <w:tc>
          <w:tcPr>
            <w:tcW w:w="759" w:type="dxa"/>
            <w:vAlign w:val="center"/>
          </w:tcPr>
          <w:p w14:paraId="37AAC263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0.876</w:t>
            </w:r>
          </w:p>
        </w:tc>
        <w:tc>
          <w:tcPr>
            <w:tcW w:w="1312" w:type="dxa"/>
            <w:vAlign w:val="center"/>
          </w:tcPr>
          <w:p w14:paraId="4510663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0.695 (0.630-0.759)</w:t>
            </w:r>
          </w:p>
        </w:tc>
        <w:tc>
          <w:tcPr>
            <w:tcW w:w="752" w:type="dxa"/>
            <w:vAlign w:val="center"/>
          </w:tcPr>
          <w:p w14:paraId="766E32BD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1263" w:type="dxa"/>
            <w:vAlign w:val="center"/>
          </w:tcPr>
          <w:p w14:paraId="019A6BF0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0.601 (0.490-0.712)</w:t>
            </w:r>
          </w:p>
        </w:tc>
        <w:tc>
          <w:tcPr>
            <w:tcW w:w="748" w:type="dxa"/>
            <w:vAlign w:val="center"/>
          </w:tcPr>
          <w:p w14:paraId="4C912812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0.377</w:t>
            </w:r>
          </w:p>
        </w:tc>
        <w:tc>
          <w:tcPr>
            <w:tcW w:w="1325" w:type="dxa"/>
            <w:vAlign w:val="center"/>
          </w:tcPr>
          <w:p w14:paraId="41D640A4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0.660 (0.573-0.748)</w:t>
            </w:r>
          </w:p>
        </w:tc>
        <w:tc>
          <w:tcPr>
            <w:tcW w:w="746" w:type="dxa"/>
            <w:vAlign w:val="center"/>
          </w:tcPr>
          <w:p w14:paraId="097E4699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0.053</w:t>
            </w:r>
          </w:p>
        </w:tc>
      </w:tr>
      <w:tr w14:paraId="3D2C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shd w:val="clear" w:color="auto" w:fill="auto"/>
            <w:vAlign w:val="center"/>
          </w:tcPr>
          <w:p w14:paraId="6E42A2C0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MELDs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CEC5C55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0.601 (0.540-0.661)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98B4FA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0.037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6CDAB600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0.599 (0.544-0.655)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3A0176B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0.010</w:t>
            </w:r>
          </w:p>
        </w:tc>
        <w:tc>
          <w:tcPr>
            <w:tcW w:w="1379" w:type="dxa"/>
            <w:vAlign w:val="center"/>
          </w:tcPr>
          <w:p w14:paraId="4335D3E0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0.638 (0.569-0.707)</w:t>
            </w:r>
          </w:p>
        </w:tc>
        <w:tc>
          <w:tcPr>
            <w:tcW w:w="759" w:type="dxa"/>
            <w:vAlign w:val="center"/>
          </w:tcPr>
          <w:p w14:paraId="7B467BA1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0.643</w:t>
            </w:r>
          </w:p>
        </w:tc>
        <w:tc>
          <w:tcPr>
            <w:tcW w:w="1312" w:type="dxa"/>
            <w:vAlign w:val="center"/>
          </w:tcPr>
          <w:p w14:paraId="5B907D4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0.583 (0.512-0.654)</w:t>
            </w:r>
          </w:p>
        </w:tc>
        <w:tc>
          <w:tcPr>
            <w:tcW w:w="752" w:type="dxa"/>
            <w:vAlign w:val="center"/>
          </w:tcPr>
          <w:p w14:paraId="78AE1D64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0.012</w:t>
            </w:r>
          </w:p>
        </w:tc>
        <w:tc>
          <w:tcPr>
            <w:tcW w:w="1263" w:type="dxa"/>
            <w:vAlign w:val="center"/>
          </w:tcPr>
          <w:p w14:paraId="393A0E21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0.603 (0.488-0.719)</w:t>
            </w:r>
          </w:p>
        </w:tc>
        <w:tc>
          <w:tcPr>
            <w:tcW w:w="748" w:type="dxa"/>
            <w:vAlign w:val="center"/>
          </w:tcPr>
          <w:p w14:paraId="0D510594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0.170</w:t>
            </w:r>
          </w:p>
        </w:tc>
        <w:tc>
          <w:tcPr>
            <w:tcW w:w="1325" w:type="dxa"/>
            <w:vAlign w:val="center"/>
          </w:tcPr>
          <w:p w14:paraId="06E921D8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0.606 (0.515-0.696)</w:t>
            </w:r>
          </w:p>
        </w:tc>
        <w:tc>
          <w:tcPr>
            <w:tcW w:w="746" w:type="dxa"/>
            <w:vAlign w:val="center"/>
          </w:tcPr>
          <w:p w14:paraId="54B43F4C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0.006</w:t>
            </w:r>
          </w:p>
        </w:tc>
      </w:tr>
      <w:tr w14:paraId="56BEA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8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 w14:paraId="17EB7C08">
            <w:pPr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MELD-Nas</w:t>
            </w:r>
          </w:p>
        </w:tc>
        <w:tc>
          <w:tcPr>
            <w:tcW w:w="1379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 w14:paraId="77E69EF2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0.652 (0.594-0.709)</w:t>
            </w:r>
          </w:p>
        </w:tc>
        <w:tc>
          <w:tcPr>
            <w:tcW w:w="812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 w14:paraId="74AC1DE0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1379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 w14:paraId="3EB915A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0.571 (0.514-0.628)</w:t>
            </w:r>
          </w:p>
        </w:tc>
        <w:tc>
          <w:tcPr>
            <w:tcW w:w="812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 w14:paraId="44A8C2D3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&lt;0.001</w:t>
            </w:r>
          </w:p>
        </w:tc>
        <w:tc>
          <w:tcPr>
            <w:tcW w:w="1379" w:type="dxa"/>
            <w:tcBorders>
              <w:bottom w:val="dashSmallGap" w:color="auto" w:sz="4" w:space="0"/>
            </w:tcBorders>
            <w:vAlign w:val="center"/>
          </w:tcPr>
          <w:p w14:paraId="0E730D3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0.649 (0.582-0.717)</w:t>
            </w:r>
          </w:p>
        </w:tc>
        <w:tc>
          <w:tcPr>
            <w:tcW w:w="759" w:type="dxa"/>
            <w:tcBorders>
              <w:bottom w:val="dashSmallGap" w:color="auto" w:sz="4" w:space="0"/>
            </w:tcBorders>
            <w:vAlign w:val="center"/>
          </w:tcPr>
          <w:p w14:paraId="71068856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1312" w:type="dxa"/>
            <w:tcBorders>
              <w:bottom w:val="dashSmallGap" w:color="auto" w:sz="4" w:space="0"/>
            </w:tcBorders>
            <w:vAlign w:val="center"/>
          </w:tcPr>
          <w:p w14:paraId="09D42EEC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0.583 (0.511-0.655)</w:t>
            </w:r>
          </w:p>
        </w:tc>
        <w:tc>
          <w:tcPr>
            <w:tcW w:w="752" w:type="dxa"/>
            <w:tcBorders>
              <w:bottom w:val="dashSmallGap" w:color="auto" w:sz="4" w:space="0"/>
            </w:tcBorders>
            <w:vAlign w:val="center"/>
          </w:tcPr>
          <w:p w14:paraId="2AEBD61B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263" w:type="dxa"/>
            <w:tcBorders>
              <w:bottom w:val="dashSmallGap" w:color="auto" w:sz="4" w:space="0"/>
            </w:tcBorders>
            <w:vAlign w:val="center"/>
          </w:tcPr>
          <w:p w14:paraId="038AF728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0.670 (0.558-0.783)</w:t>
            </w:r>
          </w:p>
        </w:tc>
        <w:tc>
          <w:tcPr>
            <w:tcW w:w="748" w:type="dxa"/>
            <w:tcBorders>
              <w:bottom w:val="dashSmallGap" w:color="auto" w:sz="4" w:space="0"/>
            </w:tcBorders>
            <w:vAlign w:val="center"/>
          </w:tcPr>
          <w:p w14:paraId="4D18FD3D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</w:p>
        </w:tc>
        <w:tc>
          <w:tcPr>
            <w:tcW w:w="1325" w:type="dxa"/>
            <w:tcBorders>
              <w:bottom w:val="dashSmallGap" w:color="auto" w:sz="4" w:space="0"/>
            </w:tcBorders>
            <w:vAlign w:val="center"/>
          </w:tcPr>
          <w:p w14:paraId="6AA183E9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0.561 (0.467-0.654)</w:t>
            </w:r>
          </w:p>
        </w:tc>
        <w:tc>
          <w:tcPr>
            <w:tcW w:w="746" w:type="dxa"/>
            <w:tcBorders>
              <w:bottom w:val="dashSmallGap" w:color="auto" w:sz="4" w:space="0"/>
            </w:tcBorders>
            <w:vAlign w:val="center"/>
          </w:tcPr>
          <w:p w14:paraId="28E03908">
            <w:pPr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0.001</w:t>
            </w:r>
          </w:p>
        </w:tc>
      </w:tr>
      <w:tr w14:paraId="36E75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13"/>
            <w:tcBorders>
              <w:top w:val="dashSmallGap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17B3D">
            <w:pPr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AUROCs 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"/>
              </w:rPr>
              <w:t>of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 xml:space="preserve"> different models were compared using the Z test (Delong’s method);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Ref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ccuracy of this model as compared to the other models in predicting mortality</w:t>
            </w:r>
          </w:p>
          <w:p w14:paraId="6B09ACAE">
            <w:pPr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ACLF, acute-on-chronic liver failure; EASL, European Association for the Study of the Liver; CLIF, Chronic Liver Failure; AUROC, area under the receiver operating characteristic curve; CI, confidence interval;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COSSH-ACLF IIs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Chinese Group on the Study of Severe Hepatitis B-ACLF II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CLIF-C ACLFs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Chronic Liver Failure-Consortium ACLF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Model for End Stage Liver Disease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MELD-Nas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MELD-sodium score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; HBV, hepatitis B virus</w:t>
            </w:r>
          </w:p>
        </w:tc>
      </w:tr>
    </w:tbl>
    <w:p w14:paraId="0D8E2D85">
      <w:pPr>
        <w:rPr>
          <w:color w:val="auto"/>
        </w:rPr>
      </w:pPr>
    </w:p>
    <w:p w14:paraId="6B80FBB9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NDg3ZTA4ZTE0OTZlYWZhZTkyNGFlODQyNDQ1NTIifQ=="/>
  </w:docVars>
  <w:rsids>
    <w:rsidRoot w:val="583110A2"/>
    <w:rsid w:val="0C01678A"/>
    <w:rsid w:val="10757746"/>
    <w:rsid w:val="10C81F6C"/>
    <w:rsid w:val="126C2E67"/>
    <w:rsid w:val="16551BAC"/>
    <w:rsid w:val="1A703458"/>
    <w:rsid w:val="1BFC2ACA"/>
    <w:rsid w:val="25F1264D"/>
    <w:rsid w:val="2A442BC7"/>
    <w:rsid w:val="2CD825A0"/>
    <w:rsid w:val="315B3015"/>
    <w:rsid w:val="34871673"/>
    <w:rsid w:val="467D4684"/>
    <w:rsid w:val="487D6BBD"/>
    <w:rsid w:val="507B7E86"/>
    <w:rsid w:val="54694499"/>
    <w:rsid w:val="583110A2"/>
    <w:rsid w:val="5B7E082A"/>
    <w:rsid w:val="5F2D4A41"/>
    <w:rsid w:val="62397BA1"/>
    <w:rsid w:val="64BD6867"/>
    <w:rsid w:val="7B95779E"/>
    <w:rsid w:val="7F40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宋体" w:cstheme="minorBidi"/>
      <w:sz w:val="24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717</Words>
  <Characters>4527</Characters>
  <Lines>0</Lines>
  <Paragraphs>0</Paragraphs>
  <TotalTime>14</TotalTime>
  <ScaleCrop>false</ScaleCrop>
  <LinksUpToDate>false</LinksUpToDate>
  <CharactersWithSpaces>5071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2024-11-06T08:16:00Z</dcterms:created>
  <dc:creator>Monica ZQ</dc:creator>
  <cp:lastModifiedBy>Monica ZQ</cp:lastModifiedBy>
  <dcterms:modified xsi:type="dcterms:W3CDTF">2024-11-07T16:21:10Z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3167BDF0D2CA422887A4759D2C9839FB_13</vt:lpwstr>
  </property>
</Properties>
</file>