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821A7A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 xml:space="preserve">The </w:t>
      </w:r>
      <w:bookmarkStart w:id="0" w:name="OLE_LINK38"/>
      <w:r>
        <w:rPr>
          <w:rFonts w:hint="eastAsia" w:ascii="Times New Roman" w:hAnsi="Times New Roman" w:cs="Times New Roman"/>
          <w:b/>
          <w:szCs w:val="21"/>
        </w:rPr>
        <w:t>Complex</w:t>
      </w:r>
      <w:bookmarkEnd w:id="0"/>
      <w:r>
        <w:rPr>
          <w:rFonts w:hint="eastAsia" w:ascii="Times New Roman" w:hAnsi="Times New Roman" w:cs="Times New Roman"/>
          <w:b/>
          <w:szCs w:val="21"/>
        </w:rPr>
        <w:t xml:space="preserve"> Relationship Between IQ and ADHD Symptoms: Insights from Behaviors, Cognition, Brain and impairment in 5,138 Children with ADHD</w:t>
      </w:r>
    </w:p>
    <w:p w14:paraId="143E9510">
      <w:pPr>
        <w:spacing w:line="360" w:lineRule="auto"/>
        <w:jc w:val="center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t>Running</w:t>
      </w:r>
      <w:r>
        <w:rPr>
          <w:rFonts w:hint="eastAsia" w:ascii="Times New Roman" w:hAnsi="Times New Roman" w:cs="Times New Roman"/>
          <w:bCs/>
          <w:szCs w:val="21"/>
        </w:rPr>
        <w:t xml:space="preserve"> tile: IQ and ADHD core symptoms</w:t>
      </w:r>
    </w:p>
    <w:p w14:paraId="3FE93904">
      <w:pPr>
        <w:spacing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Ningning Liu</w:t>
      </w:r>
      <w:r>
        <w:rPr>
          <w:rFonts w:ascii="Times New Roman" w:hAnsi="Times New Roman" w:cs="Times New Roman"/>
          <w:bCs/>
          <w:vertAlign w:val="superscript"/>
        </w:rPr>
        <w:t>a,b</w:t>
      </w:r>
      <w:r>
        <w:rPr>
          <w:rFonts w:hint="eastAsia" w:ascii="Times New Roman" w:hAnsi="Times New Roman" w:cs="Times New Roman"/>
          <w:bCs/>
          <w:vertAlign w:val="superscript"/>
        </w:rPr>
        <w:t>#</w:t>
      </w:r>
      <w:r>
        <w:rPr>
          <w:rFonts w:ascii="Times New Roman" w:hAnsi="Times New Roman" w:cs="Times New Roman"/>
          <w:bCs/>
        </w:rPr>
        <w:t>, Gaoding Jia</w:t>
      </w:r>
      <w:r>
        <w:rPr>
          <w:rFonts w:ascii="Times New Roman" w:hAnsi="Times New Roman" w:cs="Times New Roman"/>
          <w:bCs/>
          <w:vertAlign w:val="superscript"/>
        </w:rPr>
        <w:t>c</w:t>
      </w:r>
      <w:r>
        <w:rPr>
          <w:rFonts w:hint="eastAsia" w:ascii="Times New Roman" w:hAnsi="Times New Roman" w:cs="Times New Roman"/>
          <w:bCs/>
          <w:vertAlign w:val="superscript"/>
        </w:rPr>
        <w:t>#</w:t>
      </w:r>
      <w:r>
        <w:rPr>
          <w:rFonts w:ascii="Times New Roman" w:hAnsi="Times New Roman" w:cs="Times New Roman"/>
          <w:bCs/>
        </w:rPr>
        <w:t xml:space="preserve">, </w:t>
      </w:r>
      <w:r>
        <w:rPr>
          <w:rFonts w:hint="eastAsia" w:ascii="Times New Roman" w:hAnsi="Times New Roman" w:cs="Times New Roman"/>
          <w:bCs/>
        </w:rPr>
        <w:t>Yinshan Wang</w:t>
      </w:r>
      <w:r>
        <w:rPr>
          <w:rFonts w:hint="eastAsia" w:ascii="Times New Roman" w:hAnsi="Times New Roman" w:cs="Times New Roman"/>
          <w:bCs/>
          <w:vertAlign w:val="superscript"/>
        </w:rPr>
        <w:t>d</w:t>
      </w:r>
      <w:r>
        <w:rPr>
          <w:rFonts w:hint="eastAsia" w:ascii="Times New Roman" w:hAnsi="Times New Roman" w:cs="Times New Roman"/>
          <w:bCs/>
        </w:rPr>
        <w:t xml:space="preserve">, </w:t>
      </w:r>
      <w:r>
        <w:rPr>
          <w:rFonts w:hint="eastAsia" w:ascii="Times New Roman" w:hAnsi="Times New Roman" w:cs="Times New Roman"/>
          <w:bCs/>
          <w:lang w:val="en-US" w:eastAsia="zh-CN"/>
        </w:rPr>
        <w:t>Zelin Mou</w:t>
      </w:r>
      <w:r>
        <w:rPr>
          <w:rFonts w:hint="eastAsia" w:ascii="Times New Roman" w:hAnsi="Times New Roman" w:cs="Times New Roman"/>
          <w:bCs/>
          <w:vertAlign w:val="superscript"/>
          <w:lang w:val="en-US" w:eastAsia="zh-CN"/>
        </w:rPr>
        <w:t>d</w:t>
      </w:r>
      <w:r>
        <w:rPr>
          <w:rFonts w:hint="eastAsia" w:ascii="Times New Roman" w:hAnsi="Times New Roman" w:cs="Times New Roman"/>
          <w:bCs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bCs/>
        </w:rPr>
        <w:t>Altansumber</w:t>
      </w:r>
      <w:r>
        <w:rPr>
          <w:rFonts w:hint="eastAsia" w:ascii="Times New Roman" w:hAnsi="Times New Roman" w:cs="Times New Roman"/>
          <w:bCs/>
          <w:lang w:val="en-US" w:eastAsia="zh-CN"/>
        </w:rPr>
        <w:t xml:space="preserve"> Bau</w:t>
      </w:r>
      <w:r>
        <w:rPr>
          <w:rFonts w:hint="eastAsia" w:ascii="Times New Roman" w:hAnsi="Times New Roman" w:cs="Times New Roman"/>
          <w:bCs/>
          <w:vertAlign w:val="superscript"/>
          <w:lang w:val="en-US" w:eastAsia="zh-CN"/>
        </w:rPr>
        <w:t>d</w:t>
      </w:r>
      <w:r>
        <w:rPr>
          <w:rFonts w:hint="eastAsia" w:ascii="Times New Roman" w:hAnsi="Times New Roman" w:cs="Times New Roman"/>
          <w:bCs/>
          <w:lang w:val="en-US" w:eastAsia="zh-CN"/>
        </w:rPr>
        <w:t xml:space="preserve">, </w:t>
      </w:r>
      <w:r>
        <w:rPr>
          <w:rFonts w:ascii="Times New Roman" w:hAnsi="Times New Roman" w:cs="Times New Roman"/>
          <w:bCs/>
        </w:rPr>
        <w:t>Haimei Li</w:t>
      </w:r>
      <w:r>
        <w:rPr>
          <w:rFonts w:ascii="Times New Roman" w:hAnsi="Times New Roman" w:cs="Times New Roman"/>
          <w:bCs/>
          <w:vertAlign w:val="superscript"/>
        </w:rPr>
        <w:t>a,b</w:t>
      </w:r>
      <w:r>
        <w:rPr>
          <w:rFonts w:ascii="Times New Roman" w:hAnsi="Times New Roman" w:cs="Times New Roman"/>
          <w:bCs/>
        </w:rPr>
        <w:t xml:space="preserve">, </w:t>
      </w:r>
      <w:r>
        <w:rPr>
          <w:rFonts w:hint="eastAsia" w:ascii="Times New Roman" w:hAnsi="Times New Roman" w:cs="Times New Roman"/>
          <w:bCs/>
        </w:rPr>
        <w:t>Yufeng Wang</w:t>
      </w:r>
      <w:r>
        <w:rPr>
          <w:rFonts w:ascii="Times New Roman" w:hAnsi="Times New Roman" w:cs="Times New Roman"/>
          <w:bCs/>
        </w:rPr>
        <w:t>, Qiujin Qian</w:t>
      </w:r>
      <w:r>
        <w:rPr>
          <w:rFonts w:ascii="Times New Roman" w:hAnsi="Times New Roman" w:cs="Times New Roman"/>
          <w:bCs/>
          <w:vertAlign w:val="superscript"/>
        </w:rPr>
        <w:t>a,b</w:t>
      </w:r>
      <w:r>
        <w:rPr>
          <w:rFonts w:ascii="Times New Roman" w:hAnsi="Times New Roman" w:cs="Times New Roman"/>
          <w:bCs/>
        </w:rPr>
        <w:t>*</w:t>
      </w:r>
      <w:r>
        <w:rPr>
          <w:rFonts w:hint="eastAsia" w:ascii="Times New Roman" w:hAnsi="Times New Roman" w:cs="Times New Roman"/>
          <w:bCs/>
        </w:rPr>
        <w:t xml:space="preserve">, </w:t>
      </w:r>
      <w:r>
        <w:rPr>
          <w:rFonts w:ascii="Times New Roman" w:hAnsi="Times New Roman" w:cs="Times New Roman"/>
          <w:bCs/>
        </w:rPr>
        <w:t>Lu Liu</w:t>
      </w:r>
      <w:r>
        <w:rPr>
          <w:rFonts w:ascii="Times New Roman" w:hAnsi="Times New Roman" w:cs="Times New Roman"/>
          <w:bCs/>
          <w:vertAlign w:val="superscript"/>
        </w:rPr>
        <w:t>a,b</w:t>
      </w:r>
      <w:r>
        <w:rPr>
          <w:rFonts w:ascii="Times New Roman" w:hAnsi="Times New Roman" w:cs="Times New Roman"/>
          <w:bCs/>
        </w:rPr>
        <w:t>*.</w:t>
      </w:r>
      <w:bookmarkStart w:id="1" w:name="_GoBack"/>
      <w:bookmarkEnd w:id="1"/>
    </w:p>
    <w:p w14:paraId="713D1CC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084EA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</w:rPr>
        <w:t>Supplementary Material</w:t>
      </w:r>
    </w:p>
    <w:p w14:paraId="1631DB9A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2"/>
          <w:szCs w:val="22"/>
        </w:rPr>
        <w:t>S</w:t>
      </w:r>
      <w:r>
        <w:rPr>
          <w:rFonts w:ascii="Times New Roman" w:hAnsi="Times New Roman" w:cs="Times New Roman"/>
          <w:b/>
          <w:bCs/>
          <w:sz w:val="22"/>
          <w:szCs w:val="22"/>
        </w:rPr>
        <w:t>1. Model selection criteria for the primary analysis</w:t>
      </w:r>
      <w:r>
        <w:rPr>
          <w:rFonts w:ascii="Times New Roman" w:hAnsi="Times New Roman" w:cs="Times New Roman"/>
          <w:b/>
          <w:bCs/>
          <w:vertAlign w:val="superscript"/>
        </w:rPr>
        <w:t>a</w:t>
      </w:r>
    </w:p>
    <w:tbl>
      <w:tblPr>
        <w:tblStyle w:val="6"/>
        <w:tblW w:w="4886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460"/>
        <w:gridCol w:w="1457"/>
        <w:gridCol w:w="1094"/>
        <w:gridCol w:w="363"/>
        <w:gridCol w:w="1462"/>
        <w:gridCol w:w="1029"/>
        <w:gridCol w:w="303"/>
        <w:gridCol w:w="1468"/>
        <w:gridCol w:w="1075"/>
      </w:tblGrid>
      <w:tr w14:paraId="53E8C7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349" w:type="pc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25DD8">
            <w:pPr>
              <w:jc w:val="center"/>
              <w:rPr>
                <w:rFonts w:ascii="Times" w:hAnsi="Times" w:eastAsia="等线" w:cs="Arial"/>
                <w:b/>
                <w:bCs/>
                <w:color w:val="555555"/>
                <w:sz w:val="22"/>
                <w:szCs w:val="22"/>
              </w:rPr>
            </w:pPr>
          </w:p>
        </w:tc>
        <w:tc>
          <w:tcPr>
            <w:tcW w:w="699" w:type="pct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auto"/>
            <w:vAlign w:val="center"/>
          </w:tcPr>
          <w:p w14:paraId="6896D21A">
            <w:pPr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  <w:t>Model</w:t>
            </w:r>
          </w:p>
        </w:tc>
        <w:tc>
          <w:tcPr>
            <w:tcW w:w="1222" w:type="pct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7D0716D8"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2"/>
                <w:szCs w:val="22"/>
              </w:rPr>
              <w:t>FS</w:t>
            </w:r>
            <w:r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  <w:t>IQ</w:t>
            </w:r>
          </w:p>
        </w:tc>
        <w:tc>
          <w:tcPr>
            <w:tcW w:w="174" w:type="pct"/>
            <w:tcBorders>
              <w:top w:val="single" w:color="000000" w:sz="12" w:space="0"/>
              <w:left w:val="nil"/>
              <w:bottom w:val="nil"/>
              <w:right w:val="nil"/>
            </w:tcBorders>
          </w:tcPr>
          <w:p w14:paraId="14044FC9">
            <w:pPr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</w:pPr>
          </w:p>
        </w:tc>
        <w:tc>
          <w:tcPr>
            <w:tcW w:w="1193" w:type="pct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04759A7B"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  <w:t>PIQ</w:t>
            </w:r>
          </w:p>
        </w:tc>
        <w:tc>
          <w:tcPr>
            <w:tcW w:w="145" w:type="pct"/>
            <w:tcBorders>
              <w:top w:val="single" w:color="000000" w:sz="12" w:space="0"/>
              <w:left w:val="nil"/>
              <w:right w:val="nil"/>
            </w:tcBorders>
          </w:tcPr>
          <w:p w14:paraId="2EB40699">
            <w:pPr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</w:pPr>
          </w:p>
        </w:tc>
        <w:tc>
          <w:tcPr>
            <w:tcW w:w="1218" w:type="pct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4B6DF1F9"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  <w:t>VIQ</w:t>
            </w:r>
          </w:p>
        </w:tc>
      </w:tr>
      <w:tr w14:paraId="1209F5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7F3B4">
            <w:pPr>
              <w:jc w:val="center"/>
              <w:rPr>
                <w:rFonts w:ascii="Times" w:hAnsi="Times" w:eastAsia="等线" w:cs="Arial"/>
                <w:b/>
                <w:bCs/>
                <w:color w:val="555555"/>
                <w:sz w:val="22"/>
                <w:szCs w:val="22"/>
              </w:rPr>
            </w:pPr>
          </w:p>
        </w:tc>
        <w:tc>
          <w:tcPr>
            <w:tcW w:w="699" w:type="pct"/>
            <w:vMerge w:val="continue"/>
            <w:tcBorders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775CFD61">
            <w:pPr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</w:pPr>
          </w:p>
        </w:tc>
        <w:tc>
          <w:tcPr>
            <w:tcW w:w="698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45716CE5"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  <w:t>BIC</w:t>
            </w:r>
          </w:p>
        </w:tc>
        <w:tc>
          <w:tcPr>
            <w:tcW w:w="524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2B6B745F"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  <w:t>BICw</w:t>
            </w:r>
          </w:p>
        </w:tc>
        <w:tc>
          <w:tcPr>
            <w:tcW w:w="174" w:type="pct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 w14:paraId="545C188F"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</w:pPr>
          </w:p>
        </w:tc>
        <w:tc>
          <w:tcPr>
            <w:tcW w:w="700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6C26FAB1"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  <w:t>BIC</w:t>
            </w:r>
          </w:p>
        </w:tc>
        <w:tc>
          <w:tcPr>
            <w:tcW w:w="493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2E6C42DA"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  <w:t>BICw</w:t>
            </w:r>
          </w:p>
        </w:tc>
        <w:tc>
          <w:tcPr>
            <w:tcW w:w="145" w:type="pct"/>
            <w:tcBorders>
              <w:left w:val="nil"/>
              <w:right w:val="nil"/>
            </w:tcBorders>
            <w:vAlign w:val="center"/>
          </w:tcPr>
          <w:p w14:paraId="0A4D6410"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</w:pPr>
          </w:p>
        </w:tc>
        <w:tc>
          <w:tcPr>
            <w:tcW w:w="703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56047C7F"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  <w:t>BIC</w:t>
            </w:r>
          </w:p>
        </w:tc>
        <w:tc>
          <w:tcPr>
            <w:tcW w:w="515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0529074E"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  <w:t>BICw</w:t>
            </w:r>
          </w:p>
        </w:tc>
      </w:tr>
      <w:tr w14:paraId="61D491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6C736">
            <w:pPr>
              <w:jc w:val="center"/>
              <w:rPr>
                <w:rFonts w:ascii="Times" w:hAnsi="Times" w:eastAsia="等线" w:cs="Arial"/>
                <w:color w:val="000000"/>
                <w:sz w:val="22"/>
                <w:szCs w:val="22"/>
              </w:rPr>
            </w:pPr>
            <w:r>
              <w:rPr>
                <w:rFonts w:ascii="Times" w:hAnsi="Times" w:eastAsia="等线" w:cs="Arial"/>
                <w:color w:val="000000"/>
                <w:sz w:val="22"/>
                <w:szCs w:val="22"/>
              </w:rPr>
              <w:t>T</w:t>
            </w:r>
          </w:p>
        </w:tc>
        <w:tc>
          <w:tcPr>
            <w:tcW w:w="699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B51605">
            <w:pP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linear</w:t>
            </w:r>
          </w:p>
        </w:tc>
        <w:tc>
          <w:tcPr>
            <w:tcW w:w="698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1A8885">
            <w:pPr>
              <w:jc w:val="both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35929.47</w:t>
            </w: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524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F433D5">
            <w:pPr>
              <w:jc w:val="center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0.51</w:t>
            </w: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74" w:type="pct"/>
            <w:tcBorders>
              <w:top w:val="single" w:color="000000" w:sz="8" w:space="0"/>
              <w:left w:val="nil"/>
              <w:bottom w:val="nil"/>
              <w:right w:val="nil"/>
            </w:tcBorders>
            <w:vAlign w:val="center"/>
          </w:tcPr>
          <w:p w14:paraId="4A7519DE">
            <w:pPr>
              <w:jc w:val="both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0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6E28ED">
            <w:pPr>
              <w:jc w:val="both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35925.04</w:t>
            </w:r>
          </w:p>
        </w:tc>
        <w:tc>
          <w:tcPr>
            <w:tcW w:w="493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24C651">
            <w:pPr>
              <w:jc w:val="center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0.33</w:t>
            </w:r>
          </w:p>
        </w:tc>
        <w:tc>
          <w:tcPr>
            <w:tcW w:w="145" w:type="pct"/>
            <w:tcBorders>
              <w:left w:val="nil"/>
              <w:bottom w:val="nil"/>
              <w:right w:val="nil"/>
            </w:tcBorders>
            <w:vAlign w:val="center"/>
          </w:tcPr>
          <w:p w14:paraId="37D8F070">
            <w:pPr>
              <w:jc w:val="both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8CB874">
            <w:pPr>
              <w:jc w:val="both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35937.31</w:t>
            </w: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515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8D03B8">
            <w:pPr>
              <w:jc w:val="center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0.55</w:t>
            </w: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 w14:paraId="2E7E56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349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EEC9AD">
            <w:pPr>
              <w:rPr>
                <w:rFonts w:ascii="Times" w:hAnsi="Times" w:eastAsia="等线" w:cs="Arial"/>
                <w:color w:val="000000"/>
                <w:sz w:val="22"/>
                <w:szCs w:val="22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BBBB81">
            <w:pP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quadratic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150C8A">
            <w:pPr>
              <w:jc w:val="both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35938.00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8F11AE">
            <w:pPr>
              <w:jc w:val="center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60A51">
            <w:pPr>
              <w:jc w:val="both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E6918E">
            <w:pPr>
              <w:jc w:val="both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35930.24</w:t>
            </w: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ABD0A">
            <w:pPr>
              <w:jc w:val="center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0.02</w:t>
            </w: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31B46">
            <w:pPr>
              <w:jc w:val="both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A22F9">
            <w:pPr>
              <w:jc w:val="both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35945.49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3C7C6D">
            <w:pPr>
              <w:jc w:val="center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</w:tr>
      <w:tr w14:paraId="71B254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349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D71A07">
            <w:pPr>
              <w:rPr>
                <w:rFonts w:ascii="Times" w:hAnsi="Times" w:eastAsia="等线" w:cs="Arial"/>
                <w:color w:val="000000"/>
                <w:sz w:val="22"/>
                <w:szCs w:val="22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0E4BCB">
            <w:pP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log-linear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E8F00">
            <w:pPr>
              <w:jc w:val="both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35929.60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0CE2F">
            <w:pPr>
              <w:jc w:val="center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0.48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2E372">
            <w:pPr>
              <w:jc w:val="both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4C8EB6">
            <w:pPr>
              <w:jc w:val="both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35923.65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0BD787">
            <w:pPr>
              <w:jc w:val="center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0.65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80FBD">
            <w:pPr>
              <w:jc w:val="both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09A42">
            <w:pPr>
              <w:jc w:val="both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35937.71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A8C3A">
            <w:pPr>
              <w:jc w:val="center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0.45</w:t>
            </w:r>
          </w:p>
        </w:tc>
      </w:tr>
      <w:tr w14:paraId="3B6AC2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E6AE8">
            <w:pPr>
              <w:jc w:val="center"/>
              <w:rPr>
                <w:rFonts w:ascii="Times" w:hAnsi="Times" w:eastAsia="等线" w:cs="Arial"/>
                <w:color w:val="000000"/>
                <w:sz w:val="22"/>
                <w:szCs w:val="22"/>
              </w:rPr>
            </w:pPr>
            <w:r>
              <w:rPr>
                <w:rFonts w:ascii="Times" w:hAnsi="Times" w:eastAsia="等线" w:cs="Arial"/>
                <w:color w:val="000000"/>
                <w:sz w:val="22"/>
                <w:szCs w:val="22"/>
              </w:rPr>
              <w:t>I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18682285">
            <w:pP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linear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6E0112CB">
            <w:pPr>
              <w:jc w:val="both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28700.61</w:t>
            </w: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3A3AE4B7">
            <w:pPr>
              <w:jc w:val="center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0.64</w:t>
            </w: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00651AC6">
            <w:pPr>
              <w:jc w:val="both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41C0CCAF">
            <w:pPr>
              <w:jc w:val="both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28692.39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1C793C9B">
            <w:pPr>
              <w:jc w:val="center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0.38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7216BECD">
            <w:pPr>
              <w:jc w:val="both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6DA2BD06">
            <w:pPr>
              <w:jc w:val="both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28721.10</w:t>
            </w: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173A8771">
            <w:pPr>
              <w:jc w:val="center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0.66</w:t>
            </w: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 w14:paraId="3392DD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349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A38248">
            <w:pPr>
              <w:rPr>
                <w:rFonts w:ascii="Times" w:hAnsi="Times" w:eastAsia="等线" w:cs="Arial"/>
                <w:color w:val="000000"/>
                <w:sz w:val="22"/>
                <w:szCs w:val="22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60C9CCE9">
            <w:pP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quadratic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38C6EECC">
            <w:pPr>
              <w:jc w:val="both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28708.47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42C3CE05">
            <w:pPr>
              <w:jc w:val="center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6CC35B59">
            <w:pPr>
              <w:jc w:val="both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1D9454C1">
            <w:pPr>
              <w:jc w:val="both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28699.75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5E84277C">
            <w:pPr>
              <w:jc w:val="center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0EEBA2CE">
            <w:pPr>
              <w:jc w:val="both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00D17BC0">
            <w:pPr>
              <w:jc w:val="both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28726.91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7F853017">
            <w:pPr>
              <w:jc w:val="center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</w:tc>
      </w:tr>
      <w:tr w14:paraId="1F9C7A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349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3B6E8C">
            <w:pPr>
              <w:rPr>
                <w:rFonts w:ascii="Times" w:hAnsi="Times" w:eastAsia="等线" w:cs="Arial"/>
                <w:color w:val="000000"/>
                <w:sz w:val="22"/>
                <w:szCs w:val="22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170CC5FB">
            <w:pP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log-linear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6013EED8">
            <w:pPr>
              <w:jc w:val="both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28701.85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77BECB4D">
            <w:pPr>
              <w:jc w:val="center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0.35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6D8A4C52">
            <w:pPr>
              <w:jc w:val="both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6D9ECFA9">
            <w:pPr>
              <w:jc w:val="both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28691.47</w:t>
            </w: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00917990">
            <w:pPr>
              <w:jc w:val="center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0.61</w:t>
            </w: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67F143D4">
            <w:pPr>
              <w:jc w:val="both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2DC416E7">
            <w:pPr>
              <w:jc w:val="both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28722.63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56AF56A9">
            <w:pPr>
              <w:jc w:val="center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0.31</w:t>
            </w:r>
          </w:p>
        </w:tc>
      </w:tr>
      <w:tr w14:paraId="58B6F0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09391">
            <w:pPr>
              <w:jc w:val="center"/>
              <w:rPr>
                <w:rFonts w:ascii="Times" w:hAnsi="Times" w:eastAsia="等线" w:cs="Arial"/>
                <w:color w:val="000000"/>
                <w:sz w:val="22"/>
                <w:szCs w:val="22"/>
              </w:rPr>
            </w:pPr>
            <w:r>
              <w:rPr>
                <w:rFonts w:ascii="Times" w:hAnsi="Times" w:eastAsia="等线" w:cs="Arial"/>
                <w:color w:val="000000"/>
                <w:sz w:val="22"/>
                <w:szCs w:val="22"/>
              </w:rPr>
              <w:t>HI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CA143D">
            <w:pP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linear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75DF3">
            <w:pPr>
              <w:jc w:val="both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32465.34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BFB6E">
            <w:pPr>
              <w:jc w:val="center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0.49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9A817">
            <w:pPr>
              <w:jc w:val="both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2613B">
            <w:pPr>
              <w:jc w:val="both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32481.85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98FD68">
            <w:pPr>
              <w:jc w:val="center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0.44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E6AFB">
            <w:pPr>
              <w:jc w:val="both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9ADDBF">
            <w:pPr>
              <w:jc w:val="both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32465.67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39DBED">
            <w:pPr>
              <w:jc w:val="center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0.50</w:t>
            </w:r>
          </w:p>
        </w:tc>
      </w:tr>
      <w:tr w14:paraId="1FE049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349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367EA6">
            <w:pPr>
              <w:rPr>
                <w:rFonts w:ascii="Times" w:hAnsi="Times" w:eastAsia="等线" w:cs="Arial"/>
                <w:color w:val="000000"/>
                <w:sz w:val="22"/>
                <w:szCs w:val="22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5A011">
            <w:pP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quadratic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A6619">
            <w:pPr>
              <w:jc w:val="both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32473.43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2B9037">
            <w:pPr>
              <w:jc w:val="center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88497">
            <w:pPr>
              <w:jc w:val="both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13835F">
            <w:pPr>
              <w:jc w:val="both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32487.11</w:t>
            </w: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A3D0A5">
            <w:pPr>
              <w:jc w:val="center"/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0.03</w:t>
            </w:r>
            <w:r>
              <w:rPr>
                <w:rFonts w:ascii="Times" w:hAnsi="Times" w:eastAsia="等线" w:cs="Arial"/>
                <w:b/>
                <w:bCs/>
                <w:color w:val="000000" w:themeColor="text1"/>
                <w:sz w:val="22"/>
                <w:szCs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80A74">
            <w:pPr>
              <w:jc w:val="both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5ED0B">
            <w:pPr>
              <w:jc w:val="both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32474.15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637DDC">
            <w:pPr>
              <w:jc w:val="center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</w:tr>
      <w:tr w14:paraId="7C42B9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349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2A241">
            <w:pPr>
              <w:rPr>
                <w:rFonts w:ascii="Times" w:hAnsi="Times" w:eastAsia="等线" w:cs="Arial"/>
                <w:color w:val="000000"/>
                <w:sz w:val="22"/>
                <w:szCs w:val="22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79ECA">
            <w:pP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log-linear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35292">
            <w:pPr>
              <w:jc w:val="both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32465.29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384CE">
            <w:pPr>
              <w:jc w:val="center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0.50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AA900">
            <w:pPr>
              <w:jc w:val="both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F260DA">
            <w:pPr>
              <w:jc w:val="both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32481.45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7A9511">
            <w:pPr>
              <w:jc w:val="center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0.53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5690C">
            <w:pPr>
              <w:jc w:val="both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8BA9DB">
            <w:pPr>
              <w:jc w:val="both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32465.67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00EC0">
            <w:pPr>
              <w:jc w:val="center"/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" w:hAnsi="Times" w:eastAsia="等线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0.50</w:t>
            </w:r>
          </w:p>
        </w:tc>
      </w:tr>
      <w:tr w14:paraId="346823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5000" w:type="pct"/>
            <w:gridSpan w:val="10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16DA8">
            <w:pPr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  <w:vertAlign w:val="superscript"/>
              </w:rPr>
              <w:t>a</w:t>
            </w:r>
            <w:r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  <w:t xml:space="preserve">BIC values for each model are shown. </w:t>
            </w:r>
          </w:p>
          <w:p w14:paraId="65988259">
            <w:pPr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  <w:vertAlign w:val="superscript"/>
              </w:rPr>
              <w:t>b</w:t>
            </w:r>
            <w:r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  <w:t xml:space="preserve">Best model fit for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ADHD symptoms on IQ.</w:t>
            </w:r>
          </w:p>
          <w:p w14:paraId="26CD72A4">
            <w:pPr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  <w:t>A bold font indicates a significant coefficient of the IQ term in the current model.</w:t>
            </w:r>
          </w:p>
          <w:p w14:paraId="32B3BD0B">
            <w:pPr>
              <w:jc w:val="both"/>
              <w:rPr>
                <w:rFonts w:ascii="Times" w:hAnsi="Times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  <w:t>T, Total scores of ADHD symptoms; I, inattention; HI, hyperactivity/impulsivity;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H, </w:t>
            </w:r>
            <w:r>
              <w:rPr>
                <w:rFonts w:ascii="Times New Roman" w:hAnsi="Times New Roman" w:cs="Times New Roman" w:eastAsiaTheme="minorEastAsia"/>
                <w:kern w:val="2"/>
                <w:sz w:val="22"/>
                <w:szCs w:val="22"/>
              </w:rPr>
              <w:t xml:space="preserve">hyperactivity(H), IMP, impulsivity; 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22"/>
                <w:szCs w:val="22"/>
              </w:rPr>
              <w:t>FS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IQ, </w:t>
            </w:r>
            <w:r>
              <w:rPr>
                <w:rFonts w:hint="eastAsia" w:ascii="Times New Roman" w:hAnsi="Times New Roman" w:cs="Times New Roman"/>
                <w:sz w:val="22"/>
                <w:szCs w:val="22"/>
              </w:rPr>
              <w:t xml:space="preserve">full-scale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intelligence quotien</w:t>
            </w:r>
            <w:r>
              <w:rPr>
                <w:rFonts w:hint="eastAsia" w:ascii="Times New Roman" w:hAnsi="Times New Roman" w:cs="Times New Roman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; PIQ, performance intelligence quotient; VIQ, verbral intelligence quotien</w:t>
            </w:r>
            <w:r>
              <w:rPr>
                <w:rFonts w:hint="eastAsia" w:ascii="Times New Roman" w:hAnsi="Times New Roman" w:cs="Times New Roman"/>
                <w:sz w:val="22"/>
                <w:szCs w:val="22"/>
              </w:rPr>
              <w:t>t</w:t>
            </w:r>
          </w:p>
        </w:tc>
      </w:tr>
    </w:tbl>
    <w:p w14:paraId="1A161560">
      <w:pPr>
        <w:rPr>
          <w:rFonts w:hint="eastAsia"/>
        </w:rPr>
      </w:pPr>
    </w:p>
    <w:p w14:paraId="5C3EC151">
      <w:pPr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5274310" cy="2117725"/>
            <wp:effectExtent l="0" t="0" r="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B182A">
      <w:pPr>
        <w:rPr>
          <w:rFonts w:ascii="Times New Roman" w:hAnsi="Times New Roman" w:cs="Times New Roman" w:eastAsiaTheme="minorEastAsia"/>
          <w:b/>
          <w:bCs/>
          <w:kern w:val="2"/>
          <w:sz w:val="22"/>
          <w:szCs w:val="22"/>
        </w:rPr>
      </w:pPr>
      <w:r>
        <w:rPr>
          <w:rFonts w:hint="eastAsia" w:ascii="Times New Roman" w:hAnsi="Times New Roman" w:cs="Times New Roman" w:eastAsiaTheme="minorEastAsia"/>
          <w:b/>
          <w:bCs/>
          <w:kern w:val="2"/>
          <w:sz w:val="22"/>
          <w:szCs w:val="22"/>
          <w:lang w:val="en-US" w:eastAsia="zh-CN"/>
        </w:rPr>
        <w:t xml:space="preserve">Figure </w:t>
      </w:r>
      <w:r>
        <w:rPr>
          <w:rFonts w:ascii="Times New Roman" w:hAnsi="Times New Roman" w:cs="Times New Roman" w:eastAsiaTheme="minorEastAsia"/>
          <w:b/>
          <w:bCs/>
          <w:kern w:val="2"/>
          <w:sz w:val="22"/>
          <w:szCs w:val="22"/>
        </w:rPr>
        <w:t>S1. Optimal model fit curves for IQ and ADHD symptom scores after controlling for sex and age.</w:t>
      </w:r>
    </w:p>
    <w:p w14:paraId="506DA5D5">
      <w:pPr>
        <w:rPr>
          <w:rFonts w:ascii="Times New Roman" w:hAnsi="Times New Roman" w:cs="Times New Roman" w:eastAsiaTheme="minorEastAsia"/>
          <w:kern w:val="2"/>
          <w:sz w:val="22"/>
          <w:szCs w:val="22"/>
        </w:rPr>
      </w:pPr>
    </w:p>
    <w:p w14:paraId="464EAC66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Table</w:t>
      </w:r>
      <w:r>
        <w:rPr>
          <w:rFonts w:hint="eastAsia"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>S2</w:t>
      </w:r>
      <w:r>
        <w:rPr>
          <w:rFonts w:hint="eastAsia" w:ascii="Times New Roman" w:hAnsi="Times New Roman" w:cs="Times New Roman"/>
          <w:b/>
          <w:bCs/>
          <w:sz w:val="22"/>
          <w:szCs w:val="22"/>
        </w:rPr>
        <w:t>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>Latent Profile Analysis in terms of Functional Impairment Scores</w:t>
      </w:r>
    </w:p>
    <w:tbl>
      <w:tblPr>
        <w:tblStyle w:val="6"/>
        <w:tblW w:w="1069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205"/>
        <w:gridCol w:w="1205"/>
        <w:gridCol w:w="1205"/>
        <w:gridCol w:w="1080"/>
        <w:gridCol w:w="1080"/>
        <w:gridCol w:w="1034"/>
        <w:gridCol w:w="615"/>
        <w:gridCol w:w="615"/>
        <w:gridCol w:w="615"/>
        <w:gridCol w:w="615"/>
        <w:gridCol w:w="616"/>
      </w:tblGrid>
      <w:tr w14:paraId="35B06E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810" w:type="dxa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38B18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Class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 w:type="textWrapping"/>
            </w:r>
            <w:r>
              <w:rPr>
                <w:rFonts w:ascii="Times New Roman" w:hAnsi="Times New Roman" w:cs="Times New Roman"/>
                <w:sz w:val="22"/>
                <w:szCs w:val="22"/>
              </w:rPr>
              <w:t>(N)</w:t>
            </w:r>
          </w:p>
        </w:tc>
        <w:tc>
          <w:tcPr>
            <w:tcW w:w="1205" w:type="dxa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 w14:paraId="410048A9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AIC</w:t>
            </w:r>
          </w:p>
        </w:tc>
        <w:tc>
          <w:tcPr>
            <w:tcW w:w="1205" w:type="dxa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F05E73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BIC</w:t>
            </w:r>
          </w:p>
        </w:tc>
        <w:tc>
          <w:tcPr>
            <w:tcW w:w="1205" w:type="dxa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644090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aBIC</w:t>
            </w:r>
          </w:p>
        </w:tc>
        <w:tc>
          <w:tcPr>
            <w:tcW w:w="1080" w:type="dxa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0DA58A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pLMR</w:t>
            </w:r>
          </w:p>
        </w:tc>
        <w:tc>
          <w:tcPr>
            <w:tcW w:w="1080" w:type="dxa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944EB7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pBLRT</w:t>
            </w:r>
          </w:p>
        </w:tc>
        <w:tc>
          <w:tcPr>
            <w:tcW w:w="1034" w:type="dxa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9C8312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Entropy</w:t>
            </w:r>
          </w:p>
        </w:tc>
        <w:tc>
          <w:tcPr>
            <w:tcW w:w="3076" w:type="dxa"/>
            <w:gridSpan w:val="5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D130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Group Size for each profile</w:t>
            </w:r>
          </w:p>
        </w:tc>
      </w:tr>
      <w:tr w14:paraId="4AADB5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810" w:type="dxa"/>
            <w:vMerge w:val="continue"/>
            <w:tcBorders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4C7CC4DE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05" w:type="dxa"/>
            <w:vMerge w:val="continue"/>
            <w:tcBorders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6999684A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05" w:type="dxa"/>
            <w:vMerge w:val="continue"/>
            <w:tcBorders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3D42D173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05" w:type="dxa"/>
            <w:vMerge w:val="continue"/>
            <w:tcBorders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4769F834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4763AB0C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55A5C220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4" w:type="dxa"/>
            <w:vMerge w:val="continue"/>
            <w:tcBorders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53152C80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6E59136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6A4A154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371F544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47F121E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08AF5DC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14:paraId="7A289F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81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9DB29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05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969FE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57429.01 </w:t>
            </w:r>
          </w:p>
        </w:tc>
        <w:tc>
          <w:tcPr>
            <w:tcW w:w="1205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414A9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57549.09 </w:t>
            </w:r>
          </w:p>
        </w:tc>
        <w:tc>
          <w:tcPr>
            <w:tcW w:w="1205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953A3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57472.86 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A6F8D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65E2C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791AE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15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C95ED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15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09D82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15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75A17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15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82AB4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15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B0918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5C1300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AC4EA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0FCFB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24722.32 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5F6F5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24847.40 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003AC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24768.00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9C22F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&lt;0.0001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B8A12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&lt;0.0001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CBE44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0.740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BF57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577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5C4D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523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DD67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A0D1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608F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19B30C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60059E0F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528D9491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24093.84 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C8966D4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24263.95 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5E3A98EC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24155.96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090981A3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4CBEECE8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&lt;0.0001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53935DF1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0.762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5787C25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446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0E374AA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362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7A37308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292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E42D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67C1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6D0D27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269F6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7C1C2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23840.87 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0FC93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24056.01 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69016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23919.43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2590F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0.1004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F6FB6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&lt;0.0001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D7C19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0.768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EA2F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220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F06C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359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3850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252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2AEF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239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E07C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14:paraId="08B931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81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2CC15F47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1170F8D8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23595.25 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360725F9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23855.41 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B48A171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23690.25 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3C6639AD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38BF8295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&lt;0.0001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260154B7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0.802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1C1BA80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185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6C08F8B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371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2F397F5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159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BD6C26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189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08ED0A8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196</w:t>
            </w:r>
          </w:p>
        </w:tc>
      </w:tr>
    </w:tbl>
    <w:p w14:paraId="43B2F3B7">
      <w:pPr>
        <w:rPr>
          <w:rFonts w:ascii="Times New Roman" w:hAnsi="Times New Roman" w:cs="Times New Roman"/>
        </w:rPr>
      </w:pPr>
    </w:p>
    <w:p w14:paraId="433C8CB8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Table</w:t>
      </w:r>
      <w:r>
        <w:rPr>
          <w:rFonts w:hint="eastAsia" w:ascii="Times New Roman" w:hAnsi="Times New Roman" w:cs="Times New Roman"/>
          <w:b/>
          <w:bCs/>
          <w:sz w:val="22"/>
          <w:szCs w:val="22"/>
        </w:rPr>
        <w:t xml:space="preserve"> S3.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Group Comparisons among the Profiles on IQ and ADHD Symptom Scores</w:t>
      </w:r>
    </w:p>
    <w:tbl>
      <w:tblPr>
        <w:tblStyle w:val="6"/>
        <w:tblW w:w="731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689"/>
        <w:gridCol w:w="1275"/>
        <w:gridCol w:w="1445"/>
        <w:gridCol w:w="742"/>
        <w:gridCol w:w="1038"/>
      </w:tblGrid>
      <w:tr w14:paraId="0006AB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F5580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9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6CAFBD21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 w14:paraId="2CF78C9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Difference</w:t>
            </w:r>
          </w:p>
        </w:tc>
        <w:tc>
          <w:tcPr>
            <w:tcW w:w="1445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2FD8F1B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Chi-Square</w:t>
            </w:r>
          </w:p>
        </w:tc>
        <w:tc>
          <w:tcPr>
            <w:tcW w:w="742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30BCEAA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df</w:t>
            </w:r>
          </w:p>
        </w:tc>
        <w:tc>
          <w:tcPr>
            <w:tcW w:w="1038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5A83740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P-value</w:t>
            </w:r>
          </w:p>
        </w:tc>
      </w:tr>
      <w:tr w14:paraId="4DBE20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7A69D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9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FA1EA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Overall test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37B35D0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5D42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283.691</w:t>
            </w:r>
          </w:p>
        </w:tc>
        <w:tc>
          <w:tcPr>
            <w:tcW w:w="74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7BB0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038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DADB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14:paraId="2D3D88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53C44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VIQ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5B667">
            <w:pPr>
              <w:widowControl w:val="0"/>
              <w:ind w:firstLine="220" w:firstLineChars="10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Class 1 vs. 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4033BA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16.381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42BE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273.146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59D5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D179E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14:paraId="7D6121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6E98F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AE3CD">
            <w:pPr>
              <w:widowControl w:val="0"/>
              <w:ind w:firstLine="220" w:firstLineChars="10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Class 1 vs. 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871E29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10.493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DF69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95.205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A219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A77C8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14:paraId="552CF7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D0F85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90C1A">
            <w:pPr>
              <w:widowControl w:val="0"/>
              <w:ind w:firstLine="220" w:firstLineChars="10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Class 2 vs. 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3A2106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-5.888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CC3F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27.469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5E40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9A5E9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14:paraId="37A9B1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AEE4E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4EBB8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Overall test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AD3D35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EFD0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148.596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EDD2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15E2C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14:paraId="6DCD1C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B1C5E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PIQ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BFC4B">
            <w:pPr>
              <w:widowControl w:val="0"/>
              <w:ind w:firstLine="220" w:firstLineChars="10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Class 1 vs. 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68AA14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11.704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A57C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143.571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5E9C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46162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14:paraId="635C32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6D2B1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DB1A1">
            <w:pPr>
              <w:widowControl w:val="0"/>
              <w:ind w:firstLine="220" w:firstLineChars="10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Class 1 vs. 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1746BE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7.439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BF42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49.012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24C5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278D1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14:paraId="40177A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C0F7B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ACDBB">
            <w:pPr>
              <w:widowControl w:val="0"/>
              <w:ind w:firstLine="220" w:firstLineChars="10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Class 2 vs. 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97355E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-4.265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43A8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14.868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5B67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A6BFC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14:paraId="3BF967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C9DDD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10DB6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Overall test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D77E49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88CA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74.389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7E34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276FD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14:paraId="1BD909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43E51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IA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7A01D">
            <w:pPr>
              <w:widowControl w:val="0"/>
              <w:ind w:firstLine="220" w:firstLineChars="10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Class 1 vs. 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AB6479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-2.077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5112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59.982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089F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4ABA4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14:paraId="1F8AF4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F1559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2FD62">
            <w:pPr>
              <w:widowControl w:val="0"/>
              <w:ind w:firstLine="220" w:firstLineChars="10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Class 1 vs. 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57F4A6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-1.966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72FC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46.584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0F2F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06738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14:paraId="484A0B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253A8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012AB">
            <w:pPr>
              <w:widowControl w:val="0"/>
              <w:ind w:firstLine="220" w:firstLineChars="10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Class 2 vs. 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EC924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0.111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F0DB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0.142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E7F4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6619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0.706</w:t>
            </w:r>
          </w:p>
        </w:tc>
      </w:tr>
      <w:tr w14:paraId="670AEB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86286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8A8E3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Overall test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3D3F01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F9F1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16.256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625C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94B5A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14:paraId="046B63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1AFF6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HI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83A19">
            <w:pPr>
              <w:widowControl w:val="0"/>
              <w:ind w:firstLine="220" w:firstLineChars="10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Class 1 vs. 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C69A0B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1.579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802F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12.135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7BB0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BF56A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14:paraId="106A82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8F637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A644A">
            <w:pPr>
              <w:widowControl w:val="0"/>
              <w:ind w:firstLine="220" w:firstLineChars="10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Class 1 vs. 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C06293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-0.165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84E5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0.106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2495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400A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0.745</w:t>
            </w:r>
          </w:p>
        </w:tc>
      </w:tr>
      <w:tr w14:paraId="2B2026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6111D5E3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04474CDF">
            <w:pPr>
              <w:widowControl w:val="0"/>
              <w:ind w:firstLine="220" w:firstLineChars="10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Class 2 vs. 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3E5CAD9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-1.762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047CB55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11.715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3F451CD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596FA52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</w:tc>
      </w:tr>
    </w:tbl>
    <w:p w14:paraId="0B6972D3">
      <w:pPr>
        <w:rPr>
          <w:rFonts w:ascii="Arial" w:hAnsi="Arial" w:cs="Arial"/>
        </w:rPr>
      </w:pPr>
    </w:p>
    <w:p w14:paraId="5219E40D">
      <w:pPr>
        <w:rPr>
          <w:rFonts w:hint="eastAsia" w:ascii="Times New Roman" w:hAnsi="Times New Roman" w:cs="Times New Roman" w:eastAsiaTheme="minorEastAsia"/>
          <w:kern w:val="2"/>
          <w:sz w:val="22"/>
          <w:szCs w:val="22"/>
        </w:rPr>
      </w:pPr>
    </w:p>
    <w:p w14:paraId="4BA75CB0">
      <w:pPr>
        <w:jc w:val="center"/>
      </w:pPr>
      <w:r>
        <w:drawing>
          <wp:inline distT="0" distB="0" distL="114300" distR="114300">
            <wp:extent cx="3331210" cy="3782060"/>
            <wp:effectExtent l="0" t="0" r="6350" b="508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31210" cy="378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777633">
      <w:pPr>
        <w:jc w:val="center"/>
        <w:rPr>
          <w:rFonts w:hint="eastAsia" w:ascii="Times New Roman" w:hAnsi="Times New Roman" w:cs="Times New Roman"/>
          <w:b/>
          <w:bCs/>
          <w:i w:val="0"/>
          <w:i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i w:val="0"/>
          <w:iCs w:val="0"/>
          <w:lang w:val="en-US" w:eastAsia="zh-CN"/>
        </w:rPr>
        <w:t>Figure S2. Associations between IQ, EF, and Brain Surface Area in ADHD</w:t>
      </w:r>
    </w:p>
    <w:p w14:paraId="64A4B9FD">
      <w:pPr>
        <w:numPr>
          <w:ilvl w:val="0"/>
          <w:numId w:val="1"/>
        </w:numPr>
        <w:spacing w:line="360" w:lineRule="auto"/>
        <w:jc w:val="both"/>
        <w:rPr>
          <w:rFonts w:hint="eastAsia" w:ascii="Times New Roman" w:hAnsi="Times New Roman" w:cs="Times New Roman"/>
          <w:b w:val="0"/>
          <w:bCs w:val="0"/>
          <w:i w:val="0"/>
          <w:iCs w:val="0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18"/>
          <w:szCs w:val="18"/>
          <w:lang w:val="en-US" w:eastAsia="zh-CN"/>
        </w:rPr>
        <w:t>Spearman correlation scatter plot of PIQ and WM (b) Spearman correlation scatter plot of VIQ and WM (c) Spearman correlation scatter plot of PIQ and BI for PIQ ≤ 103 (d) Spearman correlation scatter plot of PIQ and BI for PIQ &gt; 103 (e) Spearman correlation scatter plot of PIQ and TotalSA for PIQ &gt; 103 (f) Spearman correlation scatter plot of PIQ and SFG for PIQ &gt; 103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sz w:val="18"/>
          <w:szCs w:val="18"/>
          <w:lang w:val="en-US" w:eastAsia="zh-CN"/>
        </w:rPr>
        <w:t>.</w:t>
      </w:r>
    </w:p>
    <w:p w14:paraId="3804896F"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i w:val="0"/>
          <w:iCs w:val="0"/>
          <w:sz w:val="18"/>
          <w:szCs w:val="18"/>
          <w:lang w:val="en-US" w:eastAsia="zh-CN"/>
        </w:rPr>
        <w:t>PIQ, Performance Intelligence Quotient; VIQ, Verbal Intelligence Quotient; WM, Working Memory; BI, Brain Index; TotalSA, Total Surface Area; SFG, Superior Frontal Gyrus; ADHD, Attention-Deficit/Hyperactivity Disorder; EF, Executive Function; IQ, Intelligence Quotien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BF58AD"/>
    <w:multiLevelType w:val="singleLevel"/>
    <w:tmpl w:val="D4BF58AD"/>
    <w:lvl w:ilvl="0" w:tentative="0">
      <w:start w:val="1"/>
      <w:numFmt w:val="lowerLetter"/>
      <w:suff w:val="space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k4ZDNjZTBjNmU3MzJhY2JjYjdmZjE4YmY5MmIxODkifQ=="/>
  </w:docVars>
  <w:rsids>
    <w:rsidRoot w:val="00BC480F"/>
    <w:rsid w:val="00036ACD"/>
    <w:rsid w:val="000649A3"/>
    <w:rsid w:val="00076DB5"/>
    <w:rsid w:val="00175940"/>
    <w:rsid w:val="001D1F4A"/>
    <w:rsid w:val="00340BC2"/>
    <w:rsid w:val="00384A32"/>
    <w:rsid w:val="0039502E"/>
    <w:rsid w:val="00490AC0"/>
    <w:rsid w:val="004A3EFD"/>
    <w:rsid w:val="006F1F78"/>
    <w:rsid w:val="00731BD4"/>
    <w:rsid w:val="0078141F"/>
    <w:rsid w:val="008D0541"/>
    <w:rsid w:val="009A1249"/>
    <w:rsid w:val="00A13FD2"/>
    <w:rsid w:val="00A44154"/>
    <w:rsid w:val="00BC480F"/>
    <w:rsid w:val="00C15D37"/>
    <w:rsid w:val="00D03B29"/>
    <w:rsid w:val="00D2437C"/>
    <w:rsid w:val="00D7390D"/>
    <w:rsid w:val="00D90F21"/>
    <w:rsid w:val="00DA62EC"/>
    <w:rsid w:val="00DB1A68"/>
    <w:rsid w:val="00DE70F7"/>
    <w:rsid w:val="00FC239B"/>
    <w:rsid w:val="34AC7A13"/>
    <w:rsid w:val="4A1351F8"/>
    <w:rsid w:val="62936031"/>
    <w:rsid w:val="695232F6"/>
    <w:rsid w:val="69DA65B5"/>
    <w:rsid w:val="793B65AD"/>
    <w:rsid w:val="7C467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autoRedefine/>
    <w:qFormat/>
    <w:uiPriority w:val="0"/>
  </w:style>
  <w:style w:type="paragraph" w:styleId="3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qFormat/>
    <w:uiPriority w:val="0"/>
    <w:rPr>
      <w:sz w:val="21"/>
      <w:szCs w:val="21"/>
    </w:rPr>
  </w:style>
  <w:style w:type="character" w:customStyle="1" w:styleId="9">
    <w:name w:val="批注文字 字符"/>
    <w:basedOn w:val="7"/>
    <w:link w:val="2"/>
    <w:qFormat/>
    <w:uiPriority w:val="0"/>
    <w:rPr>
      <w:rFonts w:ascii="宋体" w:hAnsi="宋体" w:eastAsia="宋体" w:cs="宋体"/>
      <w:kern w:val="0"/>
      <w:sz w:val="24"/>
    </w:rPr>
  </w:style>
  <w:style w:type="character" w:customStyle="1" w:styleId="10">
    <w:name w:val="批注框文本 字符"/>
    <w:basedOn w:val="7"/>
    <w:link w:val="3"/>
    <w:autoRedefine/>
    <w:semiHidden/>
    <w:qFormat/>
    <w:uiPriority w:val="99"/>
    <w:rPr>
      <w:rFonts w:ascii="宋体" w:hAnsi="宋体" w:eastAsia="宋体" w:cs="宋体"/>
      <w:kern w:val="0"/>
      <w:sz w:val="18"/>
      <w:szCs w:val="18"/>
    </w:rPr>
  </w:style>
  <w:style w:type="character" w:customStyle="1" w:styleId="11">
    <w:name w:val="页眉 字符"/>
    <w:basedOn w:val="7"/>
    <w:link w:val="5"/>
    <w:uiPriority w:val="99"/>
    <w:rPr>
      <w:rFonts w:ascii="宋体" w:hAnsi="宋体" w:eastAsia="宋体" w:cs="宋体"/>
      <w:sz w:val="18"/>
      <w:szCs w:val="18"/>
    </w:rPr>
  </w:style>
  <w:style w:type="character" w:customStyle="1" w:styleId="12">
    <w:name w:val="页脚 字符"/>
    <w:basedOn w:val="7"/>
    <w:link w:val="4"/>
    <w:uiPriority w:val="99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8D388A-1D6C-4036-8C92-3729800FECA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532</Words>
  <Characters>2721</Characters>
  <Lines>18</Lines>
  <Paragraphs>5</Paragraphs>
  <TotalTime>22</TotalTime>
  <ScaleCrop>false</ScaleCrop>
  <LinksUpToDate>false</LinksUpToDate>
  <CharactersWithSpaces>3030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2023-12-18T15:16:00Z</dcterms:created>
  <dc:creator>Done Jia</dc:creator>
  <cp:lastModifiedBy>LNN</cp:lastModifiedBy>
  <dcterms:modified xsi:type="dcterms:W3CDTF">2024-11-05T11:35:07Z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B31CF01905FE420FB4EC1DACC39E1E07_12</vt:lpwstr>
  </property>
</Properties>
</file>