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23BB5" w14:textId="77777777" w:rsidR="004F6548" w:rsidRDefault="004F6548" w:rsidP="004F6548">
      <w:pPr>
        <w:rPr>
          <w:b/>
          <w:bCs/>
        </w:rPr>
      </w:pPr>
    </w:p>
    <w:p w14:paraId="4A893ABD" w14:textId="77777777" w:rsidR="004F6548" w:rsidRDefault="004F6548" w:rsidP="004F6548">
      <w:pPr>
        <w:rPr>
          <w:b/>
          <w:bCs/>
        </w:rPr>
      </w:pPr>
    </w:p>
    <w:p w14:paraId="0D9F300B" w14:textId="77777777" w:rsidR="004F6548" w:rsidRDefault="004F6548" w:rsidP="004F6548">
      <w:pPr>
        <w:jc w:val="center"/>
        <w:rPr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3863D3F2" wp14:editId="68C6B16B">
            <wp:extent cx="5731510" cy="6850380"/>
            <wp:effectExtent l="0" t="0" r="2540" b="0"/>
            <wp:docPr id="1743799052" name="Picture 8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799052" name="Picture 8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5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2BF22" w14:textId="77777777" w:rsidR="004F6548" w:rsidRPr="005C703E" w:rsidRDefault="004F6548" w:rsidP="004F6548">
      <w:pPr>
        <w:rPr>
          <w:sz w:val="18"/>
          <w:szCs w:val="18"/>
        </w:rPr>
      </w:pPr>
      <w:r w:rsidRPr="005C703E">
        <w:rPr>
          <w:b/>
          <w:bCs/>
          <w:sz w:val="18"/>
          <w:szCs w:val="18"/>
        </w:rPr>
        <w:t>Fig. S1|</w:t>
      </w:r>
      <w:r w:rsidRPr="005C703E">
        <w:rPr>
          <w:sz w:val="18"/>
          <w:szCs w:val="18"/>
        </w:rPr>
        <w:t xml:space="preserve"> </w:t>
      </w:r>
      <w:r w:rsidRPr="005C703E">
        <w:rPr>
          <w:b/>
          <w:bCs/>
          <w:sz w:val="18"/>
          <w:szCs w:val="18"/>
        </w:rPr>
        <w:t xml:space="preserve">a, </w:t>
      </w:r>
      <w:r w:rsidRPr="005C703E">
        <w:rPr>
          <w:sz w:val="18"/>
          <w:szCs w:val="18"/>
        </w:rPr>
        <w:t xml:space="preserve">Principal component analysis (PCA) plot comparing mNeon-positive and -negative cell populations by LCMS intracellular proteomics analysis (n=4). </w:t>
      </w:r>
      <w:r w:rsidRPr="005C703E">
        <w:rPr>
          <w:b/>
          <w:bCs/>
          <w:sz w:val="18"/>
          <w:szCs w:val="18"/>
        </w:rPr>
        <w:t>b,</w:t>
      </w:r>
      <w:r w:rsidRPr="005C703E">
        <w:rPr>
          <w:sz w:val="18"/>
          <w:szCs w:val="18"/>
        </w:rPr>
        <w:t xml:space="preserve"> Volcano plot showing differential expression of selected proteins in CHGA-mNeon cells. </w:t>
      </w:r>
      <w:r w:rsidRPr="005C703E">
        <w:rPr>
          <w:b/>
          <w:bCs/>
          <w:sz w:val="18"/>
          <w:szCs w:val="18"/>
        </w:rPr>
        <w:t>c,</w:t>
      </w:r>
      <w:r w:rsidRPr="005C703E">
        <w:rPr>
          <w:sz w:val="18"/>
          <w:szCs w:val="18"/>
        </w:rPr>
        <w:t xml:space="preserve"> Heatmaps showing different categories of genes enriched in human colonic EECs </w:t>
      </w:r>
      <w:r w:rsidRPr="005C703E">
        <w:rPr>
          <w:sz w:val="18"/>
          <w:szCs w:val="18"/>
          <w:lang w:val="en-US"/>
        </w:rPr>
        <w:t xml:space="preserve">with the highest fold </w:t>
      </w:r>
      <w:r w:rsidRPr="005C703E">
        <w:rPr>
          <w:sz w:val="18"/>
          <w:szCs w:val="18"/>
          <w:lang w:val="en-US"/>
        </w:rPr>
        <w:lastRenderedPageBreak/>
        <w:t>change and p values &lt; 0.01</w:t>
      </w:r>
      <w:r w:rsidRPr="005C703E">
        <w:rPr>
          <w:sz w:val="18"/>
          <w:szCs w:val="18"/>
        </w:rPr>
        <w:t>, including cell surface proteins (orphan GPCRs, transporters, ion channels), and gut hormones, transcription factors, cytokines.</w:t>
      </w:r>
    </w:p>
    <w:p w14:paraId="176B4A7B" w14:textId="77777777" w:rsidR="004F6548" w:rsidRDefault="004F6548" w:rsidP="004F6548">
      <w:pPr>
        <w:rPr>
          <w:b/>
          <w:bCs/>
        </w:rPr>
      </w:pPr>
    </w:p>
    <w:p w14:paraId="0A14FCF8" w14:textId="77777777" w:rsidR="004F6548" w:rsidRDefault="004F6548" w:rsidP="004F6548">
      <w:pPr>
        <w:rPr>
          <w:b/>
          <w:bCs/>
        </w:rPr>
      </w:pPr>
    </w:p>
    <w:p w14:paraId="623976FB" w14:textId="77777777" w:rsidR="004F6548" w:rsidRDefault="004F6548" w:rsidP="004F6548">
      <w:pPr>
        <w:rPr>
          <w:b/>
          <w:bCs/>
        </w:rPr>
      </w:pPr>
    </w:p>
    <w:p w14:paraId="51966090" w14:textId="77777777" w:rsidR="004F6548" w:rsidRDefault="004F6548" w:rsidP="004F6548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9915327" wp14:editId="472FCD9E">
            <wp:extent cx="5147909" cy="7200000"/>
            <wp:effectExtent l="0" t="0" r="0" b="1270"/>
            <wp:docPr id="994379216" name="Picture 9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79216" name="Picture 9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0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344F0" w14:textId="77777777" w:rsidR="004F6548" w:rsidRPr="00FE7782" w:rsidRDefault="004F6548" w:rsidP="004F6548">
      <w:pPr>
        <w:rPr>
          <w:sz w:val="18"/>
          <w:szCs w:val="18"/>
        </w:rPr>
      </w:pPr>
      <w:r w:rsidRPr="00A96A0E">
        <w:rPr>
          <w:b/>
          <w:bCs/>
          <w:sz w:val="18"/>
          <w:szCs w:val="18"/>
        </w:rPr>
        <w:t>Fig. S2|</w:t>
      </w:r>
      <w:r w:rsidRPr="00A96A0E">
        <w:rPr>
          <w:sz w:val="18"/>
          <w:szCs w:val="18"/>
        </w:rPr>
        <w:t xml:space="preserve"> </w:t>
      </w:r>
      <w:r w:rsidRPr="00A96A0E">
        <w:rPr>
          <w:b/>
          <w:bCs/>
          <w:sz w:val="18"/>
          <w:szCs w:val="18"/>
        </w:rPr>
        <w:t xml:space="preserve">a, </w:t>
      </w:r>
      <w:r w:rsidRPr="00A96A0E">
        <w:rPr>
          <w:sz w:val="18"/>
          <w:szCs w:val="18"/>
        </w:rPr>
        <w:t xml:space="preserve">Heatmaps showing different categories of genes enriched in mouse colonic ECs </w:t>
      </w:r>
      <w:r w:rsidRPr="00A96A0E">
        <w:rPr>
          <w:sz w:val="18"/>
          <w:szCs w:val="18"/>
          <w:lang w:val="en-US"/>
        </w:rPr>
        <w:t>with the highest fold change and p values &lt; 0.01</w:t>
      </w:r>
      <w:r w:rsidRPr="00A96A0E">
        <w:rPr>
          <w:sz w:val="18"/>
          <w:szCs w:val="18"/>
        </w:rPr>
        <w:t xml:space="preserve">, including cell surface proteins (orphan GPCRs, transporters, ion channels), and transcription factors, cytokines. </w:t>
      </w:r>
      <w:r w:rsidRPr="00A96A0E">
        <w:rPr>
          <w:b/>
          <w:bCs/>
          <w:sz w:val="18"/>
          <w:szCs w:val="18"/>
        </w:rPr>
        <w:t>b,</w:t>
      </w:r>
      <w:r w:rsidRPr="00A96A0E">
        <w:rPr>
          <w:b/>
          <w:bCs/>
          <w:color w:val="FF0000"/>
          <w:sz w:val="18"/>
          <w:szCs w:val="18"/>
        </w:rPr>
        <w:t xml:space="preserve"> </w:t>
      </w:r>
      <w:r w:rsidRPr="00A96A0E">
        <w:rPr>
          <w:sz w:val="18"/>
          <w:szCs w:val="18"/>
        </w:rPr>
        <w:t>Venn diagrams showing the conserved and uniquely expressed genes in different categories between the human colonic EECs (blue) and mouse colonic EC cells (green) based on bulk RNA sequencing analysis.</w:t>
      </w:r>
    </w:p>
    <w:p w14:paraId="45786FBF" w14:textId="77777777" w:rsidR="004F6548" w:rsidRDefault="004F6548" w:rsidP="004F6548"/>
    <w:p w14:paraId="4B1C6F22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48"/>
    <w:rsid w:val="004F6548"/>
    <w:rsid w:val="00A3738C"/>
    <w:rsid w:val="00C31AC8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53984"/>
  <w15:chartTrackingRefBased/>
  <w15:docId w15:val="{07FAACAC-5D46-45B5-9015-AE90559C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548"/>
    <w:pPr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6548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548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548"/>
    <w:pPr>
      <w:keepNext/>
      <w:keepLines/>
      <w:spacing w:before="160" w:after="80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548"/>
    <w:pPr>
      <w:keepNext/>
      <w:keepLines/>
      <w:spacing w:before="80" w:after="40"/>
      <w:jc w:val="left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548"/>
    <w:pPr>
      <w:keepNext/>
      <w:keepLines/>
      <w:spacing w:before="80" w:after="40"/>
      <w:jc w:val="left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548"/>
    <w:pPr>
      <w:keepNext/>
      <w:keepLines/>
      <w:spacing w:before="40" w:after="0"/>
      <w:jc w:val="left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548"/>
    <w:pPr>
      <w:keepNext/>
      <w:keepLines/>
      <w:spacing w:before="40" w:after="0"/>
      <w:jc w:val="left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548"/>
    <w:pPr>
      <w:keepNext/>
      <w:keepLines/>
      <w:spacing w:after="0"/>
      <w:jc w:val="left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548"/>
    <w:pPr>
      <w:keepNext/>
      <w:keepLines/>
      <w:spacing w:after="0"/>
      <w:jc w:val="left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5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5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5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5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5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548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6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548"/>
    <w:pPr>
      <w:numPr>
        <w:ilvl w:val="1"/>
      </w:numPr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F6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548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F6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548"/>
    <w:pPr>
      <w:ind w:left="720"/>
      <w:contextualSpacing/>
      <w:jc w:val="left"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4F65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5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5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</Words>
  <Characters>829</Characters>
  <Application>Microsoft Office Word</Application>
  <DocSecurity>0</DocSecurity>
  <Lines>6</Lines>
  <Paragraphs>1</Paragraphs>
  <ScaleCrop>false</ScaleCrop>
  <Company>Springer Nature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2024-12-18T11:04:00Z</dcterms:created>
  <dcterms:modified xsi:type="dcterms:W3CDTF">2024-12-18T11:05:00Z</dcterms:modified>
</cp:coreProperties>
</file>