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2EF" w:rsidRDefault="00D11160">
      <w:pPr>
        <w:suppressAutoHyphens/>
        <w:autoSpaceDN w:val="0"/>
        <w:spacing w:before="100" w:after="100" w:line="240" w:lineRule="auto"/>
        <w:jc w:val="center"/>
        <w:rPr>
          <w:rFonts w:ascii="Calibri" w:eastAsia="Calibri" w:hAnsi="Calibri" w:cs="Times New Roman"/>
          <w:lang w:eastAsia="en-US"/>
        </w:rPr>
      </w:pPr>
      <w:r>
        <w:rPr>
          <w:rFonts w:ascii="Times New Roman" w:eastAsia="Times New Roman" w:hAnsi="Times New Roman" w:cs="Times New Roman"/>
          <w:b/>
          <w:bCs/>
          <w:kern w:val="3"/>
          <w:sz w:val="32"/>
          <w:szCs w:val="32"/>
          <w:lang w:eastAsia="zh-CN" w:bidi="ar"/>
        </w:rPr>
        <w:t xml:space="preserve">Electrochemical Performance of N-doped Graphite @Carbon/ Red </w:t>
      </w:r>
      <w:r w:rsidR="009A56A1">
        <w:rPr>
          <w:rFonts w:ascii="Times New Roman" w:eastAsia="Times New Roman" w:hAnsi="Times New Roman" w:cs="Times New Roman"/>
          <w:b/>
          <w:bCs/>
          <w:kern w:val="3"/>
          <w:sz w:val="32"/>
          <w:szCs w:val="32"/>
          <w:lang w:eastAsia="zh-CN" w:bidi="ar"/>
        </w:rPr>
        <w:t>Phosphorus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"/>
          <w:sz w:val="32"/>
          <w:szCs w:val="32"/>
          <w:lang w:eastAsia="zh-CN" w:bidi="ar"/>
        </w:rPr>
        <w:t xml:space="preserve"> Composite</w:t>
      </w:r>
      <w:r>
        <w:rPr>
          <w:rFonts w:ascii="Times New Roman" w:eastAsia="맑은 고딕" w:hAnsi="Times New Roman" w:cs="Times New Roman"/>
          <w:b/>
          <w:bCs/>
          <w:kern w:val="3"/>
          <w:sz w:val="32"/>
          <w:szCs w:val="32"/>
          <w:lang w:eastAsia="zh-CN" w:bidi="a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"/>
          <w:sz w:val="32"/>
          <w:szCs w:val="32"/>
          <w:lang w:eastAsia="zh-CN" w:bidi="ar"/>
        </w:rPr>
        <w:t>for Lithium-Ion Secondary Batteries</w:t>
      </w:r>
    </w:p>
    <w:p w:rsidR="00C00A2F" w:rsidRPr="00C00A2F" w:rsidRDefault="00C00A2F" w:rsidP="00C00A2F">
      <w:pPr>
        <w:suppressAutoHyphens/>
        <w:autoSpaceDN w:val="0"/>
        <w:spacing w:before="10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en-US"/>
        </w:rPr>
      </w:pPr>
      <w:r w:rsidRPr="00C00A2F">
        <w:rPr>
          <w:rFonts w:ascii="Times New Roman" w:eastAsia="SimSun" w:hAnsi="Times New Roman" w:cs="Times New Roman"/>
          <w:bCs/>
          <w:sz w:val="24"/>
          <w:szCs w:val="24"/>
          <w:lang w:eastAsia="zh-CN" w:bidi="ar"/>
        </w:rPr>
        <w:t xml:space="preserve">MD </w:t>
      </w:r>
      <w:proofErr w:type="spellStart"/>
      <w:r w:rsidRPr="00C00A2F">
        <w:rPr>
          <w:rFonts w:ascii="Times New Roman" w:eastAsia="SimSun" w:hAnsi="Times New Roman" w:cs="Times New Roman"/>
          <w:bCs/>
          <w:sz w:val="24"/>
          <w:szCs w:val="24"/>
          <w:lang w:eastAsia="zh-CN" w:bidi="ar"/>
        </w:rPr>
        <w:t>Rasidul</w:t>
      </w:r>
      <w:proofErr w:type="spellEnd"/>
      <w:r w:rsidRPr="00C00A2F">
        <w:rPr>
          <w:rFonts w:ascii="Times New Roman" w:eastAsia="SimSun" w:hAnsi="Times New Roman" w:cs="Times New Roman"/>
          <w:bCs/>
          <w:sz w:val="24"/>
          <w:szCs w:val="24"/>
          <w:lang w:eastAsia="zh-CN" w:bidi="ar"/>
        </w:rPr>
        <w:t xml:space="preserve"> Islam Rocky, Venugopal </w:t>
      </w:r>
      <w:proofErr w:type="spellStart"/>
      <w:r w:rsidRPr="00C00A2F">
        <w:rPr>
          <w:rFonts w:ascii="Times New Roman" w:eastAsia="SimSun" w:hAnsi="Times New Roman" w:cs="Times New Roman"/>
          <w:bCs/>
          <w:sz w:val="24"/>
          <w:szCs w:val="24"/>
          <w:lang w:eastAsia="zh-CN" w:bidi="ar"/>
        </w:rPr>
        <w:t>Nulu</w:t>
      </w:r>
      <w:proofErr w:type="spellEnd"/>
      <w:r w:rsidRPr="00C00A2F">
        <w:rPr>
          <w:rFonts w:ascii="Times New Roman" w:eastAsia="맑은 고딕" w:hAnsi="Times New Roman" w:cs="Times New Roman"/>
          <w:iCs/>
          <w:sz w:val="24"/>
          <w:szCs w:val="24"/>
        </w:rPr>
        <w:t>*</w:t>
      </w:r>
      <w:r w:rsidRPr="00C00A2F">
        <w:rPr>
          <w:rFonts w:ascii="Times New Roman" w:eastAsia="SimSun" w:hAnsi="Times New Roman" w:cs="Times New Roman"/>
          <w:bCs/>
          <w:sz w:val="24"/>
          <w:szCs w:val="24"/>
          <w:lang w:eastAsia="zh-CN" w:bidi="ar"/>
        </w:rPr>
        <w:t xml:space="preserve">, </w:t>
      </w:r>
      <w:proofErr w:type="spellStart"/>
      <w:r w:rsidRPr="00C00A2F">
        <w:rPr>
          <w:rFonts w:ascii="Times New Roman" w:eastAsia="SimSun" w:hAnsi="Times New Roman" w:cs="Times New Roman"/>
          <w:bCs/>
          <w:sz w:val="24"/>
          <w:szCs w:val="24"/>
          <w:lang w:eastAsia="zh-CN" w:bidi="ar"/>
        </w:rPr>
        <w:t>Keun</w:t>
      </w:r>
      <w:proofErr w:type="spellEnd"/>
      <w:r w:rsidRPr="00C00A2F">
        <w:rPr>
          <w:rFonts w:ascii="Times New Roman" w:eastAsia="SimSun" w:hAnsi="Times New Roman" w:cs="Times New Roman"/>
          <w:bCs/>
          <w:sz w:val="24"/>
          <w:szCs w:val="24"/>
          <w:lang w:eastAsia="zh-CN" w:bidi="ar"/>
        </w:rPr>
        <w:t xml:space="preserve"> Yong Sohn</w:t>
      </w:r>
      <w:r w:rsidRPr="00C00A2F">
        <w:rPr>
          <w:rFonts w:ascii="Times New Roman" w:eastAsia="맑은 고딕" w:hAnsi="Times New Roman" w:cs="Times New Roman"/>
          <w:iCs/>
          <w:sz w:val="24"/>
          <w:szCs w:val="24"/>
        </w:rPr>
        <w:t>*</w:t>
      </w:r>
    </w:p>
    <w:p w:rsidR="00C00A2F" w:rsidRPr="00C00A2F" w:rsidRDefault="00C00A2F" w:rsidP="00C00A2F">
      <w:pPr>
        <w:suppressAutoHyphens/>
        <w:autoSpaceDN w:val="0"/>
        <w:spacing w:before="10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 xml:space="preserve">Department of Nanoscience and Engineering, Center for Nano Manufacturing, </w:t>
      </w:r>
      <w:proofErr w:type="spellStart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>Inje</w:t>
      </w:r>
      <w:proofErr w:type="spellEnd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 xml:space="preserve"> University, </w:t>
      </w:r>
    </w:p>
    <w:p w:rsidR="00C00A2F" w:rsidRPr="00C00A2F" w:rsidRDefault="00C00A2F" w:rsidP="00C00A2F">
      <w:pPr>
        <w:suppressAutoHyphens/>
        <w:autoSpaceDN w:val="0"/>
        <w:spacing w:before="10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 w:bidi="ar"/>
        </w:rPr>
      </w:pPr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 xml:space="preserve">197 </w:t>
      </w:r>
      <w:proofErr w:type="spellStart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>Inje-ro</w:t>
      </w:r>
      <w:proofErr w:type="spellEnd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 xml:space="preserve">, </w:t>
      </w:r>
      <w:proofErr w:type="spellStart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>Gimhae</w:t>
      </w:r>
      <w:proofErr w:type="spellEnd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 xml:space="preserve">, </w:t>
      </w:r>
      <w:proofErr w:type="spellStart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>Gyeongnam</w:t>
      </w:r>
      <w:proofErr w:type="spellEnd"/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>-do 50834, Republic of Korea</w:t>
      </w:r>
    </w:p>
    <w:p w:rsidR="00C00A2F" w:rsidRPr="00C00A2F" w:rsidRDefault="00C00A2F" w:rsidP="00C00A2F">
      <w:pPr>
        <w:suppressAutoHyphens/>
        <w:autoSpaceDN w:val="0"/>
        <w:spacing w:before="100" w:line="240" w:lineRule="auto"/>
        <w:jc w:val="center"/>
        <w:rPr>
          <w:rFonts w:ascii="Calibri" w:eastAsia="Calibri" w:hAnsi="Calibri" w:cs="Times New Roman"/>
          <w:lang w:eastAsia="en-US"/>
        </w:rPr>
      </w:pPr>
      <w:r w:rsidRPr="00C00A2F">
        <w:rPr>
          <w:rFonts w:ascii="Times New Roman" w:eastAsia="Calibri" w:hAnsi="Times New Roman" w:cs="Times New Roman"/>
          <w:i/>
          <w:sz w:val="24"/>
          <w:szCs w:val="24"/>
          <w:lang w:eastAsia="zh-CN" w:bidi="ar"/>
        </w:rPr>
        <w:t xml:space="preserve">* </w:t>
      </w:r>
      <w:r w:rsidRPr="00C00A2F">
        <w:rPr>
          <w:rFonts w:ascii="Times New Roman" w:eastAsia="Calibri" w:hAnsi="Times New Roman" w:cs="Times New Roman"/>
          <w:sz w:val="24"/>
          <w:szCs w:val="24"/>
          <w:lang w:eastAsia="zh-CN" w:bidi="ar"/>
        </w:rPr>
        <w:t xml:space="preserve">Correspondence to: [ +82-010-8544-0176; </w:t>
      </w:r>
      <w:hyperlink r:id="rId8" w:history="1">
        <w:r w:rsidRPr="00C00A2F">
          <w:rPr>
            <w:rFonts w:ascii="Times New Roman" w:eastAsia="Calibri" w:hAnsi="Times New Roman" w:cs="Times New Roman"/>
            <w:color w:val="0563C1"/>
            <w:sz w:val="24"/>
            <w:szCs w:val="24"/>
            <w:lang w:eastAsia="en-US"/>
          </w:rPr>
          <w:t>ksohn@inje.ac.kr</w:t>
        </w:r>
      </w:hyperlink>
      <w:r w:rsidRPr="00C00A2F">
        <w:rPr>
          <w:rFonts w:ascii="Times New Roman" w:eastAsia="Calibri" w:hAnsi="Times New Roman" w:cs="Times New Roman"/>
          <w:color w:val="0563C1"/>
          <w:sz w:val="24"/>
          <w:szCs w:val="24"/>
          <w:lang w:eastAsia="en-US"/>
        </w:rPr>
        <w:t>; venungopal@gmail.com</w:t>
      </w:r>
      <w:r w:rsidRPr="00C00A2F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]</w:t>
      </w:r>
    </w:p>
    <w:p w:rsidR="004362EF" w:rsidRDefault="004362EF"/>
    <w:p w:rsidR="004362EF" w:rsidRDefault="004362EF"/>
    <w:p w:rsidR="004362EF" w:rsidRDefault="00D11160">
      <w:pPr>
        <w:jc w:val="center"/>
      </w:pPr>
      <w:r>
        <w:rPr>
          <w:noProof/>
        </w:rPr>
        <w:drawing>
          <wp:inline distT="0" distB="0" distL="0" distR="0">
            <wp:extent cx="4572000" cy="36055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6495" cy="36095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362EF" w:rsidRDefault="004362EF"/>
    <w:p w:rsidR="004362EF" w:rsidRDefault="00D11160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Figure S1. SEM images of (a) NGC; (b) NGC/P1(95:5); (c) NGC/P2(90:10); (c) NGC/P3(85:15)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2208530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2EF" w:rsidRDefault="004362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62EF" w:rsidRDefault="00D11160">
      <w:pPr>
        <w:wordWrap w:val="0"/>
        <w:spacing w:line="256" w:lineRule="auto"/>
        <w:ind w:left="720" w:hanging="720"/>
        <w:jc w:val="center"/>
        <w:rPr>
          <w:rFonts w:ascii="Times New Roman" w:eastAsia="맑은 고딕" w:hAnsi="Times New Roman" w:cs="Times New Roman"/>
          <w:color w:val="000000" w:themeColor="text1"/>
          <w:kern w:val="2"/>
          <w:sz w:val="24"/>
          <w:szCs w:val="24"/>
        </w:rPr>
      </w:pPr>
      <w:r>
        <w:rPr>
          <w:rFonts w:ascii="Times New Roman" w:eastAsia="맑은 고딕" w:hAnsi="Times New Roman" w:cs="Times New Roman"/>
          <w:color w:val="000000" w:themeColor="text1"/>
          <w:kern w:val="2"/>
          <w:sz w:val="24"/>
          <w:szCs w:val="24"/>
        </w:rPr>
        <w:t>Figure S2. (a) TGA analysis of the composites; (b) FTIR studies of all the samples.</w:t>
      </w:r>
    </w:p>
    <w:p w:rsidR="004362EF" w:rsidRDefault="004362EF">
      <w:pPr>
        <w:wordWrap w:val="0"/>
        <w:spacing w:line="256" w:lineRule="auto"/>
        <w:ind w:left="720" w:hanging="720"/>
        <w:jc w:val="center"/>
      </w:pPr>
    </w:p>
    <w:p w:rsidR="004362EF" w:rsidRDefault="00D11160">
      <w:r>
        <w:rPr>
          <w:noProof/>
        </w:rPr>
        <w:drawing>
          <wp:inline distT="0" distB="0" distL="0" distR="0">
            <wp:extent cx="5943600" cy="32156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2EF" w:rsidRDefault="00D11160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  <w:r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  <w:t xml:space="preserve">Figure S3: Cyclic voltammograms and charge-discharge curves for the first three cycles of (a, d) G, (b, e) NG, and (c, f) NGC/P3, respectively. </w:t>
      </w:r>
    </w:p>
    <w:p w:rsidR="004362EF" w:rsidRDefault="00D11160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730885</wp:posOffset>
                </wp:positionH>
                <wp:positionV relativeFrom="paragraph">
                  <wp:posOffset>62230</wp:posOffset>
                </wp:positionV>
                <wp:extent cx="933450" cy="369570"/>
                <wp:effectExtent l="0" t="0" r="0" b="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686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362EF" w:rsidRDefault="00D1116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500 nm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Box 3" o:spid="_x0000_s1026" o:spt="202" type="#_x0000_t202" style="position:absolute;left:0pt;margin-left:57.55pt;margin-top:4.9pt;height:29.1pt;width:73.5pt;z-index:251660288;mso-width-relative:page;mso-height-relative:page;" filled="f" stroked="f" coordsize="21600,21600" o:gfxdata="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x9TtNtQAAAAHAQAADwAA&#10;AAAAAAABACAAAAAiAAAAZHJzL2Rvd25yZXYueG1sUEsBAhQAFAAAAAgAh07iQMudm0GoAQAAWgMA&#10;AA4AAAAAAAAAAQAgAAAAIwEAAGRycy9lMm9Eb2MueG1sUEsFBgAAAAAGAAYAWQEAAD0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 w14:paraId="3B27E954">
                      <w:pPr>
                        <w:pStyle w:val="4"/>
                        <w:spacing w:before="0" w:beforeAutospacing="0" w:after="0" w:afterAutospacing="0"/>
                      </w:pPr>
                      <w:r>
                        <w:rPr>
                          <w:b/>
                          <w:bCs/>
                          <w:color w:val="FFFFFF" w:themeColor="background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500 nm</w:t>
                      </w:r>
                    </w:p>
                  </w:txbxContent>
                </v:textbox>
              </v:shape>
            </w:pict>
          </mc:Fallback>
        </mc:AlternateContent>
      </w: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D11160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687070</wp:posOffset>
                </wp:positionH>
                <wp:positionV relativeFrom="paragraph">
                  <wp:posOffset>43180</wp:posOffset>
                </wp:positionV>
                <wp:extent cx="537210" cy="0"/>
                <wp:effectExtent l="0" t="19050" r="53340" b="38100"/>
                <wp:wrapNone/>
                <wp:docPr id="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328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Straight Connector 2" o:spid="_x0000_s1026" o:spt="20" style="position:absolute;left:0pt;margin-left:54.1pt;margin-top:3.4pt;height:0pt;width:42.3pt;z-index:251659264;mso-width-relative:page;mso-height-relative:page;" filled="f" stroked="t" coordsize="21600,21600" o:gfxdata="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CtjPnrTAAAABwEAAA8AAAAAAAAAAQAgAAAAIgAA&#10;AGRycy9kb3ducmV2LnhtbFBLAQIUABQAAAAIAIdO4kCul/E31AEAALQDAAAOAAAAAAAAAAEAIAAA&#10;ACIBAABkcnMvZTJvRG9jLnhtbFBLBQYAAAAABgAGAFkBAABoBQAAAAA=&#10;">
                <v:fill on="f" focussize="0,0"/>
                <v:stroke weight="4.5pt" color="#FFFFFF [3212]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rPr>
          <w:rFonts w:ascii="Times New Roman" w:hAnsi="Times New Roman" w:cs="Times New Roman"/>
          <w:sz w:val="24"/>
        </w:rPr>
      </w:pPr>
    </w:p>
    <w:p w:rsidR="004362EF" w:rsidRDefault="00D1116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S1. Comparison of electrochemical performance of our red P-based graphite/carbon </w:t>
      </w:r>
      <w:r>
        <w:rPr>
          <w:rFonts w:ascii="Times New Roman" w:hAnsi="Times New Roman" w:cs="Times New Roman"/>
          <w:sz w:val="24"/>
        </w:rPr>
        <w:t>hybrid anodes with the literature.</w:t>
      </w:r>
    </w:p>
    <w:tbl>
      <w:tblPr>
        <w:tblStyle w:val="TableGrid"/>
        <w:tblpPr w:leftFromText="180" w:rightFromText="180" w:vertAnchor="text" w:horzAnchor="margin" w:tblpY="-64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2790"/>
        <w:gridCol w:w="1606"/>
        <w:gridCol w:w="1282"/>
      </w:tblGrid>
      <w:tr w:rsidR="004362EF">
        <w:trPr>
          <w:trHeight w:val="128"/>
        </w:trPr>
        <w:tc>
          <w:tcPr>
            <w:tcW w:w="3510" w:type="dxa"/>
            <w:vMerge w:val="restart"/>
            <w:shd w:val="clear" w:color="auto" w:fill="E7E6E6" w:themeFill="background2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Composite materials</w:t>
            </w:r>
          </w:p>
        </w:tc>
        <w:tc>
          <w:tcPr>
            <w:tcW w:w="4396" w:type="dxa"/>
            <w:gridSpan w:val="2"/>
            <w:shd w:val="clear" w:color="auto" w:fill="E7E6E6" w:themeFill="background2"/>
          </w:tcPr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94" w:type="dxa"/>
            <w:vMerge w:val="restart"/>
            <w:shd w:val="clear" w:color="auto" w:fill="E7E6E6" w:themeFill="background2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References</w:t>
            </w:r>
          </w:p>
        </w:tc>
      </w:tr>
      <w:tr w:rsidR="004362EF">
        <w:trPr>
          <w:trHeight w:val="127"/>
        </w:trPr>
        <w:tc>
          <w:tcPr>
            <w:tcW w:w="3510" w:type="dxa"/>
            <w:vMerge/>
            <w:shd w:val="clear" w:color="auto" w:fill="E7E6E6" w:themeFill="background2"/>
          </w:tcPr>
          <w:p w:rsidR="004362EF" w:rsidRDefault="004362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E7E6E6" w:themeFill="background2"/>
          </w:tcPr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Current density (100 mA g</w:t>
            </w:r>
            <w:r>
              <w:rPr>
                <w:rFonts w:ascii="Times New Roman" w:eastAsia="바탕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); discharge capacity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after specific number of cycles </w:t>
            </w:r>
          </w:p>
        </w:tc>
        <w:tc>
          <w:tcPr>
            <w:tcW w:w="1606" w:type="dxa"/>
            <w:shd w:val="clear" w:color="auto" w:fill="E7E6E6" w:themeFill="background2"/>
          </w:tcPr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Initial specific capacity </w:t>
            </w: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94" w:type="dxa"/>
            <w:vMerge/>
            <w:shd w:val="clear" w:color="auto" w:fill="E7E6E6" w:themeFill="background2"/>
          </w:tcPr>
          <w:p w:rsidR="004362EF" w:rsidRDefault="004362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2EF">
        <w:trPr>
          <w:trHeight w:val="657"/>
        </w:trPr>
        <w:tc>
          <w:tcPr>
            <w:tcW w:w="351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Nitrogen doped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Graphite@Carbon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/Red P composite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(NGC/P2)</w:t>
            </w: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520, 100 cycles</w:t>
            </w:r>
          </w:p>
        </w:tc>
        <w:tc>
          <w:tcPr>
            <w:tcW w:w="1606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1496</w:t>
            </w:r>
          </w:p>
        </w:tc>
        <w:tc>
          <w:tcPr>
            <w:tcW w:w="1194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4362EF">
        <w:tc>
          <w:tcPr>
            <w:tcW w:w="351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Nitrogen doped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Graphite@Carbon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/Red P composite (NGC/P1)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427, 100 cycles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~970</w:t>
            </w:r>
          </w:p>
        </w:tc>
        <w:tc>
          <w:tcPr>
            <w:tcW w:w="1194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</w:tr>
      <w:tr w:rsidR="004362EF">
        <w:tc>
          <w:tcPr>
            <w:tcW w:w="351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Graphene/Graphite Nanosheet Composite 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480, 100 cycles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~1000</w:t>
            </w:r>
          </w:p>
        </w:tc>
        <w:tc>
          <w:tcPr>
            <w:tcW w:w="1194" w:type="dxa"/>
          </w:tcPr>
          <w:p w:rsidR="004362EF" w:rsidRDefault="00D111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4362EF" w:rsidRDefault="00D111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</w:t>
            </w:r>
          </w:p>
        </w:tc>
      </w:tr>
      <w:tr w:rsidR="004362EF">
        <w:tc>
          <w:tcPr>
            <w:tcW w:w="351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 Nanoparticle-Decorated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Nanosheets 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510, 100 cycles</w:t>
            </w: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6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2EF">
        <w:tc>
          <w:tcPr>
            <w:tcW w:w="3510" w:type="dxa"/>
          </w:tcPr>
          <w:p w:rsidR="004362EF" w:rsidRDefault="004362EF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Si-MWNT nanocomposite</w:t>
            </w:r>
          </w:p>
        </w:tc>
        <w:tc>
          <w:tcPr>
            <w:tcW w:w="279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500, 10 cycles</w:t>
            </w:r>
          </w:p>
        </w:tc>
        <w:tc>
          <w:tcPr>
            <w:tcW w:w="1606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~1500</w:t>
            </w:r>
          </w:p>
        </w:tc>
        <w:tc>
          <w:tcPr>
            <w:tcW w:w="1194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62EF">
        <w:tc>
          <w:tcPr>
            <w:tcW w:w="351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Single-walled carbon Nanotube/Silicon Composites</w:t>
            </w:r>
          </w:p>
        </w:tc>
        <w:tc>
          <w:tcPr>
            <w:tcW w:w="279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50, 50 cycles</w:t>
            </w:r>
          </w:p>
        </w:tc>
        <w:tc>
          <w:tcPr>
            <w:tcW w:w="1606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~1400</w:t>
            </w:r>
          </w:p>
        </w:tc>
        <w:tc>
          <w:tcPr>
            <w:tcW w:w="1194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62EF">
        <w:tc>
          <w:tcPr>
            <w:tcW w:w="351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Natural-Cellulose-Derived Tin-Nanoparticle/Carbon-Nanofiber Composite</w:t>
            </w:r>
          </w:p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430, 100 cycles</w:t>
            </w:r>
          </w:p>
        </w:tc>
        <w:tc>
          <w:tcPr>
            <w:tcW w:w="1606" w:type="dxa"/>
          </w:tcPr>
          <w:p w:rsidR="004362EF" w:rsidRDefault="004362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580</w:t>
            </w:r>
          </w:p>
        </w:tc>
        <w:tc>
          <w:tcPr>
            <w:tcW w:w="1194" w:type="dxa"/>
          </w:tcPr>
          <w:p w:rsidR="004362EF" w:rsidRDefault="004362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2EF" w:rsidRDefault="00D111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</w:t>
            </w:r>
          </w:p>
        </w:tc>
      </w:tr>
    </w:tbl>
    <w:p w:rsidR="004362EF" w:rsidRDefault="004362EF">
      <w:pPr>
        <w:rPr>
          <w:rFonts w:ascii="Times New Roman" w:hAnsi="Times New Roman" w:cs="Times New Roman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eastAsia="맑은 고딕" w:hAnsi="Times New Roman" w:cs="+mn-cs"/>
          <w:color w:val="000000"/>
          <w:kern w:val="24"/>
          <w:sz w:val="24"/>
          <w:szCs w:val="24"/>
        </w:rPr>
      </w:pPr>
    </w:p>
    <w:p w:rsidR="004362EF" w:rsidRDefault="00D11160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22263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26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spacing w:before="1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color w:val="000000"/>
          <w:kern w:val="24"/>
          <w:sz w:val="24"/>
          <w:szCs w:val="24"/>
        </w:rPr>
        <w:t>Figure S4.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</w:rPr>
        <w:t xml:space="preserve"> Nyquist plots for G, NG, NGC, NGC/P1, NGC/P2, and NGC/P3, respectively (a) before cycling (b) after ten charge-discharge cycles.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References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T.P. Nguyen, I.T. Kim, </w:t>
      </w:r>
      <w:r>
        <w:rPr>
          <w:rFonts w:ascii="Times New Roman" w:hAnsi="Times New Roman" w:cs="Times New Roman"/>
          <w:i/>
          <w:color w:val="000000" w:themeColor="text1"/>
          <w:kern w:val="24"/>
          <w:sz w:val="24"/>
          <w:szCs w:val="24"/>
        </w:rPr>
        <w:t>Nanomaterials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 11, 626 (2021).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Zhu, X.; Yang, C.; Xiao, F.; Wang, J.; </w:t>
      </w:r>
      <w:proofErr w:type="spellStart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, X., </w:t>
      </w:r>
      <w:r>
        <w:rPr>
          <w:rFonts w:ascii="Times New Roman" w:hAnsi="Times New Roman" w:cs="Times New Roman"/>
          <w:i/>
          <w:color w:val="000000" w:themeColor="text1"/>
          <w:kern w:val="24"/>
          <w:sz w:val="24"/>
          <w:szCs w:val="24"/>
        </w:rPr>
        <w:t>J. Chem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., </w:t>
      </w:r>
      <w:r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39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 683–688 (2015).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3.  P. Gao, Y. </w:t>
      </w:r>
      <w:proofErr w:type="spellStart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Nuli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, Y. S. He, J. Wang, A. I. </w:t>
      </w:r>
      <w:proofErr w:type="spellStart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Minett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, J. Yang, J. </w:t>
      </w:r>
      <w:proofErr w:type="gramStart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Chen,  </w:t>
      </w:r>
      <w:r>
        <w:rPr>
          <w:rFonts w:ascii="Times New Roman" w:hAnsi="Times New Roman" w:cs="Times New Roman"/>
          <w:i/>
          <w:color w:val="000000" w:themeColor="text1"/>
          <w:kern w:val="24"/>
          <w:sz w:val="24"/>
          <w:szCs w:val="24"/>
        </w:rPr>
        <w:t>Chem</w:t>
      </w:r>
      <w:proofErr w:type="gramEnd"/>
      <w:r>
        <w:rPr>
          <w:rFonts w:ascii="Times New Roman" w:hAnsi="Times New Roman" w:cs="Times New Roman"/>
          <w:i/>
          <w:color w:val="000000" w:themeColor="text1"/>
          <w:kern w:val="24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 w:themeColor="text1"/>
          <w:kern w:val="24"/>
          <w:sz w:val="24"/>
          <w:szCs w:val="24"/>
        </w:rPr>
        <w:t>Commun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., </w:t>
      </w:r>
      <w:r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46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, 48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br/>
        <w:t xml:space="preserve">     (2010).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4. J. Y. </w:t>
      </w:r>
      <w:proofErr w:type="spellStart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Eom</w:t>
      </w:r>
      <w:proofErr w:type="spellEnd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, H. S. Kwon, </w:t>
      </w:r>
      <w:r>
        <w:rPr>
          <w:rFonts w:ascii="Times New Roman" w:hAnsi="Times New Roman" w:cs="Times New Roman"/>
          <w:i/>
          <w:color w:val="000000" w:themeColor="text1"/>
          <w:kern w:val="24"/>
          <w:sz w:val="24"/>
          <w:szCs w:val="24"/>
        </w:rPr>
        <w:t>ACS Appl Mater Interfaces.,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 4 (2011).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D11160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5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W.Rehman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, H. Huang , M. Zain Yousaf , </w:t>
      </w:r>
      <w:r>
        <w:rPr>
          <w:rFonts w:ascii="Times New Roman" w:hAnsi="Times New Roman" w:cs="Times New Roman"/>
          <w:i/>
          <w:color w:val="000000" w:themeColor="text1"/>
          <w:kern w:val="24"/>
          <w:sz w:val="24"/>
          <w:szCs w:val="24"/>
        </w:rPr>
        <w:t>Molecules,</w:t>
      </w:r>
      <w:r>
        <w:rPr>
          <w:rFonts w:ascii="Times New Roman" w:hAnsi="Times New Roman" w:cs="Times New Roman"/>
          <w:b/>
          <w:color w:val="000000" w:themeColor="text1"/>
          <w:kern w:val="24"/>
          <w:sz w:val="24"/>
          <w:szCs w:val="24"/>
        </w:rPr>
        <w:t>28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, 2792 (2023).</w:t>
      </w: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:rsidR="004362EF" w:rsidRDefault="004362EF">
      <w:pPr>
        <w:rPr>
          <w:rFonts w:ascii="Times New Roman" w:hAnsi="Times New Roman" w:cs="Times New Roman"/>
          <w:sz w:val="24"/>
          <w:szCs w:val="24"/>
        </w:rPr>
      </w:pPr>
    </w:p>
    <w:sectPr w:rsidR="004362EF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160" w:rsidRDefault="00D11160">
      <w:pPr>
        <w:spacing w:line="240" w:lineRule="auto"/>
      </w:pPr>
      <w:r>
        <w:separator/>
      </w:r>
    </w:p>
  </w:endnote>
  <w:endnote w:type="continuationSeparator" w:id="0">
    <w:p w:rsidR="00D11160" w:rsidRDefault="00D111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n-cs">
    <w:charset w:val="00"/>
    <w:family w:val="roman"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1160" w:rsidRDefault="00D11160">
      <w:pPr>
        <w:spacing w:after="0"/>
      </w:pPr>
      <w:r>
        <w:separator/>
      </w:r>
    </w:p>
  </w:footnote>
  <w:footnote w:type="continuationSeparator" w:id="0">
    <w:p w:rsidR="00D11160" w:rsidRDefault="00D1116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D11C76"/>
    <w:multiLevelType w:val="multilevel"/>
    <w:tmpl w:val="5FD11C7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left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left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90C"/>
    <w:rsid w:val="00011829"/>
    <w:rsid w:val="00017086"/>
    <w:rsid w:val="000339A3"/>
    <w:rsid w:val="00053666"/>
    <w:rsid w:val="000E5AFE"/>
    <w:rsid w:val="00111FF1"/>
    <w:rsid w:val="00116093"/>
    <w:rsid w:val="00191F97"/>
    <w:rsid w:val="001C205C"/>
    <w:rsid w:val="0020092A"/>
    <w:rsid w:val="0020115B"/>
    <w:rsid w:val="00244EB4"/>
    <w:rsid w:val="00281D26"/>
    <w:rsid w:val="002C1891"/>
    <w:rsid w:val="00327F32"/>
    <w:rsid w:val="003518C6"/>
    <w:rsid w:val="00360E0B"/>
    <w:rsid w:val="003B7E89"/>
    <w:rsid w:val="0042407A"/>
    <w:rsid w:val="004362EF"/>
    <w:rsid w:val="00444E7B"/>
    <w:rsid w:val="004B7E37"/>
    <w:rsid w:val="004C25B6"/>
    <w:rsid w:val="004F32F5"/>
    <w:rsid w:val="00555507"/>
    <w:rsid w:val="005B76C9"/>
    <w:rsid w:val="00671EC1"/>
    <w:rsid w:val="00682DD4"/>
    <w:rsid w:val="00693F34"/>
    <w:rsid w:val="006E1D9F"/>
    <w:rsid w:val="007026A7"/>
    <w:rsid w:val="007226C4"/>
    <w:rsid w:val="007A5B1B"/>
    <w:rsid w:val="007B4411"/>
    <w:rsid w:val="007D2A1A"/>
    <w:rsid w:val="00814733"/>
    <w:rsid w:val="00830A5D"/>
    <w:rsid w:val="00837CF0"/>
    <w:rsid w:val="00866E36"/>
    <w:rsid w:val="008B1EB1"/>
    <w:rsid w:val="008D0059"/>
    <w:rsid w:val="008D05E8"/>
    <w:rsid w:val="00924325"/>
    <w:rsid w:val="0093520B"/>
    <w:rsid w:val="00944338"/>
    <w:rsid w:val="009A25AB"/>
    <w:rsid w:val="009A56A1"/>
    <w:rsid w:val="009B32B1"/>
    <w:rsid w:val="009E190C"/>
    <w:rsid w:val="009E5149"/>
    <w:rsid w:val="009F080D"/>
    <w:rsid w:val="00A71B89"/>
    <w:rsid w:val="00A84DA8"/>
    <w:rsid w:val="00A85668"/>
    <w:rsid w:val="00AE159D"/>
    <w:rsid w:val="00AF4F0A"/>
    <w:rsid w:val="00B26E6B"/>
    <w:rsid w:val="00B272D4"/>
    <w:rsid w:val="00BA298B"/>
    <w:rsid w:val="00BB0F97"/>
    <w:rsid w:val="00C00A2F"/>
    <w:rsid w:val="00C41CE8"/>
    <w:rsid w:val="00C975A4"/>
    <w:rsid w:val="00CA301A"/>
    <w:rsid w:val="00CF2ACE"/>
    <w:rsid w:val="00D11160"/>
    <w:rsid w:val="00D206F5"/>
    <w:rsid w:val="00D461AD"/>
    <w:rsid w:val="00D64C99"/>
    <w:rsid w:val="00D961C7"/>
    <w:rsid w:val="00DA218B"/>
    <w:rsid w:val="00DA40C5"/>
    <w:rsid w:val="00DB33F0"/>
    <w:rsid w:val="00DE3E9C"/>
    <w:rsid w:val="00EF4754"/>
    <w:rsid w:val="00F65437"/>
    <w:rsid w:val="00F87108"/>
    <w:rsid w:val="00FB73E1"/>
    <w:rsid w:val="00FE5210"/>
    <w:rsid w:val="00FF0CDF"/>
    <w:rsid w:val="206A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6319333-8AAF-4362-8EBC-068E90CF5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qFormat/>
    <w:pPr>
      <w:jc w:val="both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00A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A2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00A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0A2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ohn@inje.ac.k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331</Words>
  <Characters>1909</Characters>
  <Application>Microsoft Office Word</Application>
  <DocSecurity>0</DocSecurity>
  <Lines>212</Lines>
  <Paragraphs>63</Paragraphs>
  <ScaleCrop>false</ScaleCrop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2024-11-07T11:33:00Z</dcterms:created>
  <dcterms:modified xsi:type="dcterms:W3CDTF">2025-03-28T06:06:00Z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a43601f58b12b25e881ac5fde7b1b07281612ef47c56fedba5508defafece496</vt:lpwstr>
  </property>
  <property fmtid="{D5CDD505-2E9C-101B-9397-08002B2CF9AE}" pid="3" name="KSOProductBuildVer">
    <vt:lpwstr>1033-12.2.0.18911</vt:lpwstr>
  </property>
  <property fmtid="{D5CDD505-2E9C-101B-9397-08002B2CF9AE}" pid="4" name="ICV">
    <vt:lpwstr>FA1FD9E967DF40AEA8F2607C45BC6347_12</vt:lpwstr>
  </property>
</Properties>
</file>