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079373" w14:textId="77777777" w:rsidR="00537259" w:rsidRDefault="00847863">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after="120" w:line="480" w:lineRule="auto"/>
        <w:rPr>
          <w:b/>
          <w:sz w:val="26"/>
          <w:szCs w:val="26"/>
        </w:rPr>
      </w:pPr>
      <w:r>
        <w:rPr>
          <w:rFonts w:ascii="Roboto" w:eastAsia="Roboto" w:hAnsi="Roboto" w:cs="Roboto"/>
          <w:b/>
          <w:color w:val="0D0D0D"/>
          <w:sz w:val="24"/>
          <w:szCs w:val="24"/>
        </w:rPr>
        <w:t>Short-Chain Polyphosphates Induce Tau Fibrillation and Neurotoxicity in Human iPSC-Derived Retinal Neurons</w:t>
      </w:r>
    </w:p>
    <w:p w14:paraId="76B06CBB" w14:textId="77777777" w:rsidR="00537259" w:rsidRPr="00D55337" w:rsidRDefault="00847863">
      <w:pPr>
        <w:spacing w:line="480" w:lineRule="auto"/>
        <w:rPr>
          <w:i/>
          <w:lang w:val="it-IT"/>
        </w:rPr>
      </w:pPr>
      <w:r w:rsidRPr="00D55337">
        <w:rPr>
          <w:i/>
          <w:lang w:val="it-IT"/>
        </w:rPr>
        <w:t>Lorenzo Barolo</w:t>
      </w:r>
      <w:r w:rsidRPr="00D55337">
        <w:rPr>
          <w:i/>
          <w:vertAlign w:val="superscript"/>
          <w:lang w:val="it-IT"/>
        </w:rPr>
        <w:t>1,2</w:t>
      </w:r>
      <w:r w:rsidRPr="00D55337">
        <w:rPr>
          <w:i/>
          <w:lang w:val="it-IT"/>
        </w:rPr>
        <w:t>*, Lorenza Mautone</w:t>
      </w:r>
      <w:r w:rsidRPr="00D55337">
        <w:rPr>
          <w:i/>
          <w:vertAlign w:val="superscript"/>
          <w:lang w:val="it-IT"/>
        </w:rPr>
        <w:t>3,4</w:t>
      </w:r>
      <w:r w:rsidRPr="00D55337">
        <w:rPr>
          <w:i/>
          <w:lang w:val="it-IT"/>
        </w:rPr>
        <w:t>*, Ylenia Gigante</w:t>
      </w:r>
      <w:r w:rsidRPr="00D55337">
        <w:rPr>
          <w:i/>
          <w:vertAlign w:val="superscript"/>
          <w:lang w:val="it-IT"/>
        </w:rPr>
        <w:t>2,3</w:t>
      </w:r>
      <w:r w:rsidRPr="00D55337">
        <w:rPr>
          <w:i/>
          <w:lang w:val="it-IT"/>
        </w:rPr>
        <w:t>*, Silvia Ghirga</w:t>
      </w:r>
      <w:r w:rsidRPr="00D55337">
        <w:rPr>
          <w:i/>
          <w:vertAlign w:val="superscript"/>
          <w:lang w:val="it-IT"/>
        </w:rPr>
        <w:t>2,3</w:t>
      </w:r>
      <w:r w:rsidRPr="00D55337">
        <w:rPr>
          <w:i/>
          <w:lang w:val="it-IT"/>
        </w:rPr>
        <w:t>, Francesco Mura</w:t>
      </w:r>
      <w:r w:rsidRPr="00D55337">
        <w:rPr>
          <w:i/>
          <w:vertAlign w:val="superscript"/>
          <w:lang w:val="it-IT"/>
        </w:rPr>
        <w:t>5</w:t>
      </w:r>
      <w:r w:rsidRPr="00D55337">
        <w:rPr>
          <w:i/>
          <w:lang w:val="it-IT"/>
        </w:rPr>
        <w:t>, Maria Vittoria Farina</w:t>
      </w:r>
      <w:r w:rsidRPr="00D55337">
        <w:rPr>
          <w:i/>
          <w:vertAlign w:val="superscript"/>
          <w:lang w:val="it-IT"/>
        </w:rPr>
        <w:t>1</w:t>
      </w:r>
      <w:r w:rsidRPr="00D55337">
        <w:rPr>
          <w:i/>
          <w:lang w:val="it-IT"/>
        </w:rPr>
        <w:t>, Stefano Tacconi</w:t>
      </w:r>
      <w:r w:rsidRPr="00D55337">
        <w:rPr>
          <w:i/>
          <w:vertAlign w:val="superscript"/>
          <w:lang w:val="it-IT"/>
        </w:rPr>
        <w:t>6</w:t>
      </w:r>
      <w:r w:rsidRPr="00D55337">
        <w:rPr>
          <w:i/>
          <w:lang w:val="it-IT"/>
        </w:rPr>
        <w:t xml:space="preserve">, </w:t>
      </w:r>
      <w:r w:rsidRPr="00D55337">
        <w:rPr>
          <w:i/>
          <w:lang w:val="it-IT"/>
        </w:rPr>
        <w:t>Luciana Dini</w:t>
      </w:r>
      <w:r w:rsidRPr="00D55337">
        <w:rPr>
          <w:i/>
          <w:vertAlign w:val="superscript"/>
          <w:lang w:val="it-IT"/>
        </w:rPr>
        <w:t>6</w:t>
      </w:r>
      <w:r w:rsidRPr="00D55337">
        <w:rPr>
          <w:i/>
          <w:lang w:val="it-IT"/>
        </w:rPr>
        <w:t>, Giancarlo Ruocco</w:t>
      </w:r>
      <w:r w:rsidRPr="00D55337">
        <w:rPr>
          <w:i/>
          <w:vertAlign w:val="superscript"/>
          <w:lang w:val="it-IT"/>
        </w:rPr>
        <w:t>3,7</w:t>
      </w:r>
      <w:r w:rsidRPr="00D55337">
        <w:rPr>
          <w:i/>
          <w:lang w:val="it-IT"/>
        </w:rPr>
        <w:t>, Alberto Boffi</w:t>
      </w:r>
      <w:r w:rsidRPr="00D55337">
        <w:rPr>
          <w:i/>
          <w:vertAlign w:val="superscript"/>
          <w:lang w:val="it-IT"/>
        </w:rPr>
        <w:t>1,2,3</w:t>
      </w:r>
      <w:r w:rsidRPr="00D55337">
        <w:rPr>
          <w:i/>
          <w:lang w:val="it-IT"/>
        </w:rPr>
        <w:t>, Edoardo Milanetti</w:t>
      </w:r>
      <w:r w:rsidRPr="00D55337">
        <w:rPr>
          <w:i/>
          <w:vertAlign w:val="superscript"/>
          <w:lang w:val="it-IT"/>
        </w:rPr>
        <w:t>3,7</w:t>
      </w:r>
      <w:r w:rsidRPr="00D55337">
        <w:rPr>
          <w:i/>
          <w:lang w:val="it-IT"/>
        </w:rPr>
        <w:t>#, Silvia Di Angelantonio</w:t>
      </w:r>
      <w:r w:rsidRPr="00D55337">
        <w:rPr>
          <w:i/>
          <w:vertAlign w:val="superscript"/>
          <w:lang w:val="it-IT"/>
        </w:rPr>
        <w:t>2,3,4</w:t>
      </w:r>
      <w:r w:rsidRPr="00D55337">
        <w:rPr>
          <w:i/>
          <w:lang w:val="it-IT"/>
        </w:rPr>
        <w:t>#, and Paola Baiocco</w:t>
      </w:r>
      <w:r w:rsidRPr="00D55337">
        <w:rPr>
          <w:i/>
          <w:vertAlign w:val="superscript"/>
          <w:lang w:val="it-IT"/>
        </w:rPr>
        <w:t>1,3</w:t>
      </w:r>
      <w:r w:rsidRPr="00D55337">
        <w:rPr>
          <w:i/>
          <w:lang w:val="it-IT"/>
        </w:rPr>
        <w:t>#</w:t>
      </w:r>
    </w:p>
    <w:p w14:paraId="6948267C" w14:textId="77777777" w:rsidR="00537259" w:rsidRPr="00D55337" w:rsidRDefault="00847863">
      <w:pPr>
        <w:spacing w:line="240" w:lineRule="auto"/>
        <w:rPr>
          <w:lang w:val="it-IT"/>
        </w:rPr>
      </w:pPr>
      <w:r w:rsidRPr="00D55337">
        <w:rPr>
          <w:vertAlign w:val="superscript"/>
          <w:lang w:val="it-IT"/>
        </w:rPr>
        <w:t>1</w:t>
      </w:r>
      <w:r w:rsidRPr="00D55337">
        <w:rPr>
          <w:lang w:val="it-IT"/>
        </w:rPr>
        <w:t xml:space="preserve"> Department of </w:t>
      </w:r>
      <w:proofErr w:type="spellStart"/>
      <w:r w:rsidRPr="00D55337">
        <w:rPr>
          <w:lang w:val="it-IT"/>
        </w:rPr>
        <w:t>Biochemical</w:t>
      </w:r>
      <w:proofErr w:type="spellEnd"/>
      <w:r w:rsidRPr="00D55337">
        <w:rPr>
          <w:lang w:val="it-IT"/>
        </w:rPr>
        <w:t xml:space="preserve"> Sciences “Alessandro Rossi Fanelli”, Sapienza University of Rome, </w:t>
      </w:r>
      <w:proofErr w:type="gramStart"/>
      <w:r w:rsidRPr="00D55337">
        <w:rPr>
          <w:lang w:val="it-IT"/>
        </w:rPr>
        <w:t>P.le</w:t>
      </w:r>
      <w:proofErr w:type="gramEnd"/>
      <w:r w:rsidRPr="00D55337">
        <w:rPr>
          <w:lang w:val="it-IT"/>
        </w:rPr>
        <w:t xml:space="preserve"> A. Moro 5, 00185 Rome, </w:t>
      </w:r>
      <w:proofErr w:type="spellStart"/>
      <w:r w:rsidRPr="00D55337">
        <w:rPr>
          <w:lang w:val="it-IT"/>
        </w:rPr>
        <w:t>Italy</w:t>
      </w:r>
      <w:proofErr w:type="spellEnd"/>
      <w:r w:rsidRPr="00D55337">
        <w:rPr>
          <w:lang w:val="it-IT"/>
        </w:rPr>
        <w:t xml:space="preserve">; </w:t>
      </w:r>
    </w:p>
    <w:p w14:paraId="0FF95A43" w14:textId="77777777" w:rsidR="00537259" w:rsidRPr="00D55337" w:rsidRDefault="00847863">
      <w:pPr>
        <w:spacing w:line="240" w:lineRule="auto"/>
        <w:rPr>
          <w:lang w:val="it-IT"/>
        </w:rPr>
      </w:pPr>
      <w:r w:rsidRPr="00D55337">
        <w:rPr>
          <w:vertAlign w:val="superscript"/>
          <w:lang w:val="it-IT"/>
        </w:rPr>
        <w:t>2</w:t>
      </w:r>
      <w:r w:rsidRPr="00D55337">
        <w:rPr>
          <w:lang w:val="it-IT"/>
        </w:rPr>
        <w:t xml:space="preserve"> D-Tails </w:t>
      </w:r>
      <w:proofErr w:type="spellStart"/>
      <w:r w:rsidRPr="00D55337">
        <w:rPr>
          <w:lang w:val="it-IT"/>
        </w:rPr>
        <w:t>srl</w:t>
      </w:r>
      <w:proofErr w:type="spellEnd"/>
      <w:r w:rsidRPr="00D55337">
        <w:rPr>
          <w:lang w:val="it-IT"/>
        </w:rPr>
        <w:t xml:space="preserve"> BC, 00165 Rome, </w:t>
      </w:r>
      <w:proofErr w:type="spellStart"/>
      <w:r w:rsidRPr="00D55337">
        <w:rPr>
          <w:lang w:val="it-IT"/>
        </w:rPr>
        <w:t>Italy</w:t>
      </w:r>
      <w:proofErr w:type="spellEnd"/>
      <w:r w:rsidRPr="00D55337">
        <w:rPr>
          <w:lang w:val="it-IT"/>
        </w:rPr>
        <w:t>.</w:t>
      </w:r>
    </w:p>
    <w:p w14:paraId="6C086F70" w14:textId="77777777" w:rsidR="00537259" w:rsidRPr="00D55337" w:rsidRDefault="00847863">
      <w:pPr>
        <w:spacing w:line="240" w:lineRule="auto"/>
        <w:rPr>
          <w:lang w:val="it-IT"/>
        </w:rPr>
      </w:pPr>
      <w:r w:rsidRPr="00D55337">
        <w:rPr>
          <w:vertAlign w:val="superscript"/>
          <w:lang w:val="it-IT"/>
        </w:rPr>
        <w:t>3</w:t>
      </w:r>
      <w:r w:rsidRPr="00D55337">
        <w:rPr>
          <w:lang w:val="it-IT"/>
        </w:rPr>
        <w:t xml:space="preserve"> Center for Life Nano- &amp; </w:t>
      </w:r>
      <w:proofErr w:type="spellStart"/>
      <w:r w:rsidRPr="00D55337">
        <w:rPr>
          <w:lang w:val="it-IT"/>
        </w:rPr>
        <w:t>Neuro-Science@Sapienza</w:t>
      </w:r>
      <w:proofErr w:type="spellEnd"/>
      <w:r w:rsidRPr="00D55337">
        <w:rPr>
          <w:lang w:val="it-IT"/>
        </w:rPr>
        <w:t>, Istituto Italiano di Tecnologia, V.le Regina Elena 291,</w:t>
      </w:r>
    </w:p>
    <w:p w14:paraId="1AA8173F" w14:textId="77777777" w:rsidR="00537259" w:rsidRDefault="00847863">
      <w:pPr>
        <w:spacing w:line="240" w:lineRule="auto"/>
      </w:pPr>
      <w:r>
        <w:t xml:space="preserve">00161 Rome, </w:t>
      </w:r>
      <w:proofErr w:type="gramStart"/>
      <w:r>
        <w:t>Italy;</w:t>
      </w:r>
      <w:proofErr w:type="gramEnd"/>
    </w:p>
    <w:p w14:paraId="3D909398" w14:textId="77777777" w:rsidR="00537259" w:rsidRDefault="00847863">
      <w:pPr>
        <w:spacing w:line="240" w:lineRule="auto"/>
      </w:pPr>
      <w:r>
        <w:rPr>
          <w:vertAlign w:val="superscript"/>
        </w:rPr>
        <w:t>4</w:t>
      </w:r>
      <w:r>
        <w:t xml:space="preserve"> Department of Physiology and Pharmacology, Sapienza University of Rome, 00185 Rome, Italy</w:t>
      </w:r>
    </w:p>
    <w:p w14:paraId="6E7B0189" w14:textId="77777777" w:rsidR="00537259" w:rsidRDefault="00847863">
      <w:pPr>
        <w:spacing w:line="240" w:lineRule="auto"/>
      </w:pPr>
      <w:r>
        <w:rPr>
          <w:vertAlign w:val="superscript"/>
        </w:rPr>
        <w:t>5</w:t>
      </w:r>
      <w:r>
        <w:t xml:space="preserve"> Research Center on Nanotechnologies Applied to Engineering of Sapienza (CNIS), Sapienza University of Rome, 00185, Rome, Italy.</w:t>
      </w:r>
    </w:p>
    <w:p w14:paraId="7FF6E45E" w14:textId="77777777" w:rsidR="00537259" w:rsidRDefault="00847863">
      <w:pPr>
        <w:spacing w:line="240" w:lineRule="auto"/>
      </w:pPr>
      <w:r>
        <w:rPr>
          <w:vertAlign w:val="superscript"/>
        </w:rPr>
        <w:t>6</w:t>
      </w:r>
      <w:r>
        <w:t xml:space="preserve"> Department of Biology and Biotechnologies, Sapienza University of Rome, 00185 Rome, Italy</w:t>
      </w:r>
    </w:p>
    <w:p w14:paraId="3DA3F73D" w14:textId="77777777" w:rsidR="00537259" w:rsidRDefault="00847863">
      <w:pPr>
        <w:spacing w:line="240" w:lineRule="auto"/>
      </w:pPr>
      <w:r>
        <w:rPr>
          <w:vertAlign w:val="superscript"/>
        </w:rPr>
        <w:t xml:space="preserve">7 </w:t>
      </w:r>
      <w:r>
        <w:t>Department of Physics, Sapienza University of Rome, 00185 Rome, Italy</w:t>
      </w:r>
    </w:p>
    <w:p w14:paraId="5650BA32" w14:textId="77777777" w:rsidR="00537259" w:rsidRDefault="00847863">
      <w:pPr>
        <w:spacing w:line="240" w:lineRule="auto"/>
      </w:pPr>
      <w:r>
        <w:t>* L.B., L.M. and Y.G. These authors contributed equally to this work</w:t>
      </w:r>
    </w:p>
    <w:p w14:paraId="7204049A" w14:textId="77777777" w:rsidR="00537259" w:rsidRDefault="00847863">
      <w:pPr>
        <w:spacing w:line="240" w:lineRule="auto"/>
      </w:pPr>
      <w:r>
        <w:t xml:space="preserve"># E.M., S.D.A. and </w:t>
      </w:r>
      <w:proofErr w:type="gramStart"/>
      <w:r>
        <w:t>P.B  These</w:t>
      </w:r>
      <w:proofErr w:type="gramEnd"/>
      <w:r>
        <w:t xml:space="preserve"> authors contributed equally to this work</w:t>
      </w:r>
    </w:p>
    <w:p w14:paraId="1F316C20" w14:textId="77777777" w:rsidR="00537259" w:rsidRDefault="00847863">
      <w:pPr>
        <w:spacing w:line="480" w:lineRule="auto"/>
      </w:pPr>
      <w:r>
        <w:t xml:space="preserve">Correspondence to: </w:t>
      </w:r>
      <w:hyperlink r:id="rId7">
        <w:r w:rsidR="00537259">
          <w:rPr>
            <w:color w:val="1155CC"/>
            <w:u w:val="single"/>
          </w:rPr>
          <w:t>silvia.diangelantonio@uniroma1.it</w:t>
        </w:r>
      </w:hyperlink>
      <w:r>
        <w:t>, paola.baiocco@uniroma1.it</w:t>
      </w:r>
    </w:p>
    <w:p w14:paraId="460DDBEB" w14:textId="77777777" w:rsidR="00537259" w:rsidRDefault="00537259">
      <w:pPr>
        <w:spacing w:line="240" w:lineRule="auto"/>
      </w:pPr>
    </w:p>
    <w:p w14:paraId="1CBAAD7A" w14:textId="77777777" w:rsidR="00537259" w:rsidRDefault="00847863">
      <w:pPr>
        <w:spacing w:line="480" w:lineRule="auto"/>
        <w:rPr>
          <w:b/>
        </w:rPr>
      </w:pPr>
      <w:r>
        <w:rPr>
          <w:b/>
        </w:rPr>
        <w:t>Running title: Polyphosphates induce neurotoxic tau fibrils</w:t>
      </w:r>
    </w:p>
    <w:p w14:paraId="409DD266" w14:textId="77777777" w:rsidR="00537259" w:rsidRDefault="00537259">
      <w:pPr>
        <w:spacing w:line="480" w:lineRule="auto"/>
        <w:rPr>
          <w:highlight w:val="yellow"/>
        </w:rPr>
      </w:pPr>
    </w:p>
    <w:p w14:paraId="019D6BEC" w14:textId="77777777" w:rsidR="00537259" w:rsidRDefault="00537259">
      <w:pPr>
        <w:spacing w:line="240" w:lineRule="auto"/>
      </w:pPr>
    </w:p>
    <w:p w14:paraId="0F42008C" w14:textId="77777777" w:rsidR="00537259" w:rsidRDefault="00537259">
      <w:pPr>
        <w:spacing w:line="480" w:lineRule="auto"/>
        <w:jc w:val="both"/>
        <w:rPr>
          <w:rFonts w:ascii="Roboto" w:eastAsia="Roboto" w:hAnsi="Roboto" w:cs="Roboto"/>
          <w:color w:val="222222"/>
          <w:sz w:val="24"/>
          <w:szCs w:val="24"/>
          <w:u w:val="single"/>
        </w:rPr>
      </w:pPr>
    </w:p>
    <w:p w14:paraId="721BBD18" w14:textId="77777777" w:rsidR="00537259" w:rsidRDefault="00537259">
      <w:pPr>
        <w:spacing w:line="480" w:lineRule="auto"/>
        <w:jc w:val="both"/>
        <w:rPr>
          <w:rFonts w:ascii="Roboto" w:eastAsia="Roboto" w:hAnsi="Roboto" w:cs="Roboto"/>
          <w:color w:val="222222"/>
          <w:sz w:val="24"/>
          <w:szCs w:val="24"/>
          <w:u w:val="single"/>
        </w:rPr>
      </w:pPr>
    </w:p>
    <w:p w14:paraId="2D323CF1" w14:textId="77777777" w:rsidR="00537259" w:rsidRDefault="00537259">
      <w:pPr>
        <w:spacing w:line="480" w:lineRule="auto"/>
        <w:jc w:val="both"/>
        <w:rPr>
          <w:rFonts w:ascii="Roboto" w:eastAsia="Roboto" w:hAnsi="Roboto" w:cs="Roboto"/>
          <w:color w:val="222222"/>
          <w:sz w:val="24"/>
          <w:szCs w:val="24"/>
          <w:u w:val="single"/>
        </w:rPr>
      </w:pPr>
    </w:p>
    <w:p w14:paraId="7B58A51E" w14:textId="77777777" w:rsidR="00537259" w:rsidRDefault="00847863">
      <w:pPr>
        <w:jc w:val="center"/>
        <w:rPr>
          <w:b/>
          <w:sz w:val="36"/>
          <w:szCs w:val="36"/>
        </w:rPr>
      </w:pPr>
      <w:r>
        <w:rPr>
          <w:b/>
          <w:sz w:val="36"/>
          <w:szCs w:val="36"/>
        </w:rPr>
        <w:t>SUPPLEMENTARY FIGURES</w:t>
      </w:r>
    </w:p>
    <w:p w14:paraId="12C35940" w14:textId="77777777" w:rsidR="00537259" w:rsidRDefault="00847863">
      <w:pPr>
        <w:jc w:val="both"/>
        <w:rPr>
          <w:sz w:val="26"/>
          <w:szCs w:val="26"/>
        </w:rPr>
      </w:pPr>
      <w:r>
        <w:rPr>
          <w:b/>
          <w:sz w:val="26"/>
          <w:szCs w:val="26"/>
        </w:rPr>
        <w:t>Supplementary Figure S1</w:t>
      </w:r>
    </w:p>
    <w:p w14:paraId="6B43AEB6" w14:textId="77777777" w:rsidR="00537259" w:rsidRDefault="00847863">
      <w:pPr>
        <w:jc w:val="both"/>
      </w:pPr>
      <w:r>
        <w:rPr>
          <w:noProof/>
        </w:rPr>
        <w:drawing>
          <wp:inline distT="114300" distB="114300" distL="114300" distR="114300" wp14:anchorId="65B26450" wp14:editId="07BF4BF3">
            <wp:extent cx="3990440" cy="1554066"/>
            <wp:effectExtent l="0" t="0" r="0" b="0"/>
            <wp:docPr id="206622179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3990440" cy="1554066"/>
                    </a:xfrm>
                    <a:prstGeom prst="rect">
                      <a:avLst/>
                    </a:prstGeom>
                    <a:ln/>
                  </pic:spPr>
                </pic:pic>
              </a:graphicData>
            </a:graphic>
          </wp:inline>
        </w:drawing>
      </w:r>
    </w:p>
    <w:p w14:paraId="1E925A61" w14:textId="77777777" w:rsidR="00537259" w:rsidRDefault="00847863">
      <w:pPr>
        <w:jc w:val="both"/>
      </w:pPr>
      <w:r>
        <w:rPr>
          <w:b/>
        </w:rPr>
        <w:t>Supplementary Figure S1:</w:t>
      </w:r>
      <w:r>
        <w:t xml:space="preserve"> Representative STEM images of K18 in sodium monophosphate (</w:t>
      </w:r>
      <w:proofErr w:type="spellStart"/>
      <w:r>
        <w:t>NaP</w:t>
      </w:r>
      <w:proofErr w:type="spellEnd"/>
      <w:r>
        <w:t>) incubated at 37°C without any aggregation agent. The scale bars are 200 and 100 nm in A and B respectively.</w:t>
      </w:r>
    </w:p>
    <w:p w14:paraId="6FA20231" w14:textId="77777777" w:rsidR="00537259" w:rsidRDefault="00537259">
      <w:pPr>
        <w:jc w:val="both"/>
      </w:pPr>
    </w:p>
    <w:p w14:paraId="353B1287" w14:textId="77777777" w:rsidR="00537259" w:rsidRDefault="00847863">
      <w:pPr>
        <w:jc w:val="both"/>
      </w:pPr>
      <w:r>
        <w:rPr>
          <w:b/>
          <w:sz w:val="26"/>
          <w:szCs w:val="26"/>
        </w:rPr>
        <w:t>Supplementary Figure S2</w:t>
      </w:r>
    </w:p>
    <w:p w14:paraId="3642A148" w14:textId="77777777" w:rsidR="00537259" w:rsidRDefault="00847863">
      <w:pPr>
        <w:jc w:val="both"/>
        <w:rPr>
          <w:b/>
          <w:sz w:val="36"/>
          <w:szCs w:val="36"/>
        </w:rPr>
      </w:pPr>
      <w:r>
        <w:rPr>
          <w:b/>
          <w:noProof/>
          <w:sz w:val="36"/>
          <w:szCs w:val="36"/>
        </w:rPr>
        <w:drawing>
          <wp:inline distT="114300" distB="114300" distL="114300" distR="114300" wp14:anchorId="50D1588E" wp14:editId="0A3F3108">
            <wp:extent cx="3624588" cy="1696492"/>
            <wp:effectExtent l="0" t="0" r="0" b="0"/>
            <wp:docPr id="206622179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3624588" cy="1696492"/>
                    </a:xfrm>
                    <a:prstGeom prst="rect">
                      <a:avLst/>
                    </a:prstGeom>
                    <a:ln/>
                  </pic:spPr>
                </pic:pic>
              </a:graphicData>
            </a:graphic>
          </wp:inline>
        </w:drawing>
      </w:r>
    </w:p>
    <w:p w14:paraId="1F6E3143" w14:textId="00E98BF3" w:rsidR="00537259" w:rsidRDefault="00847863">
      <w:pPr>
        <w:jc w:val="both"/>
      </w:pPr>
      <w:r>
        <w:rPr>
          <w:b/>
        </w:rPr>
        <w:t>Supplementary Figure S2</w:t>
      </w:r>
      <w:r>
        <w:t>: Representative STEM images of rod-K18 A) CTRL and B) fibrillated for 7 days at 37°C. The scale bar is 100 nm.</w:t>
      </w:r>
    </w:p>
    <w:p w14:paraId="1EA2A5E9" w14:textId="77777777" w:rsidR="00782298" w:rsidRDefault="00782298">
      <w:pPr>
        <w:jc w:val="both"/>
        <w:rPr>
          <w:b/>
          <w:sz w:val="26"/>
          <w:szCs w:val="26"/>
        </w:rPr>
      </w:pPr>
    </w:p>
    <w:p w14:paraId="6A30F9F5" w14:textId="0161AA84" w:rsidR="00537259" w:rsidRPr="00782298" w:rsidRDefault="00847863">
      <w:pPr>
        <w:jc w:val="both"/>
        <w:rPr>
          <w:b/>
          <w:sz w:val="26"/>
          <w:szCs w:val="26"/>
        </w:rPr>
      </w:pPr>
      <w:r>
        <w:rPr>
          <w:b/>
          <w:sz w:val="26"/>
          <w:szCs w:val="26"/>
        </w:rPr>
        <w:t>Supplementary Results and Figure S3</w:t>
      </w:r>
    </w:p>
    <w:p w14:paraId="73F21221" w14:textId="77777777" w:rsidR="00537259" w:rsidRDefault="00847863">
      <w:pPr>
        <w:spacing w:line="276" w:lineRule="auto"/>
        <w:jc w:val="both"/>
        <w:rPr>
          <w:b/>
          <w:sz w:val="24"/>
          <w:szCs w:val="24"/>
        </w:rPr>
      </w:pPr>
      <w:proofErr w:type="spellStart"/>
      <w:r>
        <w:rPr>
          <w:b/>
          <w:sz w:val="24"/>
          <w:szCs w:val="24"/>
        </w:rPr>
        <w:t>NaTPP</w:t>
      </w:r>
      <w:proofErr w:type="spellEnd"/>
      <w:r>
        <w:rPr>
          <w:b/>
          <w:sz w:val="24"/>
          <w:szCs w:val="24"/>
        </w:rPr>
        <w:t>-Induced K18 Fibrils Internalization and Cytotoxic Effects in Human iPSC-Derived Retinal Neurons</w:t>
      </w:r>
    </w:p>
    <w:p w14:paraId="28AE6BEF" w14:textId="09384193" w:rsidR="00537259" w:rsidRDefault="00847863">
      <w:pPr>
        <w:jc w:val="both"/>
      </w:pPr>
      <w:r>
        <w:t xml:space="preserve">To visualize the cellular uptake of K18 fibrils, we conjugated tetramethyl-rhodamine to K18 following typical </w:t>
      </w:r>
      <w:proofErr w:type="spellStart"/>
      <w:r>
        <w:t>fibrillogenesis</w:t>
      </w:r>
      <w:proofErr w:type="spellEnd"/>
      <w:r>
        <w:t xml:space="preserve"> with heparin and </w:t>
      </w:r>
      <w:proofErr w:type="spellStart"/>
      <w:r>
        <w:t>NaTPP</w:t>
      </w:r>
      <w:proofErr w:type="spellEnd"/>
      <w:r>
        <w:t xml:space="preserve">, as described in the method section resulting in a 65 ± 5% of rhodamine labeling per protein concentration. The rhodamine-labeled K18 fibrils formation was </w:t>
      </w:r>
      <w:r>
        <w:lastRenderedPageBreak/>
        <w:t xml:space="preserve">assessed by the acquisition of STEM images (Supplementary Fig. S2). Afterward, DIV 30 human iPSC-derived retinal neurons were incubated with 5 µM of different preparation of rhodamine-labeled K18 fibrils for 1 hour </w:t>
      </w:r>
      <w:r w:rsidR="00D55337" w:rsidRPr="00D55337">
        <w:fldChar w:fldCharType="begin"/>
      </w:r>
      <w:r w:rsidR="00D55337" w:rsidRPr="00D55337">
        <w:instrText xml:space="preserve"> ADDIN ZOTERO_ITEM CSL_CITATION {"citationID":"JORJgRA3","properties":{"formattedCitation":"(1)","plainCitation":"(1)","noteIndex":0},"citationItems":[{"id":53,"uris":["http://zotero.org/users/local/gclwJsKs/items/5PLX5H6E"],"itemData":{"id":53,"type":"article-journal","abstract":"Abstract\n            \n              Tau is a microtubule‐associated protein exerting several physiological functions in neurons. In Alzheimer's disease (AD) misfolded tau accumulates intraneuronally and leads to axonal degeneration. However, tau has also been found in the extracellular medium. Recent studies indicated that extracellular tau uploaded from neurons causes synaptic dysfunction and contributes to tau pathology propagation. Here we report novel evidence that extracellular tau oligomers are abundantly and rapidly accumulated in astrocytes where they disrupt intracellular Ca\n              2+\n              signaling and Ca\n              2+\n              ‐dependent release of gliotransmitters, especially ATP. Consequently, synaptic vesicle release, the expression of pre‐ and postsynaptic proteins, and mEPSC frequency and amplitude were reduced in neighboring neurons. Notably, we found that tau uploading from astrocytes required the amyloid precursor protein, APP. Collectively, our findings suggests that astrocytes play a critical role in the synaptotoxic effects of tau via reduced gliotransmitter availability, and that astrocytes are major determinants of tau pathology in AD.","container-title":"Glia","DOI":"10.1002/glia.23163","ISSN":"0894-1491, 1098-1136","issue":"8","journalAbbreviation":"Glia","language":"en","license":"http://onlinelibrary.wiley.com/termsAndConditions#vor","page":"1302-1316","source":"DOI.org (Crossref)","title":"Reduced gliotransmitter release from astrocytes mediates tau‐induced synaptic dysfunction in cultured hippocampal neurons","volume":"65","author":[{"family":"Piacentini","given":"Roberto"},{"family":"Li Puma","given":"Domenica Donatella"},{"family":"Mainardi","given":"Marco"},{"family":"Lazzarino","given":"Giacomo"},{"family":"Tavazzi","given":"Barbara"},{"family":"Arancio","given":"Ottavio"},{"family":"Grassi","given":"Claudio"}],"issued":{"date-parts":[["2017",8]]}}}],"schema":"https://github.com/citation-style-language/schema/raw/master/csl-citation.json"} </w:instrText>
      </w:r>
      <w:r w:rsidR="00D55337" w:rsidRPr="00D55337">
        <w:fldChar w:fldCharType="separate"/>
      </w:r>
      <w:r w:rsidR="00D55337" w:rsidRPr="00D55337">
        <w:t>(1)</w:t>
      </w:r>
      <w:r w:rsidR="00D55337" w:rsidRPr="00D55337">
        <w:fldChar w:fldCharType="end"/>
      </w:r>
      <w:r w:rsidRPr="00D55337">
        <w:t xml:space="preserve"> and 24 hours </w:t>
      </w:r>
      <w:r w:rsidR="00D55337" w:rsidRPr="00D55337">
        <w:fldChar w:fldCharType="begin"/>
      </w:r>
      <w:r w:rsidR="00D55337" w:rsidRPr="00D55337">
        <w:instrText xml:space="preserve"> ADDIN ZOTERO_ITEM CSL_CITATION {"citationID":"hvG2EG06","properties":{"formattedCitation":"(2)","plainCitation":"(2)","noteIndex":0},"citationItems":[{"id":56,"uris":["http://zotero.org/users/local/gclwJsKs/items/YDPM27EC"],"itemData":{"id":56,"type":"article-journal","abstract":"Neuronal inclusions of hyperphosphorylated and aggregated tau protein are a pathological hallmark of several neurodegenerative tauopathies, including Alzheimer's disease (AD). The hypothesis of tau transmission in AD has emerged from histopathological studies of the spatial and temporal progression of tau pathology in postmortem patient brains. Increasing evidence in cellular and animal models supports the phenomenon of intercellular spreading of tau. However, the molecular and cellular mechanisms of pathogenic tau transmission remain unknown. The studies described herein investigate tau pathology propagation using human neurons derived from induced pluripotent stem cells. Neurons were seeded with full-length human tau monomers and oligomers and chronic effects on neuronal viability and function were examined over time. Tau oligomer-treated neurons exhibited an increase in aggregated and phosphorylated pathological tau. These effects were associated with neurite retraction, loss of synapses, aberrant calcium homeostasis, and imbalanced neurotransmitter release. In contrast, tau monomer treatment did not produce any measureable changes. This work supports the hypothesis that tau oligomers are toxic species that can drive the spread of tau pathology and neurodegeneration.\n            \n              SIGNIFICANCE STATEMENT\n              Several independent studies have implicated tau protein as central to Alzheimer's disease progression and cell-to-cell pathology propagation. In this study, we investigated the ability of different tau species to propagate pathology in human neurons derived from induced pluripotent stem cells, which to date has not been shown. We demonstrated that tau oligomers, but not monomers, induce accumulation of pathological, hyperphosphorylated tau. This effect was accompanied with neurite degeneration, loss of synapses, aberrant calcium homeostasis, imbalanced neurotransmitter release, and ultimately with neuronal death. This study bridges various tau pathological phenotypes into a single and relevant induced pluripotent stem cell neuronal model of human disease that can be applied to the discovery of the mechanisms of tau-induced neurodegeneration.","container-title":"The Journal of Neuroscience","DOI":"10.1523/JNEUROSCI.1523-15.2015","ISSN":"0270-6474, 1529-2401","issue":"42","journalAbbreviation":"J. Neurosci.","language":"en","license":"https://creativecommons.org/licenses/by-nc-sa/4.0/","page":"14234-14250","source":"DOI.org (Crossref)","title":"Internalized Tau Oligomers Cause Neurodegeneration by Inducing Accumulation of Pathogenic Tau in Human Neurons Derived from Induced Pluripotent Stem Cells","volume":"35","author":[{"family":"Usenovic","given":"Marija"},{"family":"Niroomand","given":"Shahriar"},{"family":"Drolet","given":"Robert E."},{"family":"Yao","given":"Lihang"},{"family":"Gaspar","given":"Renee C."},{"family":"Hatcher","given":"Nathan G."},{"family":"Schachter","given":"Joel"},{"family":"Renger","given":"John J."},{"family":"Parmentier-Batteur","given":"Sophie"}],"issued":{"date-parts":[["2015",10,21]]}}}],"schema":"https://github.com/citation-style-language/schema/raw/master/csl-citation.json"} </w:instrText>
      </w:r>
      <w:r w:rsidR="00D55337" w:rsidRPr="00D55337">
        <w:fldChar w:fldCharType="separate"/>
      </w:r>
      <w:r w:rsidR="00D55337" w:rsidRPr="00D55337">
        <w:t>(2)</w:t>
      </w:r>
      <w:r w:rsidR="00D55337" w:rsidRPr="00D55337">
        <w:fldChar w:fldCharType="end"/>
      </w:r>
      <w:r w:rsidRPr="00D55337">
        <w:t xml:space="preserve">, </w:t>
      </w:r>
      <w:r w:rsidR="00D55337" w:rsidRPr="00D55337">
        <w:fldChar w:fldCharType="begin"/>
      </w:r>
      <w:r w:rsidR="00D55337" w:rsidRPr="00D55337">
        <w:instrText xml:space="preserve"> ADDIN ZOTERO_ITEM CSL_CITATION {"citationID":"DRJPJv5p","properties":{"formattedCitation":"(3)","plainCitation":"(3)","noteIndex":0},"citationItems":[{"id":44,"uris":["http://zotero.org/users/local/gclwJsKs/items/2LPLUY5F"],"itemData":{"id":44,"type":"article-journal","container-title":"Analytical Biochemistry","DOI":"10.1016/j.ab.2018.10.013","ISSN":"00032697","journalAbbreviation":"Analytical Biochemistry","language":"en","page":"67-74","source":"DOI.org (Crossref)","title":"Preparation of stable tau oligomers for cellular and biochemical studies","volume":"566","author":[{"family":"Karikari","given":"Thomas K."},{"family":"Nagel","given":"David A."},{"family":"Grainger","given":"Alastair"},{"family":"Clarke-Bland","given":"Charlotte"},{"family":"Hill","given":"Eric J."},{"family":"Moffat","given":"Kevin G."}],"issued":{"date-parts":[["2019",2]]}}}],"schema":"https://github.com/citation-style-language/schema/raw/master/csl-citation.json"} </w:instrText>
      </w:r>
      <w:r w:rsidR="00D55337" w:rsidRPr="00D55337">
        <w:fldChar w:fldCharType="separate"/>
      </w:r>
      <w:r w:rsidR="00D55337" w:rsidRPr="00D55337">
        <w:t>(3)</w:t>
      </w:r>
      <w:r w:rsidR="00D55337" w:rsidRPr="00D55337">
        <w:fldChar w:fldCharType="end"/>
      </w:r>
      <w:r>
        <w:t xml:space="preserve"> at 37°C and 5% CO</w:t>
      </w:r>
      <w:r>
        <w:rPr>
          <w:vertAlign w:val="subscript"/>
        </w:rPr>
        <w:t>2</w:t>
      </w:r>
      <w:r>
        <w:t xml:space="preserve"> (Supplementary Fig. S3A). Immediately after, neurons were stained with fluorescein diacetate (FDA) and Hoechst for nuclei visualization and acquired with a </w:t>
      </w:r>
      <w:r>
        <w:rPr>
          <w:highlight w:val="white"/>
        </w:rPr>
        <w:t xml:space="preserve">confocal microscope. </w:t>
      </w:r>
      <w:r>
        <w:t>The fluorescence of rhodamine was measured at each time point. Live-cell imaging revealed a progressive enhancement in rhodamine intracellular fluorescence over time (Supplementary Fig. S3C) reflecting the time-dependent uptake of both K18-Hep and K18-NaTPP fibrils (Supplementary Fig. S3B)</w:t>
      </w:r>
      <w:r>
        <w:rPr>
          <w:color w:val="111111"/>
        </w:rPr>
        <w:t>, but their combined effect is not significa</w:t>
      </w:r>
      <w:r>
        <w:rPr>
          <w:color w:val="111111"/>
        </w:rPr>
        <w:t xml:space="preserve">nt. </w:t>
      </w:r>
      <w:r>
        <w:rPr>
          <w:color w:val="0D0D0D"/>
          <w:highlight w:val="white"/>
        </w:rPr>
        <w:t>We consistently observed the same fluorescence intensities across all conditions after 24-hour treatment (</w:t>
      </w:r>
      <w:r>
        <w:t>Supplementary Fig. S</w:t>
      </w:r>
      <w:r>
        <w:rPr>
          <w:color w:val="0D0D0D"/>
          <w:highlight w:val="white"/>
        </w:rPr>
        <w:t xml:space="preserve">3B). </w:t>
      </w:r>
      <w:r>
        <w:t xml:space="preserve">This result suggests that 24-hour treatment is sufficient for both K18-Hep and K18-NaTPP exogenous fibrils to be internalized in DIV 30 </w:t>
      </w:r>
      <w:proofErr w:type="spellStart"/>
      <w:r>
        <w:t>hiPSC</w:t>
      </w:r>
      <w:proofErr w:type="spellEnd"/>
      <w:r>
        <w:t>-derived retinal neurons. Next, we investigated the short-term effects of K18 fibrils on neuronal viability. We treated for 24 hours retinal neurons with 5 µM of K18-Hep-4d, K18-Hep-7d, K18-NaTPP-4d, K18-NaTPP-7d (Supplementary Fig. S3D</w:t>
      </w:r>
      <w:r>
        <w:t xml:space="preserve">). Initially, we performed a live-dead assay with fluorescein diacetate (FDA), a live-cell dye, and propidium iodide, an indicator of cell death. At a concentration of 5 µM K18 fibrils, 24 hours after exposure, </w:t>
      </w:r>
      <w:proofErr w:type="spellStart"/>
      <w:r>
        <w:t>hiPSC</w:t>
      </w:r>
      <w:proofErr w:type="spellEnd"/>
      <w:r>
        <w:t xml:space="preserve">-retinal neurons treated with K18-Hep-4d exhibited a 40% decrease in live cells compared to untreated cells. Similarly, retinal neurons treated with K18-Hep-7d fibrils exhibited a 30% reduction in live cells count compared to untreated cells. In addition, there was a 20% reduction in live cells </w:t>
      </w:r>
      <w:r>
        <w:t xml:space="preserve">after </w:t>
      </w:r>
      <w:proofErr w:type="gramStart"/>
      <w:r>
        <w:t>24 hour</w:t>
      </w:r>
      <w:proofErr w:type="gramEnd"/>
      <w:r>
        <w:t xml:space="preserve"> exposure to K18-NaTPP-4d and K18-NaTPP-7d fibrils, compared to the untreated cells (Supplementary Fig. S3E).</w:t>
      </w:r>
      <w:r>
        <w:br w:type="page"/>
      </w:r>
    </w:p>
    <w:p w14:paraId="466F71B0" w14:textId="77777777" w:rsidR="00537259" w:rsidRDefault="00847863">
      <w:pPr>
        <w:spacing w:after="0" w:line="276" w:lineRule="auto"/>
        <w:jc w:val="both"/>
      </w:pPr>
      <w:r>
        <w:rPr>
          <w:noProof/>
        </w:rPr>
        <w:lastRenderedPageBreak/>
        <w:drawing>
          <wp:inline distT="0" distB="0" distL="0" distR="0" wp14:anchorId="3548B388" wp14:editId="411C4804">
            <wp:extent cx="5245292" cy="5376863"/>
            <wp:effectExtent l="0" t="0" r="0" b="0"/>
            <wp:docPr id="2066221798" name="image4.png" descr="A screenshot of a cell divisi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screenshot of a cell division&#10;&#10;Description automatically generated"/>
                    <pic:cNvPicPr preferRelativeResize="0"/>
                  </pic:nvPicPr>
                  <pic:blipFill>
                    <a:blip r:embed="rId10"/>
                    <a:srcRect b="29073"/>
                    <a:stretch>
                      <a:fillRect/>
                    </a:stretch>
                  </pic:blipFill>
                  <pic:spPr>
                    <a:xfrm>
                      <a:off x="0" y="0"/>
                      <a:ext cx="5245292" cy="5376863"/>
                    </a:xfrm>
                    <a:prstGeom prst="rect">
                      <a:avLst/>
                    </a:prstGeom>
                    <a:ln/>
                  </pic:spPr>
                </pic:pic>
              </a:graphicData>
            </a:graphic>
          </wp:inline>
        </w:drawing>
      </w:r>
    </w:p>
    <w:p w14:paraId="3C6939D1" w14:textId="77777777" w:rsidR="00537259" w:rsidRDefault="00847863">
      <w:pPr>
        <w:jc w:val="both"/>
      </w:pPr>
      <w:r>
        <w:rPr>
          <w:b/>
        </w:rPr>
        <w:t>Supplementary Figure S3</w:t>
      </w:r>
      <w:r>
        <w:t xml:space="preserve">: </w:t>
      </w:r>
      <w:r>
        <w:rPr>
          <w:b/>
        </w:rPr>
        <w:t>A)</w:t>
      </w:r>
      <w:r>
        <w:t xml:space="preserve"> Schematic representation of rhodamine-labeled K18 fibrils formation and their internalization in neurons. </w:t>
      </w:r>
      <w:r>
        <w:rPr>
          <w:b/>
        </w:rPr>
        <w:t>B)</w:t>
      </w:r>
      <w:r>
        <w:t xml:space="preserve"> Time course of the internalization of 5 µM of rhodamine-labeled K18 samples after 1 and 24 hours of incubation, normalized on the total number of cells in the FOV (field of view). (n=FOV=4, two-way ANOVA factor 1=time </w:t>
      </w:r>
      <w:r>
        <w:rPr>
          <w:color w:val="0D0D0D"/>
        </w:rPr>
        <w:t xml:space="preserve">p&lt;0.0001, </w:t>
      </w:r>
      <w:r>
        <w:t xml:space="preserve">factor 2=treatment p=0.0427 and Sidak's multiple comparisons post hoc tests); </w:t>
      </w:r>
      <w:r>
        <w:rPr>
          <w:b/>
        </w:rPr>
        <w:t>C)</w:t>
      </w:r>
      <w:r>
        <w:t xml:space="preserve"> Uptake of 5 </w:t>
      </w:r>
      <w:proofErr w:type="spellStart"/>
      <w:r>
        <w:t>μM</w:t>
      </w:r>
      <w:proofErr w:type="spellEnd"/>
      <w:r>
        <w:t xml:space="preserve"> preformed rhodamine-labeled K18 samples after 24 h (red) in human iPSC-der</w:t>
      </w:r>
      <w:r>
        <w:t xml:space="preserve">ived retinal neurons stained with fluorescein diacetate (green). Scale bar 50 µm. Zoomed images show the cytoplasmic distribution of rhodamine-labeled K18 samples; </w:t>
      </w:r>
      <w:r>
        <w:rPr>
          <w:b/>
        </w:rPr>
        <w:t>D)</w:t>
      </w:r>
      <w:r>
        <w:t xml:space="preserve"> Schematic representation of the experimental plan used to evaluate the effect of K18-tau fibrils in </w:t>
      </w:r>
      <w:proofErr w:type="spellStart"/>
      <w:r>
        <w:t>hiPSC</w:t>
      </w:r>
      <w:proofErr w:type="spellEnd"/>
      <w:r>
        <w:t xml:space="preserve">-derived retinal neurons (DIV 30). Neurons were treated with k18-fibrils (K18-hep4-d, k18-hep-7d, K18-NaTPP-4-d, K18-NaTPP-7-d) for 24 hours and then confocal microscopy experiments were performed in live-imaging or after fixation; </w:t>
      </w:r>
      <w:r>
        <w:rPr>
          <w:b/>
        </w:rPr>
        <w:t xml:space="preserve">E) </w:t>
      </w:r>
      <w:r>
        <w:t>Bar c</w:t>
      </w:r>
      <w:r>
        <w:t>hart shows the effect on cells survival after each treatment. Significant differences are reported compared to positive control. Black dot represents a single field of view (FOV) (n=FOV=9, One-way ANOVA p&lt;0.0001 and Holm-Sidak's multiple comparisons post hoc tests: K18-Hep-4d VS Untreated p=0.0007; K18-Hep-7d VS Untreated p=0.0063; K18-NaTPP-4d VS Untreated p=0.0131; K18-NaTPP-7d VS Untreated p=0.0159).</w:t>
      </w:r>
    </w:p>
    <w:p w14:paraId="2BDBC857" w14:textId="77777777" w:rsidR="00537259" w:rsidRDefault="00537259">
      <w:pPr>
        <w:spacing w:after="0" w:line="276" w:lineRule="auto"/>
        <w:jc w:val="both"/>
      </w:pPr>
    </w:p>
    <w:p w14:paraId="29A17B09" w14:textId="77777777" w:rsidR="00537259" w:rsidRPr="00D55337" w:rsidRDefault="00847863">
      <w:pPr>
        <w:jc w:val="both"/>
      </w:pPr>
      <w:r w:rsidRPr="00D55337">
        <w:rPr>
          <w:b/>
          <w:sz w:val="26"/>
          <w:szCs w:val="26"/>
        </w:rPr>
        <w:t>Supplementary Figure S4</w:t>
      </w:r>
    </w:p>
    <w:p w14:paraId="32F9E269" w14:textId="77777777" w:rsidR="00537259" w:rsidRPr="00D55337" w:rsidRDefault="00537259">
      <w:pPr>
        <w:jc w:val="both"/>
        <w:rPr>
          <w:b/>
        </w:rPr>
      </w:pPr>
    </w:p>
    <w:p w14:paraId="376F9D54" w14:textId="77777777" w:rsidR="00537259" w:rsidRPr="00D55337" w:rsidRDefault="00537259">
      <w:pPr>
        <w:jc w:val="both"/>
        <w:rPr>
          <w:b/>
        </w:rPr>
      </w:pPr>
    </w:p>
    <w:p w14:paraId="4FF3686C" w14:textId="77777777" w:rsidR="00537259" w:rsidRPr="00D55337" w:rsidRDefault="00847863">
      <w:pPr>
        <w:jc w:val="both"/>
        <w:rPr>
          <w:b/>
        </w:rPr>
      </w:pPr>
      <w:r w:rsidRPr="00D55337">
        <w:rPr>
          <w:b/>
          <w:noProof/>
        </w:rPr>
        <w:drawing>
          <wp:inline distT="0" distB="0" distL="0" distR="0" wp14:anchorId="75039299" wp14:editId="251BECEC">
            <wp:extent cx="5697220" cy="2154473"/>
            <wp:effectExtent l="0" t="0" r="0" b="0"/>
            <wp:docPr id="2066221801" name="image1.png" descr="A white sheet of paper with black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white sheet of paper with black text&#10;&#10;Description automatically generated"/>
                    <pic:cNvPicPr preferRelativeResize="0"/>
                  </pic:nvPicPr>
                  <pic:blipFill>
                    <a:blip r:embed="rId11"/>
                    <a:srcRect b="73821"/>
                    <a:stretch>
                      <a:fillRect/>
                    </a:stretch>
                  </pic:blipFill>
                  <pic:spPr>
                    <a:xfrm>
                      <a:off x="0" y="0"/>
                      <a:ext cx="5697220" cy="2154473"/>
                    </a:xfrm>
                    <a:prstGeom prst="rect">
                      <a:avLst/>
                    </a:prstGeom>
                    <a:ln/>
                  </pic:spPr>
                </pic:pic>
              </a:graphicData>
            </a:graphic>
          </wp:inline>
        </w:drawing>
      </w:r>
    </w:p>
    <w:p w14:paraId="47F9C6F5" w14:textId="77777777" w:rsidR="00537259" w:rsidRPr="00D55337" w:rsidRDefault="00847863">
      <w:pPr>
        <w:jc w:val="both"/>
      </w:pPr>
      <w:r w:rsidRPr="00D55337">
        <w:rPr>
          <w:b/>
        </w:rPr>
        <w:t xml:space="preserve">Supplementary Figure S4: (A) </w:t>
      </w:r>
      <w:r w:rsidRPr="00D55337">
        <w:t xml:space="preserve">Bar graph represents the % of the area covered by TUJ1 in DIV 30 </w:t>
      </w:r>
      <w:proofErr w:type="spellStart"/>
      <w:r w:rsidRPr="00D55337">
        <w:t>hiPSC</w:t>
      </w:r>
      <w:proofErr w:type="spellEnd"/>
      <w:r w:rsidRPr="00D55337">
        <w:t xml:space="preserve">-derived retinal neurons 24h after K18-fibrils seeding (n=FOV=9, Kruskal Wallis test and Dunn’s multiple comparisons post hoc test). </w:t>
      </w:r>
      <w:r w:rsidRPr="00D55337">
        <w:rPr>
          <w:b/>
        </w:rPr>
        <w:t xml:space="preserve">(B) </w:t>
      </w:r>
      <w:r w:rsidRPr="00D55337">
        <w:t xml:space="preserve">Bar graphs represent the % of area covered by MAP2 in DIV 30 </w:t>
      </w:r>
      <w:proofErr w:type="spellStart"/>
      <w:r w:rsidRPr="00D55337">
        <w:t>hiPSC</w:t>
      </w:r>
      <w:proofErr w:type="spellEnd"/>
      <w:r w:rsidRPr="00D55337">
        <w:t>-derived retinal neurons 24h after K18-fibrils seeding (n=FOV=9, one-way ANOVA and Sidak’s multiple comparisons post hoc test: K18-Hep-4d VS Untreated p&lt;0.0001; K18-Hep-7d VS Untreated p&lt;0.0001; K18-NaTPP-4d VS Untreated p&lt;0.0001).</w:t>
      </w:r>
    </w:p>
    <w:p w14:paraId="7D5FE48D" w14:textId="77777777" w:rsidR="00537259" w:rsidRPr="00D55337" w:rsidRDefault="00537259">
      <w:pPr>
        <w:jc w:val="both"/>
      </w:pPr>
    </w:p>
    <w:p w14:paraId="62CFDD99" w14:textId="77777777" w:rsidR="00537259" w:rsidRPr="00D55337" w:rsidRDefault="00847863">
      <w:pPr>
        <w:jc w:val="both"/>
      </w:pPr>
      <w:r w:rsidRPr="00D55337">
        <w:rPr>
          <w:b/>
          <w:sz w:val="26"/>
          <w:szCs w:val="26"/>
        </w:rPr>
        <w:t>Supplementary Figure S5</w:t>
      </w:r>
    </w:p>
    <w:p w14:paraId="5B751178" w14:textId="77777777" w:rsidR="00537259" w:rsidRPr="00D55337" w:rsidRDefault="00847863">
      <w:pPr>
        <w:jc w:val="both"/>
      </w:pPr>
      <w:r w:rsidRPr="00D55337">
        <w:rPr>
          <w:noProof/>
        </w:rPr>
        <w:drawing>
          <wp:inline distT="0" distB="0" distL="0" distR="0" wp14:anchorId="3B5CDE98" wp14:editId="74D44448">
            <wp:extent cx="5697220" cy="2502257"/>
            <wp:effectExtent l="0" t="0" r="0" b="0"/>
            <wp:docPr id="2066221800" name="image3.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screenshot of a graph&#10;&#10;Description automatically generated"/>
                    <pic:cNvPicPr preferRelativeResize="0"/>
                  </pic:nvPicPr>
                  <pic:blipFill>
                    <a:blip r:embed="rId12"/>
                    <a:srcRect b="69594"/>
                    <a:stretch>
                      <a:fillRect/>
                    </a:stretch>
                  </pic:blipFill>
                  <pic:spPr>
                    <a:xfrm>
                      <a:off x="0" y="0"/>
                      <a:ext cx="5697220" cy="2502257"/>
                    </a:xfrm>
                    <a:prstGeom prst="rect">
                      <a:avLst/>
                    </a:prstGeom>
                    <a:ln/>
                  </pic:spPr>
                </pic:pic>
              </a:graphicData>
            </a:graphic>
          </wp:inline>
        </w:drawing>
      </w:r>
    </w:p>
    <w:p w14:paraId="352C0F19" w14:textId="77777777" w:rsidR="00537259" w:rsidRPr="00D55337" w:rsidRDefault="00537259">
      <w:pPr>
        <w:jc w:val="both"/>
      </w:pPr>
    </w:p>
    <w:p w14:paraId="764BF823" w14:textId="77777777" w:rsidR="00537259" w:rsidRPr="00D55337" w:rsidRDefault="00847863">
      <w:pPr>
        <w:jc w:val="both"/>
      </w:pPr>
      <w:r w:rsidRPr="00D55337">
        <w:rPr>
          <w:b/>
        </w:rPr>
        <w:lastRenderedPageBreak/>
        <w:t>Supplementary Figure S5:</w:t>
      </w:r>
      <w:r w:rsidRPr="00D55337">
        <w:t xml:space="preserve"> </w:t>
      </w:r>
      <w:r w:rsidRPr="00D55337">
        <w:rPr>
          <w:b/>
        </w:rPr>
        <w:t>(A)</w:t>
      </w:r>
      <w:r w:rsidRPr="00D55337">
        <w:t xml:space="preserve"> Schematic representation of analysis used to evaluate TUJ1-positive segments in </w:t>
      </w:r>
      <w:proofErr w:type="spellStart"/>
      <w:r w:rsidRPr="00D55337">
        <w:t>hiPSC</w:t>
      </w:r>
      <w:proofErr w:type="spellEnd"/>
      <w:r w:rsidRPr="00D55337">
        <w:t xml:space="preserve">-derived retinal neurons two weeks after K18-fibrils seeding; </w:t>
      </w:r>
      <w:r w:rsidRPr="00D55337">
        <w:rPr>
          <w:b/>
        </w:rPr>
        <w:t xml:space="preserve">B) </w:t>
      </w:r>
      <w:r w:rsidRPr="00D55337">
        <w:t>Cumulative distribution of the TUJ1-positive segments length (Kruskal-Wallis test and Dunn’s multiple comparisons test: K18-Hep-4d VS Untreated p=0.0451; K18-Hep-7d VS Untreated p&lt;0.0001; K18-NaTPP-4d VS Untreated p&lt;0.0001; K18-NaTPP-7d VS Untreated p=0.0003).</w:t>
      </w:r>
    </w:p>
    <w:p w14:paraId="5B7B508C" w14:textId="77777777" w:rsidR="00537259" w:rsidRPr="00D55337" w:rsidRDefault="00537259">
      <w:pPr>
        <w:jc w:val="both"/>
      </w:pPr>
    </w:p>
    <w:p w14:paraId="24CDF230" w14:textId="77777777" w:rsidR="00537259" w:rsidRPr="00D55337" w:rsidRDefault="00847863">
      <w:pPr>
        <w:jc w:val="both"/>
        <w:rPr>
          <w:b/>
          <w:sz w:val="26"/>
          <w:szCs w:val="26"/>
        </w:rPr>
      </w:pPr>
      <w:r w:rsidRPr="00D55337">
        <w:rPr>
          <w:b/>
          <w:sz w:val="26"/>
          <w:szCs w:val="26"/>
        </w:rPr>
        <w:t>Supplementary analysis of molecular dynamics simulation data</w:t>
      </w:r>
    </w:p>
    <w:p w14:paraId="6764B8BC" w14:textId="24D5A1FF" w:rsidR="00537259" w:rsidRPr="00847863" w:rsidRDefault="00847863" w:rsidP="00847863">
      <w:pPr>
        <w:spacing w:line="276" w:lineRule="auto"/>
        <w:jc w:val="both"/>
      </w:pPr>
      <w:r w:rsidRPr="00D55337">
        <w:t xml:space="preserve">A preliminary analysis of the Root Mean Square Deviation (RMSD) for all three systems showed a significant deviation from the initial structure (Fig. 2A). This process was much more rapid for the system with </w:t>
      </w:r>
      <w:proofErr w:type="spellStart"/>
      <w:r w:rsidRPr="00D55337">
        <w:t>NaTPP</w:t>
      </w:r>
      <w:proofErr w:type="spellEnd"/>
      <w:r w:rsidRPr="00D55337">
        <w:t xml:space="preserve"> (in orange), significantly slower for the free form of K18 (in gray), and intermediate for the system containing </w:t>
      </w:r>
      <w:proofErr w:type="spellStart"/>
      <w:r w:rsidRPr="00D55337">
        <w:t>NaP</w:t>
      </w:r>
      <w:proofErr w:type="spellEnd"/>
      <w:r w:rsidRPr="00D55337">
        <w:t xml:space="preserve"> (in green). Interestingly, we observed that the form containing </w:t>
      </w:r>
      <w:proofErr w:type="spellStart"/>
      <w:r w:rsidRPr="00D55337">
        <w:t>NaTPP</w:t>
      </w:r>
      <w:proofErr w:type="spellEnd"/>
      <w:r w:rsidRPr="00D55337">
        <w:t xml:space="preserve"> had an RMSD standard deviation of 0.23 nm, a markedly lower value than the other two systems, which were 0.36 nm and 0.38 nm for the </w:t>
      </w:r>
      <w:proofErr w:type="spellStart"/>
      <w:r w:rsidRPr="00D55337">
        <w:t>NaP</w:t>
      </w:r>
      <w:proofErr w:type="spellEnd"/>
      <w:r w:rsidRPr="00D55337">
        <w:t xml:space="preserve"> system and the free form, respectively. This indicates that the conformational space explored by K18 in the presence of </w:t>
      </w:r>
      <w:proofErr w:type="spellStart"/>
      <w:r w:rsidRPr="00D55337">
        <w:t>NaTPP</w:t>
      </w:r>
      <w:proofErr w:type="spellEnd"/>
      <w:r w:rsidRPr="00D55337">
        <w:t xml:space="preserve"> was much more limited than those explored in the other t</w:t>
      </w:r>
      <w:r w:rsidRPr="00D55337">
        <w:t xml:space="preserve">wo systems. An analysis of contacts showed the interaction between K18 and the ligand, involving some residues of the protein in the binding. As shown in the cartoon representation in Fig. 2B, we observed compaction of the protein when it interacted with the ligand (only the </w:t>
      </w:r>
      <w:proofErr w:type="spellStart"/>
      <w:r w:rsidRPr="00D55337">
        <w:t>NaTPP</w:t>
      </w:r>
      <w:proofErr w:type="spellEnd"/>
      <w:r w:rsidRPr="00D55337">
        <w:t xml:space="preserve"> case is shown in Fig. 2B). In addition, the radius of gyration for each time of the three systems was calculated (Fig. 2C, in orange After about 20 ns, K18 interacting with </w:t>
      </w:r>
      <w:proofErr w:type="spellStart"/>
      <w:r w:rsidRPr="00D55337">
        <w:t>NaTPP</w:t>
      </w:r>
      <w:proofErr w:type="spellEnd"/>
      <w:r w:rsidRPr="00D55337">
        <w:t xml:space="preserve"> underwent compaction, which remained, albeit with e</w:t>
      </w:r>
      <w:r w:rsidRPr="00D55337">
        <w:t xml:space="preserve">vident structural fluctuations, throughout the simulation. In the system containing the </w:t>
      </w:r>
      <w:proofErr w:type="spellStart"/>
      <w:r w:rsidRPr="00D55337">
        <w:t>NaP</w:t>
      </w:r>
      <w:proofErr w:type="spellEnd"/>
      <w:r w:rsidRPr="00D55337">
        <w:t xml:space="preserve"> ligand, we also observed compaction of the K18 protein, although this process occurred after the first 100 ns (Fig. 2C, in green). The radius of gyration trend for the free form in solution (Fig. 2C, in grey) fluctuated more in the first half, transitioning from more compact conformations to more disordered and extended ones. Since all three conditions led to a compact state of the protein in the simulation (low radi</w:t>
      </w:r>
      <w:r w:rsidRPr="00D55337">
        <w:t>us of gyration, between 1 and 2 nm), it is not straightforward to attribute the causes of aggregate formation to a possible folding process of the protein in the presence of a specific ligand. The standard deviation of the radius of gyration values was significantly smaller (0.28 nm) for the K18-NaTPP molecular system compared to the other two systems (0.67 nm and 0.81 nm for K18-NaP and the free form, respectively), indicating that the conformations explored by the K18-NaTPP complex were more stable compar</w:t>
      </w:r>
      <w:r w:rsidRPr="00D55337">
        <w:t xml:space="preserve">ed to the other two simulated </w:t>
      </w:r>
      <w:proofErr w:type="gramStart"/>
      <w:r w:rsidRPr="00D55337">
        <w:t>systems  (</w:t>
      </w:r>
      <w:proofErr w:type="gramEnd"/>
      <w:r w:rsidRPr="00D55337">
        <w:t>Fig. 2C).</w:t>
      </w:r>
    </w:p>
    <w:p w14:paraId="1E0FEF99" w14:textId="77777777" w:rsidR="00537259" w:rsidRPr="00D55337" w:rsidRDefault="00847863">
      <w:pPr>
        <w:jc w:val="both"/>
        <w:rPr>
          <w:b/>
          <w:sz w:val="36"/>
          <w:szCs w:val="36"/>
        </w:rPr>
      </w:pPr>
      <w:r w:rsidRPr="00D55337">
        <w:rPr>
          <w:b/>
          <w:sz w:val="36"/>
          <w:szCs w:val="36"/>
        </w:rPr>
        <w:t>SUPPLEMENTARY MATERIAL AND METHODS</w:t>
      </w:r>
    </w:p>
    <w:p w14:paraId="64677840" w14:textId="77777777" w:rsidR="00537259" w:rsidRPr="00847863" w:rsidRDefault="00847863">
      <w:pPr>
        <w:spacing w:before="240" w:after="240" w:line="276" w:lineRule="auto"/>
        <w:jc w:val="both"/>
        <w:rPr>
          <w:b/>
          <w:sz w:val="26"/>
          <w:szCs w:val="26"/>
        </w:rPr>
      </w:pPr>
      <w:r w:rsidRPr="00847863">
        <w:rPr>
          <w:b/>
          <w:sz w:val="26"/>
          <w:szCs w:val="26"/>
        </w:rPr>
        <w:t>K18 domain Purification</w:t>
      </w:r>
    </w:p>
    <w:p w14:paraId="707D2DE0" w14:textId="46E52980" w:rsidR="00537259" w:rsidRPr="00847863" w:rsidRDefault="00847863">
      <w:pPr>
        <w:spacing w:before="240" w:after="240" w:line="276" w:lineRule="auto"/>
        <w:jc w:val="both"/>
      </w:pPr>
      <w:r w:rsidRPr="00847863">
        <w:t>The genes coding for K18 were cloned into a pET30a vector and inserted into Escherichia coli cells</w:t>
      </w:r>
      <w:r w:rsidRPr="00847863">
        <w:rPr>
          <w:color w:val="00796B"/>
        </w:rPr>
        <w:t xml:space="preserve">. </w:t>
      </w:r>
      <w:r w:rsidRPr="00847863">
        <w:t xml:space="preserve">The K18 domain of tau protein was expressed, purified, and biochemically characterized as described </w:t>
      </w:r>
      <w:r w:rsidR="00D55337" w:rsidRPr="00847863">
        <w:fldChar w:fldCharType="begin"/>
      </w:r>
      <w:r w:rsidR="00D55337" w:rsidRPr="00847863">
        <w:instrText xml:space="preserve"> ADDIN ZOTERO_ITEM CSL_CITATION {"citationID":"Yr1A5fRe","properties":{"formattedCitation":"(4)","plainCitation":"(4)","noteIndex":0},"citationItems":[{"id":136,"uris":["http://zotero.org/users/local/gclwJsKs/items/SQEUXZXX"],"itemData":{"id":136,"type":"article-journal","abstract":"Abstract\n            Numerous studies have shown a strong correlation between the number of neurofibrillary tangles of the tau protein and Alzheimer's disease progression, making the quantitative detection of tau very promising from a clinical point of view. However, the lack of highly reliable fluorescent probes for selective imaging of tau neurofibrillary tangles is a major challenge due to sharing similar β–sheet motifs with homologous Amyloid-β fibrils. In the current work, we describe the rational design and the in silico evaluation of a small-size focused library of fluorescent probes, consisting of a BODIPY core (electron acceptor) featuring highly conjugated systems (electron donor) with a length in the range 13–19 Å at C3. Among the most promising probes in terms of binding mode, theoretical affinity and polarity, BT1 has been synthesized and tested in vitro onto human induced pluripotent stem cells derived neuronal cell cultures. The probe showed excellent photophysical properties and high selectivity allowing in vitro imaging of hyperphosphorylated tau protein filaments with minimal background noise. Our findings offer new insight into the structure-activity relationship of this class of tau selective fluorophores, paving the way for boosting tau tangle detection in patients possibly through retinal spectral scans.","container-title":"Scientific Reports","DOI":"10.1038/s41598-022-09016-z","ISSN":"2045-2322","issue":"1","journalAbbreviation":"Sci Rep","language":"en","page":"5257","source":"DOI.org (Crossref)","title":"Rational design and synthesis of a novel BODIPY-based probe for selective imaging of tau tangles in human iPSC-derived cortical neurons","volume":"12","author":[{"family":"Soloperto","given":"Alessandro"},{"family":"Quaglio","given":"Deborah"},{"family":"Baiocco","given":"Paola"},{"family":"Romeo","given":"Isabella"},{"family":"Mori","given":"Mattia"},{"family":"Ardini","given":"Matteo"},{"family":"Presutti","given":"Caterina"},{"family":"Sannino","given":"Ida"},{"family":"Ghirga","given":"Silvia"},{"family":"Iazzetti","given":"Antonia"},{"family":"Ippoliti","given":"Rodolfo"},{"family":"Ruocco","given":"Giancarlo"},{"family":"Botta","given":"Bruno"},{"family":"Ghirga","given":"Francesca"},{"family":"Di Angelantonio","given":"Silvia"},{"family":"Boffi","given":"Alberto"}],"issued":{"date-parts":[["2022",3,28]]}}}],"schema":"https://github.com/citation-style-language/schema/raw/master/csl-citation.json"} </w:instrText>
      </w:r>
      <w:r w:rsidR="00D55337" w:rsidRPr="00847863">
        <w:fldChar w:fldCharType="separate"/>
      </w:r>
      <w:r w:rsidR="00D55337" w:rsidRPr="00847863">
        <w:t>(4)</w:t>
      </w:r>
      <w:r w:rsidR="00D55337" w:rsidRPr="00847863">
        <w:fldChar w:fldCharType="end"/>
      </w:r>
      <w:r w:rsidRPr="00847863">
        <w:t>,</w:t>
      </w:r>
      <w:r w:rsidRPr="00847863">
        <w:rPr>
          <w:color w:val="FF0000"/>
        </w:rPr>
        <w:t xml:space="preserve"> </w:t>
      </w:r>
      <w:r w:rsidR="00D55337" w:rsidRPr="00847863">
        <w:fldChar w:fldCharType="begin"/>
      </w:r>
      <w:r w:rsidR="00D55337" w:rsidRPr="00847863">
        <w:instrText xml:space="preserve"> ADDIN ZOTERO_ITEM CSL_CITATION {"citationID":"Ar4JVHCz","properties":{"formattedCitation":"(5)","plainCitation":"(5)","noteIndex":0},"citationItems":[{"id":183,"uris":["http://zotero.org/users/local/gclwJsKs/items/MI7UUNAL"],"itemData":{"id":183,"type":"article-journal","abstract":"Multi-responsive nanomaterials based on the self-limited assembly of plasmonic nanoparticles are of great interest due to their widespread employment in sensing applications. We present a thorough investigation of a hybrid nanomaterial based on the protein-mediated aggregation of gold nanoparticles at varying protein concentration, pH and temperature. By combining Small Angle X-ray Scattering with extinction spectroscopy, we are able to frame the morphological features of the formed fractal aggregates in a theoretical model based on patchy interactions. Based on this, we established the main factors that determine the assembly process and their strong correlation with the optical properties of the assemblies. Moreover, the calibration curves that we obtained for each parameter investigated based on the extinction spectra point out to the notable flexibility of this nanomaterial, enabling the selection of different working ranges with high sensitivity. Our study opens for the rational tuning of the morphology and the optical properties of plasmonic assemblies to design colorimetric sensors with improved performances.","container-title":"Nanomaterials","DOI":"10.3390/nano12091529","ISSN":"2079-4991","issue":"9","journalAbbreviation":"Nanomaterials","language":"en","license":"https://creativecommons.org/licenses/by/4.0/","page":"1529","source":"DOI.org (Crossref)","title":"Responsivity of Fractal Nanoparticle Assemblies to Multiple Stimuli: Structural Insights on the Modulation of the Optical Properties","title-short":"Responsivity of Fractal Nanoparticle Assemblies to Multiple Stimuli","volume":"12","author":[{"family":"Capocefalo","given":"Angela"},{"family":"Bizien","given":"Thomas"},{"family":"Sennato","given":"Simona"},{"family":"Ghofraniha","given":"Neda"},{"family":"Bordi","given":"Federico"},{"family":"Brasili","given":"Francesco"}],"issued":{"date-parts":[["2022",5,1]]}}}],"schema":"https://github.com/citation-style-language/schema/raw/master/csl-citation.json"} </w:instrText>
      </w:r>
      <w:r w:rsidR="00D55337" w:rsidRPr="00847863">
        <w:fldChar w:fldCharType="separate"/>
      </w:r>
      <w:r w:rsidR="00D55337" w:rsidRPr="00847863">
        <w:t>(5)</w:t>
      </w:r>
      <w:r w:rsidR="00D55337" w:rsidRPr="00847863">
        <w:fldChar w:fldCharType="end"/>
      </w:r>
      <w:r w:rsidRPr="00847863">
        <w:t>. Briefly, to extract the protein, 20 g of harvested cells were resuspended in 100 mL of lysis buffer (20mM MES, 1mM EDTA, 0,2 mM MgCl</w:t>
      </w:r>
      <w:r w:rsidRPr="00847863">
        <w:rPr>
          <w:vertAlign w:val="subscript"/>
        </w:rPr>
        <w:t>2</w:t>
      </w:r>
      <w:r w:rsidRPr="00847863">
        <w:t xml:space="preserve">, 300 mM NaCl, protease inhibitor, and </w:t>
      </w:r>
      <w:proofErr w:type="spellStart"/>
      <w:r w:rsidRPr="00847863">
        <w:t>DNAse</w:t>
      </w:r>
      <w:proofErr w:type="spellEnd"/>
      <w:r w:rsidRPr="00847863">
        <w:t xml:space="preserve">, pH 6.4). Lysis was carried at 50% amplitude for 30 minutes, 3 seconds ON and 6 seconds OFF on ice. The lysate was centrifuged at 15000 g for 30 minutes at 4°C. The supernatant was separated from the cell debris and was subsequently </w:t>
      </w:r>
      <w:r w:rsidRPr="00847863">
        <w:lastRenderedPageBreak/>
        <w:t xml:space="preserve">heated at 80°C for 20 minutes, to promote the precipitation of a large amount of undesired </w:t>
      </w:r>
      <w:r w:rsidRPr="00847863">
        <w:rPr>
          <w:i/>
        </w:rPr>
        <w:t>E. coli</w:t>
      </w:r>
      <w:r w:rsidRPr="00847863">
        <w:t xml:space="preserve"> </w:t>
      </w:r>
      <w:r w:rsidRPr="00847863">
        <w:t xml:space="preserve">proteins. After heating, the sample was centrifuged at 15000 g for 30 minutes at 4°C. The precipitated proteins were </w:t>
      </w:r>
      <w:proofErr w:type="gramStart"/>
      <w:r w:rsidRPr="00847863">
        <w:t>separated</w:t>
      </w:r>
      <w:proofErr w:type="gramEnd"/>
      <w:r w:rsidRPr="00847863">
        <w:t xml:space="preserve"> and the supernatant was left in a 2 L solution of dialysis buffer (20mM MES, 50mM NaCl, 1mM EDTA, 1mM MgCl</w:t>
      </w:r>
      <w:r w:rsidRPr="00847863">
        <w:rPr>
          <w:vertAlign w:val="subscript"/>
        </w:rPr>
        <w:t>2</w:t>
      </w:r>
      <w:r w:rsidRPr="00847863">
        <w:t xml:space="preserve">, pH 6.4) overnight at 4°C. The recombinant K18 was purified using a two-step chromatography. The first step was a cation exchange chromatography, using a </w:t>
      </w:r>
      <w:proofErr w:type="spellStart"/>
      <w:r w:rsidRPr="00847863">
        <w:t>HiPrep</w:t>
      </w:r>
      <w:proofErr w:type="spellEnd"/>
      <w:r w:rsidRPr="00847863">
        <w:t>™ SP HP 16/10 column (</w:t>
      </w:r>
      <w:proofErr w:type="spellStart"/>
      <w:r w:rsidRPr="00847863">
        <w:t>Cytiva</w:t>
      </w:r>
      <w:proofErr w:type="spellEnd"/>
      <w:r w:rsidRPr="00847863">
        <w:t>, Marlborough, UK) mounted on an ÄKTA® Pure (</w:t>
      </w:r>
      <w:proofErr w:type="spellStart"/>
      <w:r w:rsidRPr="00847863">
        <w:t>Cytiva</w:t>
      </w:r>
      <w:proofErr w:type="spellEnd"/>
      <w:r w:rsidRPr="00847863">
        <w:t xml:space="preserve">) chromatograph. Buffer A (20 mM MES, </w:t>
      </w:r>
      <w:r w:rsidRPr="00847863">
        <w:t>1mM EDTA, 1 mM MgCl</w:t>
      </w:r>
      <w:r w:rsidRPr="00847863">
        <w:rPr>
          <w:vertAlign w:val="subscript"/>
        </w:rPr>
        <w:t>2</w:t>
      </w:r>
      <w:r w:rsidRPr="00847863">
        <w:t>, 50 mM NaCl), Buffer B (20mM MES, 1mM EDTA, 1 mM MgCl</w:t>
      </w:r>
      <w:r w:rsidRPr="00847863">
        <w:rPr>
          <w:vertAlign w:val="subscript"/>
        </w:rPr>
        <w:t>2</w:t>
      </w:r>
      <w:r w:rsidRPr="00847863">
        <w:t xml:space="preserve">, 1 M NaCl), method: 2 CV 15% Buffer B, 2 CV 30% Buffer B, 2 CV 40% Buffer B, 2 CV 45% Buffer B, 2 CV 50% Buffer B and 2 CV 100% Buffer B. Based on the final chromatogram, the elution fractions were analyzed via gel electrophoresis. The fractions containing the protein of interest were selected and prepared for the second chromatographic step, size exclusion chromatography. The selected fractions were purified using a </w:t>
      </w:r>
      <w:proofErr w:type="spellStart"/>
      <w:r w:rsidRPr="00847863">
        <w:t>HiLoad</w:t>
      </w:r>
      <w:proofErr w:type="spellEnd"/>
      <w:r w:rsidRPr="00847863">
        <w:t xml:space="preserve">™ 26/600 </w:t>
      </w:r>
      <w:proofErr w:type="spellStart"/>
      <w:r w:rsidRPr="00847863">
        <w:t>Superdex</w:t>
      </w:r>
      <w:proofErr w:type="spellEnd"/>
      <w:r w:rsidRPr="00847863">
        <w:t xml:space="preserve"> 75 (</w:t>
      </w:r>
      <w:proofErr w:type="spellStart"/>
      <w:r w:rsidRPr="00847863">
        <w:t>Cytiva</w:t>
      </w:r>
      <w:proofErr w:type="spellEnd"/>
      <w:r w:rsidRPr="00847863">
        <w:t xml:space="preserve">). The final concentration of tau K18 WT was determined </w:t>
      </w:r>
      <w:r w:rsidRPr="00847863">
        <w:t>via UV-</w:t>
      </w:r>
      <w:proofErr w:type="gramStart"/>
      <w:r w:rsidRPr="00847863">
        <w:t>Vis</w:t>
      </w:r>
      <w:proofErr w:type="gramEnd"/>
      <w:r w:rsidRPr="00847863">
        <w:t xml:space="preserve"> spectrophotometry using Jasco V-750 (Jasco Corp., Tokyo, Japan). The molar extinction coefficient ε</w:t>
      </w:r>
      <w:r w:rsidRPr="00847863">
        <w:rPr>
          <w:vertAlign w:val="subscript"/>
        </w:rPr>
        <w:t>270nm</w:t>
      </w:r>
      <w:r w:rsidRPr="00847863">
        <w:t>, for K18, is 1490 M</w:t>
      </w:r>
      <w:r w:rsidRPr="00847863">
        <w:rPr>
          <w:vertAlign w:val="superscript"/>
        </w:rPr>
        <w:t>-1</w:t>
      </w:r>
      <w:r w:rsidRPr="00847863">
        <w:t xml:space="preserve"> cm</w:t>
      </w:r>
      <w:r w:rsidRPr="00847863">
        <w:rPr>
          <w:vertAlign w:val="superscript"/>
        </w:rPr>
        <w:t>-1</w:t>
      </w:r>
      <w:r w:rsidRPr="00847863">
        <w:t>.</w:t>
      </w:r>
    </w:p>
    <w:p w14:paraId="0D55E988" w14:textId="77777777" w:rsidR="00537259" w:rsidRPr="00847863" w:rsidRDefault="00847863">
      <w:pPr>
        <w:spacing w:before="240" w:after="240" w:line="276" w:lineRule="auto"/>
        <w:jc w:val="both"/>
        <w:rPr>
          <w:b/>
          <w:sz w:val="26"/>
          <w:szCs w:val="26"/>
        </w:rPr>
      </w:pPr>
      <w:r w:rsidRPr="00847863">
        <w:rPr>
          <w:b/>
          <w:sz w:val="26"/>
          <w:szCs w:val="26"/>
        </w:rPr>
        <w:t xml:space="preserve">Formation and fluorescence analysis of K18 fibrils </w:t>
      </w:r>
    </w:p>
    <w:p w14:paraId="33ECC353" w14:textId="019E05BF" w:rsidR="00537259" w:rsidRPr="00847863" w:rsidRDefault="00847863">
      <w:pPr>
        <w:spacing w:before="240" w:after="240" w:line="276" w:lineRule="auto"/>
        <w:jc w:val="both"/>
      </w:pPr>
      <w:r w:rsidRPr="00847863">
        <w:t xml:space="preserve">K18 100 µM in PBS was reduced using 1 mM TCEP 1 mM (Tris(2-carboxyethyl) </w:t>
      </w:r>
      <w:proofErr w:type="spellStart"/>
      <w:r w:rsidRPr="00847863">
        <w:t>phosphinehydrochloride</w:t>
      </w:r>
      <w:proofErr w:type="spellEnd"/>
      <w:r w:rsidRPr="00847863">
        <w:t>), for</w:t>
      </w:r>
      <w:r w:rsidRPr="00847863">
        <w:rPr>
          <w:color w:val="00796B"/>
        </w:rPr>
        <w:t xml:space="preserve"> </w:t>
      </w:r>
      <w:r w:rsidRPr="00847863">
        <w:t xml:space="preserve">10 minutes at 55°C. The reduced protein was subjected to aggregation agents. Sodium heparin (Sigma) or </w:t>
      </w:r>
      <w:proofErr w:type="spellStart"/>
      <w:r w:rsidRPr="00847863">
        <w:t>NaTPP</w:t>
      </w:r>
      <w:proofErr w:type="spellEnd"/>
      <w:r w:rsidRPr="00847863">
        <w:t xml:space="preserve"> (Sigma) was added in ratio 1:1 (100 µM) to initiate tau protein aggregation </w:t>
      </w:r>
      <w:r w:rsidRPr="00847863">
        <w:rPr>
          <w:i/>
        </w:rPr>
        <w:t>in vitro</w:t>
      </w:r>
      <w:r w:rsidRPr="00847863">
        <w:t xml:space="preserve">. The samples were kept at 37°C under rotation at 150 rpm for several days. The samples exposed to heparin will be referred to as K18-Hep, whilst the ones subjected to </w:t>
      </w:r>
      <w:proofErr w:type="spellStart"/>
      <w:r w:rsidRPr="00847863">
        <w:t>NaTPP</w:t>
      </w:r>
      <w:proofErr w:type="spellEnd"/>
      <w:r w:rsidRPr="00847863">
        <w:t xml:space="preserve"> will be called K18-NaTPP.</w:t>
      </w:r>
      <w:r w:rsidRPr="00847863">
        <w:rPr>
          <w:b/>
        </w:rPr>
        <w:t xml:space="preserve"> </w:t>
      </w:r>
      <w:r w:rsidRPr="00847863">
        <w:t xml:space="preserve">Multiple time points of K18-Hep and K18-NaTPP, both in the ratio 1:1 = protein: cofactor, </w:t>
      </w:r>
      <w:r w:rsidRPr="00847863">
        <w:t xml:space="preserve">were collected to monitor the fibrillation of the samples. The chosen time points were as follows: 0, 1, 3, 4, 7, 10, 14 days. The fibrillation status of the protein was reported using fluorescence analysis. Firstly, the fibrillation kinetics </w:t>
      </w:r>
      <w:r w:rsidRPr="00847863">
        <w:rPr>
          <w:color w:val="00796B"/>
        </w:rPr>
        <w:t>were</w:t>
      </w:r>
      <w:r w:rsidRPr="00847863">
        <w:t xml:space="preserve"> analyzed using a well-known fluorophore, thioflavin T (</w:t>
      </w:r>
      <w:proofErr w:type="spellStart"/>
      <w:r w:rsidRPr="00847863">
        <w:t>ThT</w:t>
      </w:r>
      <w:proofErr w:type="spellEnd"/>
      <w:r w:rsidRPr="00847863">
        <w:t xml:space="preserve">) </w:t>
      </w:r>
      <w:r w:rsidR="00D55337" w:rsidRPr="00847863">
        <w:fldChar w:fldCharType="begin"/>
      </w:r>
      <w:r w:rsidR="00D55337" w:rsidRPr="00847863">
        <w:instrText xml:space="preserve"> ADDIN ZOTERO_ITEM CSL_CITATION {"citationID":"aYTujJH4","properties":{"formattedCitation":"(6)","plainCitation":"(6)","noteIndex":0},"citationItems":[{"id":185,"uris":["http://zotero.org/users/local/gclwJsKs/items/IJT45BKP"],"itemData":{"id":185,"type":"article","abstract":"Abstract\n          Fibrillated Tau proteins are believed to be a signature of Alzheimer's Disease (AD) and may be potentially employed as a biosensor for AD early detection. Several studies revealed the presence of Tau accumulation and aggregation in the retina, similar to that observed in the brains of individuals with AD. These retinal changes can be non-invasively visualised through AD-related scores derived from reflectance measurements of the patient fundus. However, a direct link with the optical properties of fibrillated protein clusters is still lacking. Here, we present a new optical technique which measures the scattering optical properties of protein fibrils. Our experimental findings show that the scattering intensity of Tau has a wavelength dependence correlated to their size. The optical signal qualitatively replicates the spectral signature observed in human AD patient retinas. Our paper shows that the Tau protein spectral signature is compatible with the distinctive spectral signature of the AD, further confirming that retinal investigation is a promising tool.","DOI":"10.21203/rs.3.rs-4571431/v1","license":"https://creativecommons.org/licenses/by/4.0/","source":"In Review","title":"Optical signature of retinal tau fibrillation","URL":"https://www.researchsquare.com/article/rs-4571431/v1","author":[{"family":"Salajkova","given":"Zita"},{"family":"Barolo","given":"Lorenzo"},{"family":"Baiocco","given":"Paola"},{"family":"Ruzicka","given":"Barbara"},{"family":"Mura","given":"Francesco"},{"family":"Lorenzo","given":"Francesco Di"},{"family":"Boffi","given":"Alberto"},{"family":"Ricco","given":"Vincenzo"},{"family":"Ruocco","given":"Giancarlo"},{"family":"Leonetti","given":"Marco"}],"accessed":{"date-parts":[["2024",8,1]]},"issued":{"date-parts":[["2024",7,10]]}}}],"schema":"https://github.com/citation-style-language/schema/raw/master/csl-citation.json"} </w:instrText>
      </w:r>
      <w:r w:rsidR="00D55337" w:rsidRPr="00847863">
        <w:fldChar w:fldCharType="separate"/>
      </w:r>
      <w:r w:rsidR="00D55337" w:rsidRPr="00847863">
        <w:t>(6)</w:t>
      </w:r>
      <w:r w:rsidR="00D55337" w:rsidRPr="00847863">
        <w:fldChar w:fldCharType="end"/>
      </w:r>
      <w:r w:rsidRPr="00847863">
        <w:t xml:space="preserve">. However, due to the limited specificity of </w:t>
      </w:r>
      <w:proofErr w:type="spellStart"/>
      <w:r w:rsidRPr="00847863">
        <w:t>ThT</w:t>
      </w:r>
      <w:proofErr w:type="spellEnd"/>
      <w:r w:rsidRPr="00847863">
        <w:t xml:space="preserve"> towards K18 fibrils and the unexpected inertness of certain phosphates in generating </w:t>
      </w:r>
      <w:proofErr w:type="spellStart"/>
      <w:r w:rsidRPr="00847863">
        <w:t>ThT</w:t>
      </w:r>
      <w:proofErr w:type="spellEnd"/>
      <w:r w:rsidRPr="00847863">
        <w:t xml:space="preserve"> signals, we opted for the BODIPY-based probe BT1, loaded into humanized ferritin nanocages to enhance the solubilization of the probe and its fluorescent signal </w:t>
      </w:r>
      <w:r w:rsidR="00D55337" w:rsidRPr="00847863">
        <w:fldChar w:fldCharType="begin"/>
      </w:r>
      <w:r w:rsidR="00D55337" w:rsidRPr="00847863">
        <w:instrText xml:space="preserve"> ADDIN ZOTERO_ITEM CSL_CITATION {"citationID":"XKLA5STX","properties":{"formattedCitation":"(7)","plainCitation":"(7)","noteIndex":0},"citationItems":[{"id":134,"uris":["http://zotero.org/users/local/gclwJsKs/items/3R6CJ2ZT"],"itemData":{"id":134,"type":"article-journal","abstract":"Abstract\n            Tauopathies, including Alzheimer’s disease and Frontotemporal Dementia, are debilitating neurodegenerative disorders marked by cognitive decline. Despite extensive research, achieving effective treatments and significant symptom management remains challenging. Accurate diagnosis is crucial for developing effective therapeutic strategies, with hyperphosphorylated protein units and tau oligomers serving as reliable biomarkers for these conditions. This study introduces a novel approach using nanotechnology to enhance the diagnostic process for tauopathies. We developed humanized ferritin nanocages, a novel nanoscale delivery system, designed to encapsulate and transport a tau-specific fluorophore, BT1, into human retinal cells for detecting neurofibrillary tangles in retinal tissue, a key marker of tauopathies. The delivery of BT1 into living cells was successfully achieved through these nanocages, demonstrating efficient encapsulation and delivery into retinal cells derived from human induced pluripotent stem cells. Our experiments confirmed the colocalization of BT1 with pathological forms of tau in living retinal cells, highlighting the method’s potential in identifying tauopathies. Using ferritin nanocages for BT1 delivery represents a significant contribution to nanobiotechnology, particularly in neurodegenerative disease diagnostics. This method offers a promising tool for the early detection of tau tangles in retinal tissue, with significant implications for improving the diagnosis and management of tauopathies. This study exemplifies the integration of nanotechnology with biomedical science, expanding the frontiers of nanomedicine and diagnostic techniques.","container-title":"Scientific Reports","DOI":"10.1038/s41598-024-62188-8","ISSN":"2045-2322","issue":"1","journalAbbreviation":"Sci Rep","language":"en","page":"11533","source":"DOI.org (Crossref)","title":"Ferritin nanocage-enabled detection of pathological tau in living human retinal cells","volume":"14","author":[{"family":"Barolo","given":"Lorenzo"},{"family":"Gigante","given":"Ylenia"},{"family":"Mautone","given":"Lorenza"},{"family":"Ghirga","given":"Silvia"},{"family":"Soloperto","given":"Alessandro"},{"family":"Giorgi","given":"Alessandra"},{"family":"Ghirga","given":"Francesca"},{"family":"Pitea","given":"Martina"},{"family":"Incocciati","given":"Alessio"},{"family":"Mura","given":"Francesco"},{"family":"Ruocco","given":"Giancarlo"},{"family":"Boffi","given":"Alberto"},{"family":"Baiocco","given":"Paola"},{"family":"Di Angelantonio","given":"Silvia"}],"issued":{"date-parts":[["2024",5,21]]}}}],"schema":"https://github.com/citation-style-language/schema/raw/master/csl-citation.json"} </w:instrText>
      </w:r>
      <w:r w:rsidR="00D55337" w:rsidRPr="00847863">
        <w:fldChar w:fldCharType="separate"/>
      </w:r>
      <w:r w:rsidR="00D55337" w:rsidRPr="00847863">
        <w:t>(7)</w:t>
      </w:r>
      <w:r w:rsidR="00D55337" w:rsidRPr="00847863">
        <w:fldChar w:fldCharType="end"/>
      </w:r>
      <w:r w:rsidRPr="00847863">
        <w:t xml:space="preserve">, </w:t>
      </w:r>
      <w:r w:rsidR="00D55337" w:rsidRPr="00847863">
        <w:fldChar w:fldCharType="begin"/>
      </w:r>
      <w:r w:rsidR="00D55337" w:rsidRPr="00847863">
        <w:instrText xml:space="preserve"> ADDIN ZOTERO_ITEM CSL_CITATION {"citationID":"QWpQUUZr","properties":{"formattedCitation":"(8)","plainCitation":"(8)","noteIndex":0},"citationItems":[{"id":38,"uris":["http://zotero.org/users/local/gclwJsKs/items/EMXXDV5W"],"itemData":{"id":38,"type":"article-journal","container-title":"Journal of the American Chemical Society","DOI":"10.1021/jacs.2c08004","ISSN":"0002-7863, 1520-5126","issue":"7","journalAbbreviation":"J. Am. Chem. Soc.","language":"en","license":"https://creativecommons.org/licenses/by/4.0/","page":"3926-3936","source":"DOI.org (Crossref)","title":"Chemical Features of Polyanions Modulate Tau Aggregation and Conformational States","volume":"145","author":[{"family":"Montgomery","given":"Kelly M."},{"family":"Carroll","given":"Emma C."},{"family":"Thwin","given":"Aye C."},{"family":"Quddus","given":"Athena Y."},{"family":"Hodges","given":"Paige"},{"family":"Southworth","given":"Daniel R."},{"family":"Gestwicki","given":"Jason E."}],"issued":{"date-parts":[["2023",2,22]]}}}],"schema":"https://github.com/citation-style-language/schema/raw/master/csl-citation.json"} </w:instrText>
      </w:r>
      <w:r w:rsidR="00D55337" w:rsidRPr="00847863">
        <w:fldChar w:fldCharType="separate"/>
      </w:r>
      <w:r w:rsidR="00D55337" w:rsidRPr="00847863">
        <w:t>(8)</w:t>
      </w:r>
      <w:r w:rsidR="00D55337" w:rsidRPr="00847863">
        <w:fldChar w:fldCharType="end"/>
      </w:r>
      <w:r w:rsidRPr="00847863">
        <w:t>. A 1 mg/mL concentration of HumAfFt-BT1 was added to 400 µL of each K18 sample. Fluorescence was measured using excitation at 530 nm and emission at 565 nm with an Excitation bandwidth of 5 and emission bandwidth of 10 nm. All the measurements were made by using the RF-6000 fluorimeter (Shimadzu RF-6000).</w:t>
      </w:r>
    </w:p>
    <w:p w14:paraId="1D0E147B" w14:textId="77777777" w:rsidR="00537259" w:rsidRPr="00847863" w:rsidRDefault="00847863">
      <w:pPr>
        <w:spacing w:before="240" w:after="240" w:line="276" w:lineRule="auto"/>
        <w:jc w:val="both"/>
        <w:rPr>
          <w:b/>
          <w:sz w:val="26"/>
          <w:szCs w:val="26"/>
        </w:rPr>
      </w:pPr>
      <w:r w:rsidRPr="00847863">
        <w:rPr>
          <w:b/>
          <w:sz w:val="26"/>
          <w:szCs w:val="26"/>
        </w:rPr>
        <w:t>Scanning transmission electron microscopy (STEM) of K18 fibrils</w:t>
      </w:r>
    </w:p>
    <w:p w14:paraId="4034778B" w14:textId="77777777" w:rsidR="00537259" w:rsidRPr="00847863" w:rsidRDefault="00847863">
      <w:pPr>
        <w:spacing w:before="240" w:after="240" w:line="276" w:lineRule="auto"/>
        <w:jc w:val="both"/>
      </w:pPr>
      <w:r w:rsidRPr="00847863">
        <w:t xml:space="preserve">STEM images of K18-heparin and K18-NaTPP were produced and analyzed. The samples were kept at 37°C for 4 and 7 days under rotation at 150 rpm. One sample was not incubated at 37°C and was used as </w:t>
      </w:r>
      <w:proofErr w:type="gramStart"/>
      <w:r w:rsidRPr="00847863">
        <w:t>the</w:t>
      </w:r>
      <w:proofErr w:type="gramEnd"/>
      <w:r w:rsidRPr="00847863">
        <w:t xml:space="preserve"> negative control. The samples were prepared for STEM imaging. The samples were diluted with H</w:t>
      </w:r>
      <w:r w:rsidRPr="00847863">
        <w:rPr>
          <w:vertAlign w:val="subscript"/>
        </w:rPr>
        <w:t>2</w:t>
      </w:r>
      <w:r w:rsidRPr="00847863">
        <w:t xml:space="preserve">O from 100 µM to 50 µM. One drop of sample was loaded onto a carbon-coated 3 mm copper grid. The sample was left to </w:t>
      </w:r>
      <w:proofErr w:type="gramStart"/>
      <w:r w:rsidRPr="00847863">
        <w:t>adsorb</w:t>
      </w:r>
      <w:proofErr w:type="gramEnd"/>
      <w:r w:rsidRPr="00847863">
        <w:t xml:space="preserve"> for 5 minutes. The grid was washed with one drop of water for 5 minutes. Then, one drop of the staining solution containing 3% uranyl acetate was added, and the mixture was incubated for 5 minutes. The grid was washed twice with H</w:t>
      </w:r>
      <w:r w:rsidRPr="00847863">
        <w:rPr>
          <w:vertAlign w:val="subscript"/>
        </w:rPr>
        <w:t>2</w:t>
      </w:r>
      <w:r w:rsidRPr="00847863">
        <w:t xml:space="preserve">O. All the samples were visualized via a Zeiss Auriga </w:t>
      </w:r>
      <w:r w:rsidRPr="00847863">
        <w:lastRenderedPageBreak/>
        <w:t>micros</w:t>
      </w:r>
      <w:r w:rsidRPr="00847863">
        <w:t>cope in STEM mode. ImageJ software was used to calculate the length and population distribution of the fibrils. For population distribution, the automatic particle counting tool of ImageJ removed the background with a manually selected threshold and calculated the percentage of space occupied by fibrils in the STEM image (mean n=3).</w:t>
      </w:r>
    </w:p>
    <w:p w14:paraId="37DAE690" w14:textId="77777777" w:rsidR="00537259" w:rsidRPr="00847863" w:rsidRDefault="00847863">
      <w:pPr>
        <w:pBdr>
          <w:top w:val="nil"/>
          <w:left w:val="nil"/>
          <w:bottom w:val="nil"/>
          <w:right w:val="nil"/>
          <w:between w:val="nil"/>
        </w:pBdr>
        <w:tabs>
          <w:tab w:val="left" w:pos="264"/>
        </w:tabs>
        <w:spacing w:after="240" w:line="240" w:lineRule="auto"/>
        <w:ind w:left="264" w:hanging="264"/>
        <w:rPr>
          <w:b/>
          <w:sz w:val="26"/>
          <w:szCs w:val="26"/>
        </w:rPr>
      </w:pPr>
      <w:r w:rsidRPr="00847863">
        <w:rPr>
          <w:b/>
          <w:sz w:val="26"/>
          <w:szCs w:val="26"/>
        </w:rPr>
        <w:t>Computational Method</w:t>
      </w:r>
    </w:p>
    <w:p w14:paraId="63CBFEB2" w14:textId="6C4F9AAE" w:rsidR="00537259" w:rsidRPr="00847863" w:rsidRDefault="00847863">
      <w:pPr>
        <w:spacing w:line="276" w:lineRule="auto"/>
        <w:jc w:val="both"/>
        <w:rPr>
          <w:b/>
          <w:color w:val="000000"/>
        </w:rPr>
      </w:pPr>
      <w:r w:rsidRPr="00847863">
        <w:t xml:space="preserve">The protein (and if present also the small molecule) was placed in a dodecahedron simulative box, with periodic boundary conditions, filled with TIP3P water molecules </w:t>
      </w:r>
      <w:r w:rsidR="00D55337" w:rsidRPr="00847863">
        <w:fldChar w:fldCharType="begin"/>
      </w:r>
      <w:r w:rsidR="00D55337" w:rsidRPr="00847863">
        <w:instrText xml:space="preserve"> ADDIN ZOTERO_ITEM CSL_CITATION {"citationID":"Mx51aXOn","properties":{"formattedCitation":"(9)","plainCitation":"(9)","noteIndex":0},"citationItems":[{"id":144,"uris":["http://zotero.org/users/local/gclwJsKs/items/82RIGGGR"],"itemData":{"id":144,"type":"article-journal","abstract":"Classical Monte Carlo simulations have been carried out for liquid water in the NPT ensemble at 25 °C and 1 atm using six of the simpler intermolecular potential functions for the water dimer: Bernal–Fowler (BF), SPC, ST2, TIPS2, TIP3P, and TIP4P. Comparisons are made with experimental thermodynamic and structural data including the recent neutron diffraction results of Thiessen and Narten. The computed densities and potential energies are in reasonable accord with experiment except for the original BF model, which yields an 18% overestimate of the density and poor structural results. The TIPS2 and TIP4P potentials yield oxygen–oxygen partial structure functions in good agreement with the neutron diffraction results. The accord with the experimental OH and HH partial structure functions is poorer; however, the computed results for these functions are similar for all the potential functions. Consequently, the discrepancy may be due to the correction terms needed in processing the neutron data or to an effect uniformly neglected in the computations. Comparisons are also made for self-diffusion coefficients obtained from molecular dynamics simulations. Overall, the SPC, ST2, TIPS2, and TIP4P models give reasonable structural and thermodynamic descriptions of liquid water and they should be useful in simulations of aqueous solutions. The simplicity of the SPC, TIPS2, and TIP4P functions is also attractive from a computational standpoint.","container-title":"The Journal of Chemical Physics","DOI":"10.1063/1.445869","ISSN":"0021-9606, 1089-7690","issue":"2","language":"en","page":"926-935","source":"DOI.org (Crossref)","title":"Comparison of simple potential functions for simulating liquid water","volume":"79","author":[{"family":"Jorgensen","given":"William L."},{"family":"Chandrasekhar","given":"Jayaraman"},{"family":"Madura","given":"Jeffry D."},{"family":"Impey","given":"Roger W."},{"family":"Klein","given":"Michael L."}],"issued":{"date-parts":[["1983",7,15]]}}}],"schema":"https://github.com/citation-style-language/schema/raw/master/csl-citation.json"} </w:instrText>
      </w:r>
      <w:r w:rsidR="00D55337" w:rsidRPr="00847863">
        <w:fldChar w:fldCharType="separate"/>
      </w:r>
      <w:r w:rsidR="00D55337" w:rsidRPr="00847863">
        <w:t>(9)</w:t>
      </w:r>
      <w:r w:rsidR="00D55337" w:rsidRPr="00847863">
        <w:fldChar w:fldCharType="end"/>
      </w:r>
      <w:r w:rsidRPr="00847863">
        <w:t xml:space="preserve">. Each protein atom was at least at </w:t>
      </w:r>
      <w:proofErr w:type="gramStart"/>
      <w:r w:rsidRPr="00847863">
        <w:t>a distance of 1.1</w:t>
      </w:r>
      <w:proofErr w:type="gramEnd"/>
      <w:r w:rsidRPr="00847863">
        <w:t xml:space="preserve"> nm from the box borders. The system was then minimized with the steepest descent algorithm. Next, a relaxation of water molecules and thermalization of the system was run in NVT and NPT environments each for 0.1 ns at 2 fs time-step. The temperature was kept constant at 300 K with the v-rescale algorithm </w:t>
      </w:r>
      <w:r w:rsidR="00D55337" w:rsidRPr="00847863">
        <w:fldChar w:fldCharType="begin"/>
      </w:r>
      <w:r w:rsidR="00D55337" w:rsidRPr="00847863">
        <w:instrText xml:space="preserve"> ADDIN ZOTERO_ITEM CSL_CITATION {"citationID":"1u3NxPuV","properties":{"formattedCitation":"(10)","plainCitation":"(10)","noteIndex":0},"citationItems":[{"id":145,"uris":["http://zotero.org/users/local/gclwJsKs/items/2LDP5BSV"],"itemData":{"id":145,"type":"article-journal","abstract":"The authors present a new molecular dynamics algorithm for sampling the canonical distribution. In this approach the velocities of all the particles are rescaled by a properly chosen random factor. The algorithm is formally justified and it is shown that, in spite of its stochastic nature, a quantity can still be defined that remains constant during the evolution. In numerical applications this quantity can be used to measure the accuracy of the sampling. The authors illustrate the properties of this new method on Lennard-Jones and TIP4P water models in the solid and liquid phases. Its performance is excellent and largely independent of the thermostat parameter also with regard to the dynamic properties.","container-title":"The Journal of Chemical Physics","DOI":"10.1063/1.2408420","ISSN":"0021-9606, 1089-7690","issue":"1","language":"en","page":"014101","source":"DOI.org (Crossref)","title":"Canonical sampling through velocity rescaling","volume":"126","author":[{"family":"Bussi","given":"Giovanni"},{"family":"Donadio","given":"Davide"},{"family":"Parrinello","given":"Michele"}],"issued":{"date-parts":[["2007",1,7]]}}}],"schema":"https://github.com/citation-style-language/schema/raw/master/csl-citation.json"} </w:instrText>
      </w:r>
      <w:r w:rsidR="00D55337" w:rsidRPr="00847863">
        <w:fldChar w:fldCharType="separate"/>
      </w:r>
      <w:r w:rsidR="00D55337" w:rsidRPr="00847863">
        <w:t>(10)</w:t>
      </w:r>
      <w:r w:rsidR="00D55337" w:rsidRPr="00847863">
        <w:fldChar w:fldCharType="end"/>
      </w:r>
      <w:r w:rsidRPr="00847863">
        <w:t xml:space="preserve">; the final pressure was fixed at 1 bar with the Parrinello-Rahman algorithm </w:t>
      </w:r>
      <w:r w:rsidR="00D55337" w:rsidRPr="00847863">
        <w:fldChar w:fldCharType="begin"/>
      </w:r>
      <w:r w:rsidR="00D55337" w:rsidRPr="00847863">
        <w:instrText xml:space="preserve"> ADDIN ZOTERO_ITEM CSL_CITATION {"citationID":"nIcmKbkX","properties":{"formattedCitation":"(11)","plainCitation":"(11)","noteIndex":0},"citationItems":[{"id":147,"uris":["http://zotero.org/users/local/gclwJsKs/items/FH9BIZFB"],"itemData":{"id":147,"type":"article-journal","container-title":"Physical Review Letters","DOI":"10.1103/PhysRevLett.45.1196","ISSN":"0031-9007","issue":"14","journalAbbreviation":"Phys. Rev. Lett.","language":"en","license":"http://link.aps.org/licenses/aps-default-license","page":"1196-1199","source":"DOI.org (Crossref)","title":"Crystal Structure and Pair Potentials: A Molecular-Dynamics Study","title-short":"Crystal Structure and Pair Potentials","volume":"45","author":[{"family":"Parrinello","given":"M."},{"family":"Rahman","given":"A."}],"issued":{"date-parts":[["1980",10,6]]}}}],"schema":"https://github.com/citation-style-language/schema/raw/master/csl-citation.json"} </w:instrText>
      </w:r>
      <w:r w:rsidR="00D55337" w:rsidRPr="00847863">
        <w:fldChar w:fldCharType="separate"/>
      </w:r>
      <w:r w:rsidR="00D55337" w:rsidRPr="00847863">
        <w:t>(11)</w:t>
      </w:r>
      <w:r w:rsidR="00D55337" w:rsidRPr="00847863">
        <w:fldChar w:fldCharType="end"/>
      </w:r>
      <w:r w:rsidRPr="00847863">
        <w:t xml:space="preserve">. LINCS algorithm </w:t>
      </w:r>
      <w:r w:rsidR="00D55337" w:rsidRPr="00847863">
        <w:fldChar w:fldCharType="begin"/>
      </w:r>
      <w:r w:rsidR="00D55337" w:rsidRPr="00847863">
        <w:instrText xml:space="preserve"> ADDIN ZOTERO_ITEM CSL_CITATION {"citationID":"3WNTKHHx","properties":{"formattedCitation":"(12)","plainCitation":"(12)","noteIndex":0},"citationItems":[{"id":152,"uris":["http://zotero.org/users/local/gclwJsKs/items/84A2HGC2"],"itemData":{"id":152,"type":"article-journal","container-title":"Journal of Computational Chemistry","DOI":"10.1002/(SICI)1096-987X(199709)18:12&lt;1463::AID-JCC4&gt;3.0.CO;2-H","ISSN":"0192-8651, 1096-987X","issue":"12","journalAbbreviation":"J. Comput. Chem.","language":"en","license":"http://doi.wiley.com/10.1002/tdm_license_1.1","page":"1463-1472","source":"DOI.org (Crossref)","title":"LINCS: A linear constraint solver for molecular simulations","title-short":"LINCS","volume":"18","author":[{"family":"Hess","given":"Berk"},{"family":"Bekker","given":"Henk"},{"family":"Berendsen","given":"Herman J. C."},{"family":"Fraaije","given":"Johannes G. E. M."}],"issued":{"date-parts":[["1997",9]]}}}],"schema":"https://github.com/citation-style-language/schema/raw/master/csl-citation.json"} </w:instrText>
      </w:r>
      <w:r w:rsidR="00D55337" w:rsidRPr="00847863">
        <w:fldChar w:fldCharType="separate"/>
      </w:r>
      <w:r w:rsidR="00D55337" w:rsidRPr="00847863">
        <w:t>(12)</w:t>
      </w:r>
      <w:r w:rsidR="00D55337" w:rsidRPr="00847863">
        <w:fldChar w:fldCharType="end"/>
      </w:r>
      <w:r w:rsidRPr="00847863">
        <w:t xml:space="preserve">was used to constrain h-bonds. A cut-off of 12  ̊A was imposed to evaluate short-range non-bonded interactions and the Particle Mesh Ewald method </w:t>
      </w:r>
      <w:r w:rsidR="00D55337" w:rsidRPr="00847863">
        <w:fldChar w:fldCharType="begin"/>
      </w:r>
      <w:r w:rsidR="00D55337" w:rsidRPr="00847863">
        <w:instrText xml:space="preserve"> ADDIN ZOTERO_ITEM CSL_CITATION {"citationID":"HBYYWTJ3","properties":{"formattedCitation":"(13)","plainCitation":"(13)","noteIndex":0},"citationItems":[{"id":155,"uris":["http://zotero.org/users/local/gclwJsKs/items/AF76LFU4"],"itemData":{"id":155,"type":"article-journal","container-title":"Journal of the American Chemical Society","DOI":"10.1021/ja00119a045","ISSN":"0002-7863, 1520-5126","issue":"14","journalAbbreviation":"J. Am. Chem. Soc.","language":"en","page":"4193-4194","source":"DOI.org (Crossref)","title":"Molecular Dynamics Simulations on Solvated Biomolecular Systems: The Particle Mesh Ewald Method Leads to Stable Trajectories of DNA, RNA, and Proteins","title-short":"Molecular Dynamics Simulations on Solvated Biomolecular Systems","volume":"117","author":[{"family":"Cheatham","given":"T. E. Iii"},{"family":"Miller","given":"J. L."},{"family":"Fox","given":"T."},{"family":"Darden","given":"T. A."},{"family":"Kollman","given":"P. A."}],"issued":{"date-parts":[["1995",4]]}}}],"schema":"https://github.com/citation-style-language/schema/raw/master/csl-citation.json"} </w:instrText>
      </w:r>
      <w:r w:rsidR="00D55337" w:rsidRPr="00847863">
        <w:fldChar w:fldCharType="separate"/>
      </w:r>
      <w:r w:rsidR="00D55337" w:rsidRPr="00847863">
        <w:t>(13)</w:t>
      </w:r>
      <w:r w:rsidR="00D55337" w:rsidRPr="00847863">
        <w:fldChar w:fldCharType="end"/>
      </w:r>
      <w:r w:rsidRPr="00847863">
        <w:t xml:space="preserve"> for the long-range electrostatic interactions. Finally, we performed one microsecond of molecular dynamics for each molecular system with a time step of 2 fs, saving configurations every 2 ps.  On each frame of the trajectory (for a total of 1000 snapshots per simulation), we use the DMS method </w:t>
      </w:r>
      <w:r w:rsidR="00D55337" w:rsidRPr="00847863">
        <w:fldChar w:fldCharType="begin"/>
      </w:r>
      <w:r w:rsidR="00D55337" w:rsidRPr="00847863">
        <w:instrText xml:space="preserve"> ADDIN ZOTERO_ITEM CSL_CITATION {"citationID":"MFucmW1k","properties":{"formattedCitation":"(14)","plainCitation":"(14)","noteIndex":0},"citationItems":[{"id":138,"uris":["http://zotero.org/users/local/gclwJsKs/items/K7WY9G6U"],"itemData":{"id":138,"type":"article-journal","container-title":"Annual Review of Biophysics and Bioengineering","DOI":"10.1146/annurev.bb.06.060177.001055","ISSN":"0084-6589","issue":"1","journalAbbreviation":"Annu. Rev. Biophys. Bioeng.","language":"en","page":"151-176","source":"DOI.org (Crossref)","title":"AREAS, VOLUMES, PACKING, AND PROTEIN STRUCTURE","volume":"6","author":[{"family":"Richards","given":"Frederic M."}],"issued":{"date-parts":[["1977",6]]}}}],"schema":"https://github.com/citation-style-language/schema/raw/master/csl-citation.json"} </w:instrText>
      </w:r>
      <w:r w:rsidR="00D55337" w:rsidRPr="00847863">
        <w:fldChar w:fldCharType="separate"/>
      </w:r>
      <w:r w:rsidR="00D55337" w:rsidRPr="00847863">
        <w:t>(14)</w:t>
      </w:r>
      <w:r w:rsidR="00D55337" w:rsidRPr="00847863">
        <w:fldChar w:fldCharType="end"/>
      </w:r>
      <w:r w:rsidRPr="00847863">
        <w:t>to compute the solvent-accessible surface, using a density of 5 points per Å and a water probe radius of 1.4 Å.</w:t>
      </w:r>
    </w:p>
    <w:p w14:paraId="23F6F172" w14:textId="77777777" w:rsidR="00537259" w:rsidRPr="00847863" w:rsidRDefault="00847863">
      <w:pPr>
        <w:spacing w:before="240" w:after="240" w:line="480" w:lineRule="auto"/>
        <w:jc w:val="both"/>
        <w:rPr>
          <w:b/>
          <w:sz w:val="26"/>
          <w:szCs w:val="26"/>
        </w:rPr>
      </w:pPr>
      <w:r w:rsidRPr="00847863">
        <w:rPr>
          <w:b/>
          <w:sz w:val="26"/>
          <w:szCs w:val="26"/>
        </w:rPr>
        <w:t>Retinal neuron differentiation from human iPSC.</w:t>
      </w:r>
    </w:p>
    <w:p w14:paraId="3E6F4742" w14:textId="515D6DF1" w:rsidR="00537259" w:rsidRDefault="00847863" w:rsidP="00847863">
      <w:pPr>
        <w:spacing w:after="0" w:line="276" w:lineRule="auto"/>
        <w:jc w:val="both"/>
      </w:pPr>
      <w:r w:rsidRPr="00847863">
        <w:t xml:space="preserve">Human iPSC (SIGi001-A, </w:t>
      </w:r>
      <w:proofErr w:type="spellStart"/>
      <w:r w:rsidRPr="00847863">
        <w:t>EBiSC</w:t>
      </w:r>
      <w:proofErr w:type="spellEnd"/>
      <w:r w:rsidRPr="00847863">
        <w:t xml:space="preserve">/Sigma) were differentiated into retinal neurons following a multi-step protocol </w:t>
      </w:r>
      <w:r w:rsidR="00D55337" w:rsidRPr="00847863">
        <w:fldChar w:fldCharType="begin"/>
      </w:r>
      <w:r w:rsidR="00D55337" w:rsidRPr="00847863">
        <w:instrText xml:space="preserve"> ADDIN ZOTERO_ITEM CSL_CITATION {"citationID":"C7r0mtz3","properties":{"formattedCitation":"(15)","plainCitation":"(15)","noteIndex":0},"citationItems":[{"id":262,"uris":["http://zotero.org/users/local/gclwJsKs/items/VVMVALEJ"],"itemData":{"id":262,"type":"article-journal","abstract":"Abstract\n            Human pluripotent stem cells have the potential to promote biological studies and accelerate drug discovery efforts by making possible direct experimentation on a variety of human cell types of interest. However, stem cell cultures are generally heterogeneous and efficient differentiation and purification protocols are often lacking. Here, we describe the generation of clustered regularly-interspaced short palindromic repeats(CRISPR)-Cas9 engineered reporter knock-in embryonic stem cell lines in which tdTomato and a unique cell-surface protein, THY1.2, are expressed under the control of the retinal ganglion cell (RGC)-enriched gene BRN3B. Using these reporter cell lines, we greatly improved adherent stem cell differentiation to the RGC lineage by optimizing a novel combination of small molecules and established an anti-THY1.2-based protocol that allows for large-scale RGC immunopurification. RNA-sequencing confirmed the similarity of the stem cell-derived RGCs to their endogenous human counterparts. Additionally, we developed an in vitro axonal injury model suitable for studying signaling pathways and mechanisms of human RGC cell death and for high-throughput screening for neuroprotective compounds. Using this system in combination with RNAi-based knockdown, we show that knockdown of dual leucine kinase (DLK) promotes survival of human RGCs, expanding to the human system prior reports that DLK inhibition is neuroprotective for murine RGCs. These improvements will facilitate the development and use of large-scale experimental paradigms that require numbers of pure RGCs that were not previously obtainable.","container-title":"Stem Cells Translational Medicine","DOI":"10.1002/sctm.17-0059","ISSN":"2157-6564, 2157-6580","issue":"11","language":"en","license":"http://creativecommons.org/licenses/by-nc-nd/4.0/","page":"1972-1986","source":"DOI.org (Crossref)","title":"Enhanced Stem Cell Differentiation and Immunopurification of Genome Engineered Human Retinal Ganglion Cells","volume":"6","author":[{"family":"Sluch","given":"Valentin M."},{"family":"Chamling","given":"Xitiz"},{"family":"Liu","given":"Melissa M."},{"family":"Berlinicke","given":"Cynthia A."},{"family":"Cheng","given":"Jie"},{"family":"Mitchell","given":"Katherine L."},{"family":"Welsbie","given":"Derek S."},{"family":"Zack","given":"Donald J."}],"issued":{"date-parts":[["2017",11,1]]}}}],"schema":"https://github.com/citation-style-language/schema/raw/master/csl-citation.json"} </w:instrText>
      </w:r>
      <w:r w:rsidR="00D55337" w:rsidRPr="00847863">
        <w:fldChar w:fldCharType="separate"/>
      </w:r>
      <w:r w:rsidR="00D55337" w:rsidRPr="00847863">
        <w:t>(15)</w:t>
      </w:r>
      <w:r w:rsidR="00D55337" w:rsidRPr="00847863">
        <w:fldChar w:fldCharType="end"/>
      </w:r>
      <w:r w:rsidRPr="00847863">
        <w:t xml:space="preserve">, </w:t>
      </w:r>
      <w:r w:rsidR="00D55337" w:rsidRPr="00847863">
        <w:fldChar w:fldCharType="begin"/>
      </w:r>
      <w:r w:rsidR="00D55337" w:rsidRPr="00847863">
        <w:instrText xml:space="preserve"> ADDIN ZOTERO_ITEM CSL_CITATION {"citationID":"IzVIX96g","properties":{"formattedCitation":"(16)","plainCitation":"(16)","noteIndex":0},"citationItems":[{"id":126,"uris":["http://zotero.org/users/local/gclwJsKs/items/2R9M528R"],"itemData":{"id":126,"type":"article-journal","abstract":"Abstract\n            Many human neural or neurodegenerative diseases strongly affect the ocular and retinal environment showing peculiar alterations which can be employed as specific disease biomarkers. The noninvasive optical accessibility of the retina makes the ocular investigation a potentially competitive strategy for screening, thus the development of retinal biomarkers is rapidly growing. Nevertheless, a tool to study and image biomarkers or biological samples in a human-like eye environment is still missing. Here we report on a modular and versatile eye model designed to host biological samples, such as retinal cultures differentiated from human induced pluripotent stem cells and ex-vivo retinal tissue, but also suited to host any kind of retinal biomarkers. We characterized the imaging performance of this eye model on standard biomarkers such as Alexa Fluor 532 and Alexa Fluor 594.","container-title":"Scientific Reports","DOI":"10.1038/s41598-023-37806-6","ISSN":"2045-2322","issue":"1","journalAbbreviation":"Sci Rep","language":"en","page":"10983","source":"DOI.org (Crossref)","title":"A model eye for fluorescent characterization of retinal cultures and tissues","volume":"13","author":[{"family":"Ferraro","given":"G."},{"family":"Gigante","given":"Y."},{"family":"Pitea","given":"M."},{"family":"Mautone","given":"L."},{"family":"Ruocco","given":"G."},{"family":"Di Angelantonio","given":"S."},{"family":"Leonetti","given":"M."}],"issued":{"date-parts":[["2023",7,6]]}}}],"schema":"https://github.com/citation-style-language/schema/raw/master/csl-citation.json"} </w:instrText>
      </w:r>
      <w:r w:rsidR="00D55337" w:rsidRPr="00847863">
        <w:fldChar w:fldCharType="separate"/>
      </w:r>
      <w:r w:rsidR="00D55337" w:rsidRPr="00847863">
        <w:t>(16)</w:t>
      </w:r>
      <w:r w:rsidR="00D55337" w:rsidRPr="00847863">
        <w:fldChar w:fldCharType="end"/>
      </w:r>
      <w:r w:rsidRPr="00847863">
        <w:t xml:space="preserve">with minor modifications. Human iPSCs were maintained in </w:t>
      </w:r>
      <w:proofErr w:type="spellStart"/>
      <w:r w:rsidRPr="00847863">
        <w:t>mTeSR</w:t>
      </w:r>
      <w:proofErr w:type="spellEnd"/>
      <w:r w:rsidRPr="00847863">
        <w:t xml:space="preserve"> Plus and dissociated into single cells with </w:t>
      </w:r>
      <w:proofErr w:type="spellStart"/>
      <w:r w:rsidRPr="00847863">
        <w:t>Accutase</w:t>
      </w:r>
      <w:proofErr w:type="spellEnd"/>
      <w:r w:rsidRPr="00847863">
        <w:t xml:space="preserve"> (Gibco) once the colonies reached ~70%</w:t>
      </w:r>
      <w:r w:rsidRPr="00847863">
        <w:t xml:space="preserve"> confluency. Dissociated </w:t>
      </w:r>
      <w:proofErr w:type="spellStart"/>
      <w:r w:rsidRPr="00847863">
        <w:t>hiPSC</w:t>
      </w:r>
      <w:proofErr w:type="spellEnd"/>
      <w:r w:rsidRPr="00847863">
        <w:t xml:space="preserve"> were plated on growth factor reduced Matrigel coated dishes (Corning, dilution 1:100) at a density of 1000 cells/mm</w:t>
      </w:r>
      <w:r w:rsidRPr="00847863">
        <w:rPr>
          <w:vertAlign w:val="superscript"/>
        </w:rPr>
        <w:t>2</w:t>
      </w:r>
      <w:r w:rsidRPr="00847863">
        <w:t xml:space="preserve">. This day was defined as day in vitro (DIV) -2. The next day, the medium was completely replaced with N2B27 medium (50% DMEM/F12, Sigma; 50% Neurobasal, </w:t>
      </w:r>
      <w:proofErr w:type="spellStart"/>
      <w:r w:rsidRPr="00847863">
        <w:t>ThermoFisher</w:t>
      </w:r>
      <w:proofErr w:type="spellEnd"/>
      <w:r w:rsidRPr="00847863">
        <w:t xml:space="preserve">; 1% </w:t>
      </w:r>
      <w:proofErr w:type="spellStart"/>
      <w:r w:rsidRPr="00847863">
        <w:t>GlutaMAX</w:t>
      </w:r>
      <w:proofErr w:type="spellEnd"/>
      <w:r w:rsidRPr="00847863">
        <w:t xml:space="preserve"> Supplement, Gibco; 0.1% Pen-Str</w:t>
      </w:r>
      <w:r w:rsidRPr="00847863">
        <w:t xml:space="preserve">ep, Sigma; 1% NEEA, Gibco; 1% N2 Supplement, </w:t>
      </w:r>
      <w:proofErr w:type="spellStart"/>
      <w:r w:rsidRPr="00847863">
        <w:t>ThermoFisher</w:t>
      </w:r>
      <w:proofErr w:type="spellEnd"/>
      <w:r w:rsidRPr="00847863">
        <w:t>; 2% B27 Supplement w/</w:t>
      </w:r>
      <w:proofErr w:type="spellStart"/>
      <w:r w:rsidRPr="00847863">
        <w:t>oA</w:t>
      </w:r>
      <w:proofErr w:type="spellEnd"/>
      <w:r w:rsidRPr="00847863">
        <w:t xml:space="preserve">, Gibco) and refreshed daily. Reaching day 20 of differentiation (DIV 20), cells were dissociated with </w:t>
      </w:r>
      <w:proofErr w:type="spellStart"/>
      <w:r w:rsidRPr="00847863">
        <w:t>Accutase</w:t>
      </w:r>
      <w:proofErr w:type="spellEnd"/>
      <w:r w:rsidRPr="00847863">
        <w:t xml:space="preserve"> and plated onto PLO/Laminin coated cover glasses circle (0.12 mm, </w:t>
      </w:r>
      <w:proofErr w:type="spellStart"/>
      <w:r w:rsidRPr="00847863">
        <w:t>ThorLab</w:t>
      </w:r>
      <w:proofErr w:type="spellEnd"/>
      <w:r w:rsidRPr="00847863">
        <w:t xml:space="preserve">) at a density of 100.000 cells per glass until DIV 30. A different mix of small molecules was added to the medium at specific intervals: 1 µM Dorsomorphin (Sigma) and 2.5 µM IDE2 (Sigma) from DIV 0 to DIV 6; 10 mM Nicotinamide (Sigma) until DIV </w:t>
      </w:r>
      <w:r w:rsidRPr="00847863">
        <w:t>10; 25 µM Forskolin (Sigma) from DIV 0 to DIV 30; 10 µM DAPT (</w:t>
      </w:r>
      <w:proofErr w:type="spellStart"/>
      <w:r w:rsidRPr="00847863">
        <w:t>Prepotech</w:t>
      </w:r>
      <w:proofErr w:type="spellEnd"/>
      <w:r w:rsidRPr="00847863">
        <w:t>) from DIV 20 to DIV 30.</w:t>
      </w:r>
      <w:r w:rsidRPr="00847863">
        <w:rPr>
          <w:highlight w:val="white"/>
        </w:rPr>
        <w:t xml:space="preserve"> For subsequent analysis, at least three different experiments (biological replicates) were conducted.</w:t>
      </w:r>
      <w:r w:rsidRPr="00847863">
        <w:t xml:space="preserve"> DIV 30 retinal cultures were treated with 5 µM of K18-Heparin (4 and 7 days) and K18-NaTPP (4 and 7 days) for 24 hours at 37°C in 5% CO</w:t>
      </w:r>
      <w:r w:rsidRPr="00847863">
        <w:rPr>
          <w:vertAlign w:val="subscript"/>
        </w:rPr>
        <w:t>2</w:t>
      </w:r>
      <w:r w:rsidRPr="00847863">
        <w:t>. The effects of fibrils were evaluated 24 hours and two weeks after K18 treatment.</w:t>
      </w:r>
    </w:p>
    <w:p w14:paraId="713D68A9" w14:textId="77777777" w:rsidR="00847863" w:rsidRDefault="00847863" w:rsidP="00847863">
      <w:pPr>
        <w:spacing w:after="0" w:line="276" w:lineRule="auto"/>
        <w:jc w:val="both"/>
      </w:pPr>
    </w:p>
    <w:p w14:paraId="4E0D7615" w14:textId="77777777" w:rsidR="00537259" w:rsidRPr="00847863" w:rsidRDefault="00847863">
      <w:pPr>
        <w:spacing w:after="0" w:line="276" w:lineRule="auto"/>
        <w:jc w:val="both"/>
        <w:rPr>
          <w:b/>
          <w:sz w:val="26"/>
          <w:szCs w:val="26"/>
        </w:rPr>
      </w:pPr>
      <w:r w:rsidRPr="00847863">
        <w:rPr>
          <w:b/>
          <w:sz w:val="26"/>
          <w:szCs w:val="26"/>
        </w:rPr>
        <w:t xml:space="preserve">Assessment of rhodamine-labeled K18 fibrils into cultured iPSC-derived retinal neurons. </w:t>
      </w:r>
    </w:p>
    <w:p w14:paraId="7577EBED" w14:textId="373969B9" w:rsidR="00782298" w:rsidRPr="00847863" w:rsidRDefault="00847863">
      <w:pPr>
        <w:spacing w:before="240" w:after="240" w:line="276" w:lineRule="auto"/>
        <w:jc w:val="both"/>
      </w:pPr>
      <w:r w:rsidRPr="00847863">
        <w:rPr>
          <w:highlight w:val="white"/>
        </w:rPr>
        <w:lastRenderedPageBreak/>
        <w:t xml:space="preserve">Rhodamine-labeled K18 samples were prepared by reducing 100 µM K18 in PBS using TCEP 1 mM, for 10 minutes at 55°C. Subsequently, 500 µM of the fluorescent dye tetramethylrhodamine-5-maleimide (Sigma-Aldrich) was added to the protein. The solution was kept for 2 hours at room temperature. To remove all the unbounded rhodamine, the solution was purified using a </w:t>
      </w:r>
      <w:proofErr w:type="spellStart"/>
      <w:r w:rsidRPr="00847863">
        <w:rPr>
          <w:highlight w:val="white"/>
        </w:rPr>
        <w:t>MidiTrap</w:t>
      </w:r>
      <w:proofErr w:type="spellEnd"/>
      <w:r w:rsidRPr="00847863">
        <w:rPr>
          <w:highlight w:val="white"/>
        </w:rPr>
        <w:t xml:space="preserve"> G25</w:t>
      </w:r>
      <w:r w:rsidRPr="00847863">
        <w:rPr>
          <w:color w:val="FF0000"/>
          <w:highlight w:val="white"/>
        </w:rPr>
        <w:t xml:space="preserve"> </w:t>
      </w:r>
      <w:r w:rsidRPr="00847863">
        <w:rPr>
          <w:highlight w:val="white"/>
        </w:rPr>
        <w:t>desalting column equilibrated in PBS (</w:t>
      </w:r>
      <w:proofErr w:type="spellStart"/>
      <w:r w:rsidRPr="00847863">
        <w:rPr>
          <w:highlight w:val="white"/>
        </w:rPr>
        <w:t>Cytiva</w:t>
      </w:r>
      <w:proofErr w:type="spellEnd"/>
      <w:r w:rsidRPr="00847863">
        <w:rPr>
          <w:highlight w:val="white"/>
        </w:rPr>
        <w:t>). UV-</w:t>
      </w:r>
      <w:proofErr w:type="gramStart"/>
      <w:r w:rsidRPr="00847863">
        <w:rPr>
          <w:highlight w:val="white"/>
        </w:rPr>
        <w:t>Vis</w:t>
      </w:r>
      <w:proofErr w:type="gramEnd"/>
      <w:r w:rsidRPr="00847863">
        <w:rPr>
          <w:highlight w:val="white"/>
        </w:rPr>
        <w:t xml:space="preserve"> measurements measured the labeling percentage using a molar excitation coefficient </w:t>
      </w:r>
      <w:r w:rsidRPr="00847863">
        <w:t>ε</w:t>
      </w:r>
      <w:r w:rsidRPr="00847863">
        <w:rPr>
          <w:vertAlign w:val="subscript"/>
        </w:rPr>
        <w:t xml:space="preserve">555nm </w:t>
      </w:r>
      <w:r w:rsidRPr="00847863">
        <w:t>= 90 000 M</w:t>
      </w:r>
      <w:r w:rsidRPr="00847863">
        <w:rPr>
          <w:vertAlign w:val="superscript"/>
        </w:rPr>
        <w:t>-1</w:t>
      </w:r>
      <w:r w:rsidRPr="00847863">
        <w:t>cm</w:t>
      </w:r>
      <w:r w:rsidRPr="00847863">
        <w:rPr>
          <w:vertAlign w:val="superscript"/>
        </w:rPr>
        <w:t>-1</w:t>
      </w:r>
      <w:r w:rsidRPr="00847863">
        <w:t xml:space="preserve">. The final </w:t>
      </w:r>
      <w:r w:rsidRPr="00847863">
        <w:rPr>
          <w:highlight w:val="white"/>
        </w:rPr>
        <w:t xml:space="preserve">rhodamine </w:t>
      </w:r>
      <w:r w:rsidRPr="00847863">
        <w:t xml:space="preserve">labeling percentage was 65 ± 5%. Rhodamine-labeled K18 was incubated at 37°C in heparin 100 µM or </w:t>
      </w:r>
      <w:proofErr w:type="spellStart"/>
      <w:r w:rsidRPr="00847863">
        <w:t>NaTPP</w:t>
      </w:r>
      <w:proofErr w:type="spellEnd"/>
      <w:r w:rsidRPr="00847863">
        <w:t xml:space="preserve"> 100 µM. Fibrillation of the fluorescent-labeled K18 was confirmed by STEM microscopy. DIV 30 retinal neurons were treated with the rhodamine-labeled fibrillated K18 samples for 1 hour, 24 hours, and 48 hours. Neurons were stained with a staining solution of Fluorescein Diacetate (FDA, 8 </w:t>
      </w:r>
      <w:proofErr w:type="gramStart"/>
      <w:r w:rsidRPr="00847863">
        <w:t>µg</w:t>
      </w:r>
      <w:proofErr w:type="gramEnd"/>
      <w:r w:rsidRPr="00847863">
        <w:t>/ml, Sigma) and Hoechst (3µg/ml, Sigma). Live images were acquired with an air objective 20X/NA 0.42 (Olympus) on an O</w:t>
      </w:r>
      <w:r w:rsidRPr="00847863">
        <w:t>lympus iX73 microscope equipped with an X-Light V3 spinning disc head (</w:t>
      </w:r>
      <w:proofErr w:type="spellStart"/>
      <w:r w:rsidRPr="00847863">
        <w:t>CrestOptics</w:t>
      </w:r>
      <w:proofErr w:type="spellEnd"/>
      <w:r w:rsidRPr="00847863">
        <w:t xml:space="preserve">), an LDI laser illuminator (89 North), a PRIME </w:t>
      </w:r>
      <w:proofErr w:type="spellStart"/>
      <w:r w:rsidRPr="00847863">
        <w:t>cMOS</w:t>
      </w:r>
      <w:proofErr w:type="spellEnd"/>
      <w:r w:rsidRPr="00847863">
        <w:t xml:space="preserve"> camera and a </w:t>
      </w:r>
      <w:proofErr w:type="spellStart"/>
      <w:r w:rsidRPr="00847863">
        <w:t>MetaMorph</w:t>
      </w:r>
      <w:proofErr w:type="spellEnd"/>
      <w:r w:rsidRPr="00847863">
        <w:t xml:space="preserve"> software (Molecular Devices). Images were stacked in maximum Z-projections and the assessment of K18-uptake was performed using the ImageJ software (https://imagej.net/ij). To quantify the amount of cellular internalization of K18, FDA signals were used to delineate neurons, and the area covered by rhodamine-fluorescent spots inside neurons was reporte</w:t>
      </w:r>
      <w:r w:rsidRPr="00847863">
        <w:t>d</w:t>
      </w:r>
      <w:r w:rsidRPr="00847863">
        <w:rPr>
          <w:color w:val="211E1E"/>
        </w:rPr>
        <w:t xml:space="preserve">. </w:t>
      </w:r>
      <w:r w:rsidRPr="00847863">
        <w:t>The analysis comprised two main steps</w:t>
      </w:r>
      <w:proofErr w:type="gramStart"/>
      <w:r w:rsidRPr="00847863">
        <w:t>:  in</w:t>
      </w:r>
      <w:proofErr w:type="gramEnd"/>
      <w:r w:rsidRPr="00847863">
        <w:t xml:space="preserve"> the initial step, a mask was generated based on the FDA signal using a global thresholding method; then, the mask was transferred to the rhodamine channel and the area covered by rhodamine in neurons was calculated and normalized on the total number of cells in the field of view (FOV).</w:t>
      </w:r>
    </w:p>
    <w:p w14:paraId="3099ACE2" w14:textId="77777777" w:rsidR="00782298" w:rsidRDefault="00782298">
      <w:pPr>
        <w:rPr>
          <w:sz w:val="24"/>
          <w:szCs w:val="24"/>
        </w:rPr>
      </w:pPr>
      <w:r>
        <w:rPr>
          <w:sz w:val="24"/>
          <w:szCs w:val="24"/>
        </w:rPr>
        <w:br w:type="page"/>
      </w:r>
    </w:p>
    <w:p w14:paraId="4710DD11" w14:textId="77777777" w:rsidR="00537259" w:rsidRPr="00D55337" w:rsidRDefault="00847863">
      <w:pPr>
        <w:pBdr>
          <w:top w:val="nil"/>
          <w:left w:val="nil"/>
          <w:bottom w:val="nil"/>
          <w:right w:val="nil"/>
          <w:between w:val="nil"/>
        </w:pBdr>
        <w:tabs>
          <w:tab w:val="left" w:pos="264"/>
        </w:tabs>
        <w:spacing w:after="240" w:line="240" w:lineRule="auto"/>
        <w:ind w:left="264" w:hanging="264"/>
        <w:rPr>
          <w:b/>
          <w:color w:val="000000"/>
          <w:sz w:val="24"/>
          <w:szCs w:val="24"/>
          <w:lang w:val="it-IT"/>
        </w:rPr>
      </w:pPr>
      <w:proofErr w:type="spellStart"/>
      <w:r w:rsidRPr="00D55337">
        <w:rPr>
          <w:b/>
          <w:sz w:val="24"/>
          <w:szCs w:val="24"/>
          <w:lang w:val="it-IT"/>
        </w:rPr>
        <w:lastRenderedPageBreak/>
        <w:t>References</w:t>
      </w:r>
      <w:proofErr w:type="spellEnd"/>
      <w:r w:rsidRPr="00D55337">
        <w:rPr>
          <w:b/>
          <w:sz w:val="24"/>
          <w:szCs w:val="24"/>
          <w:lang w:val="it-IT"/>
        </w:rPr>
        <w:t xml:space="preserve"> </w:t>
      </w:r>
    </w:p>
    <w:p w14:paraId="5E50D3F2" w14:textId="2F17A2B5" w:rsidR="00D55337" w:rsidRPr="00D55337" w:rsidRDefault="00D55337" w:rsidP="00D55337">
      <w:pPr>
        <w:pStyle w:val="Bibliografia"/>
      </w:pPr>
      <w:r>
        <w:rPr>
          <w:b/>
          <w:color w:val="000000"/>
        </w:rPr>
        <w:fldChar w:fldCharType="begin"/>
      </w:r>
      <w:r w:rsidRPr="00D55337">
        <w:rPr>
          <w:b/>
          <w:color w:val="000000"/>
          <w:lang w:val="it-IT"/>
        </w:rPr>
        <w:instrText xml:space="preserve"> ADDIN ZOTERO_BIBL {"uncited":[],"omitted":[],"custom":[]} CSL_BIBLIOGRAPHY </w:instrText>
      </w:r>
      <w:r>
        <w:rPr>
          <w:b/>
          <w:color w:val="000000"/>
        </w:rPr>
        <w:fldChar w:fldCharType="separate"/>
      </w:r>
      <w:r w:rsidRPr="00D55337">
        <w:rPr>
          <w:lang w:val="it-IT"/>
        </w:rPr>
        <w:t>1.</w:t>
      </w:r>
      <w:r w:rsidRPr="00D55337">
        <w:rPr>
          <w:lang w:val="it-IT"/>
        </w:rPr>
        <w:tab/>
        <w:t xml:space="preserve">Piacentini R, Li Puma DD, Mainardi M, Lazzarino G, Tavazzi B, Arancio O, et al. </w:t>
      </w:r>
      <w:r w:rsidRPr="00D55337">
        <w:t xml:space="preserve">Reduced gliotransmitter release from astrocytes mediates tau‐induced synaptic dysfunction in cultured hippocampal neurons. Glia. 2017;65(8):1302–16. </w:t>
      </w:r>
    </w:p>
    <w:p w14:paraId="5DDFC9FF" w14:textId="592B42DE" w:rsidR="00D55337" w:rsidRPr="00D55337" w:rsidRDefault="00D55337" w:rsidP="00D55337">
      <w:pPr>
        <w:pStyle w:val="Bibliografia"/>
      </w:pPr>
      <w:r w:rsidRPr="00D55337">
        <w:t>2.</w:t>
      </w:r>
      <w:r w:rsidRPr="00D55337">
        <w:tab/>
        <w:t xml:space="preserve">Usenovic M, Niroomand S, Drolet RE, Yao L, Gaspar RC, Hatcher NG, et al. Internalized Tau Oligomers Cause Neurodegeneration by Inducing Accumulation of Pathogenic Tau in Human Neurons Derived from Induced Pluripotent Stem Cells. J Neurosci. 2015;35(42):14234–50. </w:t>
      </w:r>
    </w:p>
    <w:p w14:paraId="6D5528BB" w14:textId="324CA335" w:rsidR="00D55337" w:rsidRPr="00D55337" w:rsidRDefault="00D55337" w:rsidP="00D55337">
      <w:pPr>
        <w:pStyle w:val="Bibliografia"/>
        <w:rPr>
          <w:lang w:val="it-IT"/>
        </w:rPr>
      </w:pPr>
      <w:r w:rsidRPr="00D55337">
        <w:t>3.</w:t>
      </w:r>
      <w:r w:rsidRPr="00D55337">
        <w:tab/>
        <w:t xml:space="preserve">Karikari TK, Nagel DA, Grainger A, Clarke-Bland C, Hill EJ, Moffat KG. Preparation of stable tau oligomers for cellular and biochemical studies. </w:t>
      </w:r>
      <w:r w:rsidRPr="00D55337">
        <w:rPr>
          <w:lang w:val="it-IT"/>
        </w:rPr>
        <w:t xml:space="preserve">Analytical Biochemistry.  2019; 566:67–74. </w:t>
      </w:r>
    </w:p>
    <w:p w14:paraId="770879C1" w14:textId="411E06D0" w:rsidR="00D55337" w:rsidRPr="00D55337" w:rsidRDefault="00D55337" w:rsidP="00D55337">
      <w:pPr>
        <w:pStyle w:val="Bibliografia"/>
      </w:pPr>
      <w:r w:rsidRPr="00D55337">
        <w:rPr>
          <w:lang w:val="it-IT"/>
        </w:rPr>
        <w:t>4.</w:t>
      </w:r>
      <w:r w:rsidRPr="00D55337">
        <w:rPr>
          <w:lang w:val="it-IT"/>
        </w:rPr>
        <w:tab/>
        <w:t xml:space="preserve">Soloperto A, Quaglio D, Baiocco P, Romeo I, Mori M, Ardini M, et al. </w:t>
      </w:r>
      <w:r w:rsidRPr="00D55337">
        <w:t xml:space="preserve">Rational design and synthesis of a novel BODIPY-based probe for selective imaging of tau tangles in human iPSC-derived cortical neurons. Sci Rep. 2022;12(1):5257. </w:t>
      </w:r>
    </w:p>
    <w:p w14:paraId="1B33C9A4" w14:textId="37F83C3E" w:rsidR="00D55337" w:rsidRPr="00D55337" w:rsidRDefault="00D55337" w:rsidP="00D55337">
      <w:pPr>
        <w:pStyle w:val="Bibliografia"/>
        <w:rPr>
          <w:lang w:val="it-IT"/>
        </w:rPr>
      </w:pPr>
      <w:r w:rsidRPr="00D55337">
        <w:t>5.</w:t>
      </w:r>
      <w:r w:rsidRPr="00D55337">
        <w:tab/>
        <w:t xml:space="preserve">Capocefalo A, Bizien T, Sennato S, Ghofraniha N, Bordi F, Brasili F. Responsivity of Fractal Nanoparticle Assemblies to Multiple Stimuli: Structural Insights on the Modulation of the Optical Properties. </w:t>
      </w:r>
      <w:r w:rsidRPr="00D55337">
        <w:rPr>
          <w:lang w:val="it-IT"/>
        </w:rPr>
        <w:t xml:space="preserve">Nanomaterials. 2022;12(9):1529. </w:t>
      </w:r>
    </w:p>
    <w:p w14:paraId="2CCB5B0B" w14:textId="492BF8D4" w:rsidR="00D55337" w:rsidRPr="00D55337" w:rsidRDefault="00D55337" w:rsidP="00D55337">
      <w:pPr>
        <w:pStyle w:val="Bibliografia"/>
        <w:rPr>
          <w:lang w:val="it-IT"/>
        </w:rPr>
      </w:pPr>
      <w:r w:rsidRPr="00D55337">
        <w:rPr>
          <w:lang w:val="it-IT"/>
        </w:rPr>
        <w:t>6.</w:t>
      </w:r>
      <w:r w:rsidRPr="00D55337">
        <w:rPr>
          <w:lang w:val="it-IT"/>
        </w:rPr>
        <w:tab/>
        <w:t>Salajkova Z, Barolo L, Baiocco P, Ruzicka B, Mura F, Lorenzo FD, et al. Optical signature of retinal tau fibrillation [Internet]. 2024 [citato 2024]. Disponibile su: https://www.researchsquare.com/article/rs-4571431/v1</w:t>
      </w:r>
    </w:p>
    <w:p w14:paraId="10706CE5" w14:textId="36F5C2D8" w:rsidR="00D55337" w:rsidRPr="00D55337" w:rsidRDefault="00D55337" w:rsidP="00D55337">
      <w:pPr>
        <w:pStyle w:val="Bibliografia"/>
      </w:pPr>
      <w:r w:rsidRPr="00D55337">
        <w:rPr>
          <w:lang w:val="it-IT"/>
        </w:rPr>
        <w:t>7.</w:t>
      </w:r>
      <w:r w:rsidRPr="00D55337">
        <w:rPr>
          <w:lang w:val="it-IT"/>
        </w:rPr>
        <w:tab/>
        <w:t xml:space="preserve">Barolo L, Gigante Y, Mautone L, Ghirga S, Soloperto A, Giorgi A, et al. </w:t>
      </w:r>
      <w:r w:rsidRPr="00D55337">
        <w:t xml:space="preserve">Ferritin nanocage-enabled detection of pathological tau in living human retinal cells. Sci Rep. 2024;14(1):11533. </w:t>
      </w:r>
    </w:p>
    <w:p w14:paraId="440E5400" w14:textId="0D40AC8B" w:rsidR="00D55337" w:rsidRPr="00D55337" w:rsidRDefault="00D55337" w:rsidP="00D55337">
      <w:pPr>
        <w:pStyle w:val="Bibliografia"/>
      </w:pPr>
      <w:r w:rsidRPr="00D55337">
        <w:t>8.</w:t>
      </w:r>
      <w:r w:rsidRPr="00D55337">
        <w:tab/>
        <w:t xml:space="preserve">Montgomery KM, Carroll EC, Thwin AC, Quddus AY, Hodges P, Southworth DR, et al. Chemical Features of Polyanions Modulate Tau Aggregation and Conformational States. J Am Chem Soc. 22;145(7):3926–36. </w:t>
      </w:r>
    </w:p>
    <w:p w14:paraId="74B9506D" w14:textId="0527FC55" w:rsidR="00D55337" w:rsidRPr="00D55337" w:rsidRDefault="00D55337" w:rsidP="00D55337">
      <w:pPr>
        <w:pStyle w:val="Bibliografia"/>
      </w:pPr>
      <w:r w:rsidRPr="00D55337">
        <w:t>9.</w:t>
      </w:r>
      <w:r w:rsidRPr="00D55337">
        <w:tab/>
        <w:t xml:space="preserve">Jorgensen WL, Chandrasekhar J, Madura JD, Impey RW, Klein ML. Comparison of simple potential functions for simulating liquid water. The Journal of Chemical Physics. 1983;79(2):926–35. </w:t>
      </w:r>
    </w:p>
    <w:p w14:paraId="044F49EE" w14:textId="6A080651" w:rsidR="00D55337" w:rsidRPr="00D55337" w:rsidRDefault="00D55337" w:rsidP="00D55337">
      <w:pPr>
        <w:pStyle w:val="Bibliografia"/>
      </w:pPr>
      <w:r w:rsidRPr="00D55337">
        <w:t>10.</w:t>
      </w:r>
      <w:r w:rsidRPr="00D55337">
        <w:tab/>
        <w:t xml:space="preserve">Bussi G, Donadio D, Parrinello M. Canonical sampling through velocity rescaling. The Journal of Chemical Physics. 2007;126(1):014101. </w:t>
      </w:r>
    </w:p>
    <w:p w14:paraId="70D3EB53" w14:textId="50E74F88" w:rsidR="00D55337" w:rsidRPr="00D55337" w:rsidRDefault="00D55337" w:rsidP="00D55337">
      <w:pPr>
        <w:pStyle w:val="Bibliografia"/>
      </w:pPr>
      <w:r w:rsidRPr="00D55337">
        <w:t>11.</w:t>
      </w:r>
      <w:r w:rsidRPr="00D55337">
        <w:tab/>
        <w:t xml:space="preserve">Parrinello M, Rahman A. Crystal Structure and Pair Potentials: A Molecular-Dynamics Study. Phys Rev Lett. 1980;45(14):1196–9. </w:t>
      </w:r>
    </w:p>
    <w:p w14:paraId="0CF7D461" w14:textId="54E2E2C8" w:rsidR="00D55337" w:rsidRPr="00D55337" w:rsidRDefault="00D55337" w:rsidP="00D55337">
      <w:pPr>
        <w:pStyle w:val="Bibliografia"/>
      </w:pPr>
      <w:r w:rsidRPr="00D55337">
        <w:t>12.</w:t>
      </w:r>
      <w:r w:rsidRPr="00D55337">
        <w:tab/>
        <w:t xml:space="preserve">Hess B, Bekker H, Berendsen HJC, Fraaije JGEM. LINCS: A linear constraint solver for molecular simulations. J Comput Chem. 1997;18(12):1463–72. </w:t>
      </w:r>
    </w:p>
    <w:p w14:paraId="1A9B3F38" w14:textId="1F22EC59" w:rsidR="00D55337" w:rsidRPr="00D55337" w:rsidRDefault="00D55337" w:rsidP="00D55337">
      <w:pPr>
        <w:pStyle w:val="Bibliografia"/>
      </w:pPr>
      <w:r w:rsidRPr="00D55337">
        <w:t>13.</w:t>
      </w:r>
      <w:r w:rsidRPr="00D55337">
        <w:tab/>
        <w:t xml:space="preserve">Cheatham TEI, Miller JL, Fox T, Darden TA, Kollman PA. Molecular Dynamics Simulations on Solvated Biomolecular Systems: The Particle Mesh Ewald Method Leads to Stable Trajectories of DNA, RNA, and Proteins. J Am Chem Soc. 1995;117(14):4193–4. </w:t>
      </w:r>
    </w:p>
    <w:p w14:paraId="50D500BD" w14:textId="19D1D612" w:rsidR="00D55337" w:rsidRPr="00D55337" w:rsidRDefault="00D55337" w:rsidP="00D55337">
      <w:pPr>
        <w:pStyle w:val="Bibliografia"/>
      </w:pPr>
      <w:r w:rsidRPr="00D55337">
        <w:lastRenderedPageBreak/>
        <w:t>14.</w:t>
      </w:r>
      <w:r w:rsidRPr="00D55337">
        <w:tab/>
        <w:t xml:space="preserve">Richards FM. AREAS, VOLUMES, PACKING, AND PROTEIN STRUCTURE. Annu Rev Biophys Bioeng. 1977;6(1):151–76. </w:t>
      </w:r>
    </w:p>
    <w:p w14:paraId="168A31BF" w14:textId="220E2BCF" w:rsidR="00D55337" w:rsidRPr="00D55337" w:rsidRDefault="00D55337" w:rsidP="00D55337">
      <w:pPr>
        <w:pStyle w:val="Bibliografia"/>
        <w:rPr>
          <w:lang w:val="it-IT"/>
        </w:rPr>
      </w:pPr>
      <w:r w:rsidRPr="00D55337">
        <w:t>15.</w:t>
      </w:r>
      <w:r w:rsidRPr="00D55337">
        <w:tab/>
        <w:t xml:space="preserve">Sluch VM, Chamling X, Liu MM, Berlinicke CA, Cheng J, Mitchell KL, et al. Enhanced Stem Cell Differentiation and Immunopurification of Genome Engineered Human Retinal Ganglion Cells. </w:t>
      </w:r>
      <w:r w:rsidRPr="00D55337">
        <w:rPr>
          <w:lang w:val="it-IT"/>
        </w:rPr>
        <w:t xml:space="preserve">Stem Cells Translational Medicine. 2017;6(11):1972–86. </w:t>
      </w:r>
    </w:p>
    <w:p w14:paraId="4EA3331E" w14:textId="14B371AE" w:rsidR="00D55337" w:rsidRPr="00D55337" w:rsidRDefault="00D55337" w:rsidP="00D55337">
      <w:pPr>
        <w:pStyle w:val="Bibliografia"/>
      </w:pPr>
      <w:r w:rsidRPr="00D55337">
        <w:rPr>
          <w:lang w:val="it-IT"/>
        </w:rPr>
        <w:t>16.</w:t>
      </w:r>
      <w:r w:rsidRPr="00D55337">
        <w:rPr>
          <w:lang w:val="it-IT"/>
        </w:rPr>
        <w:tab/>
        <w:t xml:space="preserve">Ferraro G, Gigante Y, Pitea M, Mautone L, Ruocco G, Di Angelantonio S, et al. </w:t>
      </w:r>
      <w:r w:rsidRPr="00D55337">
        <w:t xml:space="preserve">A model eye for fluorescent characterization of retinal cultures and tissues. Sci Rep. 2023;13(1):10983. </w:t>
      </w:r>
    </w:p>
    <w:p w14:paraId="6CFDA5F2" w14:textId="3F050707" w:rsidR="00537259" w:rsidRPr="00D55337" w:rsidRDefault="00D55337">
      <w:pPr>
        <w:pBdr>
          <w:top w:val="nil"/>
          <w:left w:val="nil"/>
          <w:bottom w:val="nil"/>
          <w:right w:val="nil"/>
          <w:between w:val="nil"/>
        </w:pBdr>
        <w:tabs>
          <w:tab w:val="left" w:pos="264"/>
        </w:tabs>
        <w:spacing w:after="240" w:line="240" w:lineRule="auto"/>
        <w:ind w:left="264" w:hanging="264"/>
        <w:rPr>
          <w:b/>
          <w:color w:val="000000"/>
        </w:rPr>
      </w:pPr>
      <w:r>
        <w:rPr>
          <w:b/>
          <w:color w:val="000000"/>
        </w:rPr>
        <w:fldChar w:fldCharType="end"/>
      </w:r>
    </w:p>
    <w:p w14:paraId="59D42DC6" w14:textId="77777777" w:rsidR="00537259" w:rsidRPr="00D55337" w:rsidRDefault="00537259">
      <w:pPr>
        <w:pBdr>
          <w:top w:val="nil"/>
          <w:left w:val="nil"/>
          <w:bottom w:val="nil"/>
          <w:right w:val="nil"/>
          <w:between w:val="nil"/>
        </w:pBdr>
        <w:tabs>
          <w:tab w:val="left" w:pos="264"/>
        </w:tabs>
        <w:spacing w:after="240" w:line="240" w:lineRule="auto"/>
        <w:ind w:left="264" w:hanging="264"/>
        <w:rPr>
          <w:b/>
          <w:color w:val="000000"/>
        </w:rPr>
      </w:pPr>
    </w:p>
    <w:p w14:paraId="3BECDE52" w14:textId="77777777" w:rsidR="00537259" w:rsidRPr="00D55337" w:rsidRDefault="00537259">
      <w:pPr>
        <w:pBdr>
          <w:top w:val="nil"/>
          <w:left w:val="nil"/>
          <w:bottom w:val="nil"/>
          <w:right w:val="nil"/>
          <w:between w:val="nil"/>
        </w:pBdr>
        <w:tabs>
          <w:tab w:val="left" w:pos="264"/>
        </w:tabs>
        <w:spacing w:after="240" w:line="240" w:lineRule="auto"/>
        <w:ind w:left="264" w:hanging="264"/>
        <w:rPr>
          <w:b/>
          <w:color w:val="000000"/>
        </w:rPr>
      </w:pPr>
    </w:p>
    <w:p w14:paraId="0919BE05" w14:textId="77777777" w:rsidR="00537259" w:rsidRPr="00D55337" w:rsidRDefault="00537259">
      <w:pPr>
        <w:pBdr>
          <w:top w:val="nil"/>
          <w:left w:val="nil"/>
          <w:bottom w:val="nil"/>
          <w:right w:val="nil"/>
          <w:between w:val="nil"/>
        </w:pBdr>
        <w:tabs>
          <w:tab w:val="left" w:pos="264"/>
        </w:tabs>
        <w:spacing w:after="240" w:line="240" w:lineRule="auto"/>
        <w:ind w:left="264" w:hanging="264"/>
        <w:rPr>
          <w:b/>
          <w:color w:val="000000"/>
        </w:rPr>
      </w:pPr>
    </w:p>
    <w:p w14:paraId="3B9B6B35" w14:textId="77777777" w:rsidR="00537259" w:rsidRPr="00D55337" w:rsidRDefault="00537259">
      <w:pPr>
        <w:pBdr>
          <w:top w:val="nil"/>
          <w:left w:val="nil"/>
          <w:bottom w:val="nil"/>
          <w:right w:val="nil"/>
          <w:between w:val="nil"/>
        </w:pBdr>
        <w:tabs>
          <w:tab w:val="left" w:pos="264"/>
        </w:tabs>
        <w:spacing w:after="240" w:line="240" w:lineRule="auto"/>
        <w:ind w:left="264" w:hanging="264"/>
        <w:rPr>
          <w:b/>
          <w:color w:val="000000"/>
        </w:rPr>
      </w:pPr>
    </w:p>
    <w:p w14:paraId="546C9C3B" w14:textId="77777777" w:rsidR="00537259" w:rsidRPr="00D55337" w:rsidRDefault="00537259">
      <w:pPr>
        <w:jc w:val="both"/>
        <w:rPr>
          <w:b/>
        </w:rPr>
      </w:pPr>
    </w:p>
    <w:sectPr w:rsidR="00537259" w:rsidRPr="00D55337">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0B7F72" w14:textId="77777777" w:rsidR="00F92694" w:rsidRDefault="00F92694">
      <w:pPr>
        <w:spacing w:after="0" w:line="240" w:lineRule="auto"/>
      </w:pPr>
      <w:r>
        <w:separator/>
      </w:r>
    </w:p>
  </w:endnote>
  <w:endnote w:type="continuationSeparator" w:id="0">
    <w:p w14:paraId="6B4B017D" w14:textId="77777777" w:rsidR="00F92694" w:rsidRDefault="00F926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embedRegular r:id="rId1" w:fontKey="{B6E8A858-57DD-4628-9458-96AC2C04AB14}"/>
    <w:embedBold r:id="rId2" w:fontKey="{7C495610-8B31-4965-911A-975950D30638}"/>
    <w:embedItalic r:id="rId3" w:fontKey="{8732F3FA-71F3-46F5-AD9F-1CC3A6F4E90D}"/>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4AC8BAF5-B21C-4263-AFC3-1E8E17E6420C}"/>
    <w:embedItalic r:id="rId5" w:fontKey="{4973A384-F3ED-4329-BA77-EC302A34FDF1}"/>
  </w:font>
  <w:font w:name="Segoe UI">
    <w:panose1 w:val="020B0502040204020203"/>
    <w:charset w:val="00"/>
    <w:family w:val="swiss"/>
    <w:pitch w:val="variable"/>
    <w:sig w:usb0="E4002EFF" w:usb1="C000E47F" w:usb2="00000009" w:usb3="00000000" w:csb0="000001FF" w:csb1="00000000"/>
    <w:embedRegular r:id="rId6" w:fontKey="{C957B87D-7D02-4929-83C7-64A454FD1D97}"/>
  </w:font>
  <w:font w:name="Roboto">
    <w:charset w:val="00"/>
    <w:family w:val="auto"/>
    <w:pitch w:val="variable"/>
    <w:sig w:usb0="E0000AFF" w:usb1="5000217F" w:usb2="00000021" w:usb3="00000000" w:csb0="0000019F" w:csb1="00000000"/>
    <w:embedRegular r:id="rId7" w:fontKey="{B97C5840-6E65-409B-97B6-1544CA90D8C7}"/>
    <w:embedBold r:id="rId8" w:fontKey="{5AB88C0D-DED3-465F-9FE0-AACD357CD176}"/>
  </w:font>
  <w:font w:name="Calibri Light">
    <w:panose1 w:val="020F0302020204030204"/>
    <w:charset w:val="00"/>
    <w:family w:val="swiss"/>
    <w:pitch w:val="variable"/>
    <w:sig w:usb0="E4002EFF" w:usb1="C200247B" w:usb2="00000009" w:usb3="00000000" w:csb0="000001FF" w:csb1="00000000"/>
    <w:embedRegular r:id="rId9" w:fontKey="{A8648C7B-E6E4-48D5-AAAD-6EDA491AFE3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C72D12" w14:textId="77777777" w:rsidR="00537259" w:rsidRDefault="00847863">
    <w:pPr>
      <w:pBdr>
        <w:top w:val="nil"/>
        <w:left w:val="nil"/>
        <w:bottom w:val="nil"/>
        <w:right w:val="nil"/>
        <w:between w:val="nil"/>
      </w:pBdr>
      <w:tabs>
        <w:tab w:val="center" w:pos="4819"/>
        <w:tab w:val="right" w:pos="96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B18C204" w14:textId="77777777" w:rsidR="00537259" w:rsidRDefault="00537259">
    <w:pPr>
      <w:pBdr>
        <w:top w:val="nil"/>
        <w:left w:val="nil"/>
        <w:bottom w:val="nil"/>
        <w:right w:val="nil"/>
        <w:between w:val="nil"/>
      </w:pBdr>
      <w:tabs>
        <w:tab w:val="center" w:pos="4819"/>
        <w:tab w:val="right" w:pos="9638"/>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4506A5" w14:textId="77777777" w:rsidR="00537259" w:rsidRDefault="00847863">
    <w:pPr>
      <w:pBdr>
        <w:top w:val="nil"/>
        <w:left w:val="nil"/>
        <w:bottom w:val="nil"/>
        <w:right w:val="nil"/>
        <w:between w:val="nil"/>
      </w:pBdr>
      <w:tabs>
        <w:tab w:val="center" w:pos="4819"/>
        <w:tab w:val="right" w:pos="96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D55337">
      <w:rPr>
        <w:noProof/>
        <w:color w:val="000000"/>
      </w:rPr>
      <w:t>1</w:t>
    </w:r>
    <w:r>
      <w:rPr>
        <w:color w:val="000000"/>
      </w:rPr>
      <w:fldChar w:fldCharType="end"/>
    </w:r>
  </w:p>
  <w:p w14:paraId="071C9ECB" w14:textId="77777777" w:rsidR="00537259" w:rsidRDefault="00537259">
    <w:pPr>
      <w:pBdr>
        <w:top w:val="nil"/>
        <w:left w:val="nil"/>
        <w:bottom w:val="nil"/>
        <w:right w:val="nil"/>
        <w:between w:val="nil"/>
      </w:pBdr>
      <w:tabs>
        <w:tab w:val="center" w:pos="4819"/>
        <w:tab w:val="right" w:pos="9638"/>
      </w:tabs>
      <w:spacing w:after="0" w:line="240" w:lineRule="auto"/>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62D979" w14:textId="77777777" w:rsidR="00537259" w:rsidRDefault="00537259">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7425EA" w14:textId="77777777" w:rsidR="00F92694" w:rsidRDefault="00F92694">
      <w:pPr>
        <w:spacing w:after="0" w:line="240" w:lineRule="auto"/>
      </w:pPr>
      <w:r>
        <w:separator/>
      </w:r>
    </w:p>
  </w:footnote>
  <w:footnote w:type="continuationSeparator" w:id="0">
    <w:p w14:paraId="6BDC051D" w14:textId="77777777" w:rsidR="00F92694" w:rsidRDefault="00F926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00B5B6" w14:textId="77777777" w:rsidR="00537259" w:rsidRDefault="00537259">
    <w:pPr>
      <w:pBdr>
        <w:top w:val="nil"/>
        <w:left w:val="nil"/>
        <w:bottom w:val="nil"/>
        <w:right w:val="nil"/>
        <w:between w:val="nil"/>
      </w:pBdr>
      <w:tabs>
        <w:tab w:val="center" w:pos="4819"/>
        <w:tab w:val="right" w:pos="96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29A439" w14:textId="77777777" w:rsidR="00537259" w:rsidRDefault="00537259">
    <w:pPr>
      <w:pBdr>
        <w:top w:val="nil"/>
        <w:left w:val="nil"/>
        <w:bottom w:val="nil"/>
        <w:right w:val="nil"/>
        <w:between w:val="nil"/>
      </w:pBdr>
      <w:tabs>
        <w:tab w:val="center" w:pos="4819"/>
        <w:tab w:val="right" w:pos="9638"/>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3E2FF6" w14:textId="77777777" w:rsidR="00537259" w:rsidRDefault="00537259">
    <w:pPr>
      <w:pBdr>
        <w:top w:val="nil"/>
        <w:left w:val="nil"/>
        <w:bottom w:val="nil"/>
        <w:right w:val="nil"/>
        <w:between w:val="nil"/>
      </w:pBdr>
      <w:tabs>
        <w:tab w:val="center" w:pos="4819"/>
        <w:tab w:val="right" w:pos="9638"/>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zUxsTQyNTe1MDU2MTNQ0lEKTi0uzszPAykwrAUAhyLsvywAAAA="/>
  </w:docVars>
  <w:rsids>
    <w:rsidRoot w:val="00537259"/>
    <w:rsid w:val="0051692B"/>
    <w:rsid w:val="00537259"/>
    <w:rsid w:val="00782298"/>
    <w:rsid w:val="00847863"/>
    <w:rsid w:val="00D02DE4"/>
    <w:rsid w:val="00D55337"/>
    <w:rsid w:val="00F926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F8CCD"/>
  <w15:docId w15:val="{6EC4952E-0C97-4BE4-AE28-6F7063F1F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paragraph" w:styleId="Paragrafoelenco">
    <w:name w:val="List Paragraph"/>
    <w:basedOn w:val="Normale"/>
    <w:uiPriority w:val="34"/>
    <w:qFormat/>
    <w:rsid w:val="00C6098F"/>
    <w:pPr>
      <w:ind w:left="720"/>
      <w:contextualSpacing/>
    </w:pPr>
  </w:style>
  <w:style w:type="character" w:styleId="Rimandocommento">
    <w:name w:val="annotation reference"/>
    <w:basedOn w:val="Carpredefinitoparagrafo"/>
    <w:uiPriority w:val="99"/>
    <w:semiHidden/>
    <w:unhideWhenUsed/>
    <w:rsid w:val="00EE7D03"/>
    <w:rPr>
      <w:sz w:val="16"/>
      <w:szCs w:val="16"/>
    </w:rPr>
  </w:style>
  <w:style w:type="paragraph" w:styleId="Testocommento">
    <w:name w:val="annotation text"/>
    <w:basedOn w:val="Normale"/>
    <w:link w:val="TestocommentoCarattere"/>
    <w:uiPriority w:val="99"/>
    <w:unhideWhenUsed/>
    <w:rsid w:val="00EE7D03"/>
    <w:pPr>
      <w:spacing w:line="240" w:lineRule="auto"/>
    </w:pPr>
    <w:rPr>
      <w:sz w:val="20"/>
      <w:szCs w:val="20"/>
    </w:rPr>
  </w:style>
  <w:style w:type="character" w:customStyle="1" w:styleId="TestocommentoCarattere">
    <w:name w:val="Testo commento Carattere"/>
    <w:basedOn w:val="Carpredefinitoparagrafo"/>
    <w:link w:val="Testocommento"/>
    <w:uiPriority w:val="99"/>
    <w:rsid w:val="00EE7D03"/>
    <w:rPr>
      <w:sz w:val="20"/>
      <w:szCs w:val="20"/>
    </w:rPr>
  </w:style>
  <w:style w:type="paragraph" w:styleId="Soggettocommento">
    <w:name w:val="annotation subject"/>
    <w:basedOn w:val="Testocommento"/>
    <w:next w:val="Testocommento"/>
    <w:link w:val="SoggettocommentoCarattere"/>
    <w:uiPriority w:val="99"/>
    <w:semiHidden/>
    <w:unhideWhenUsed/>
    <w:rsid w:val="00EE7D03"/>
    <w:rPr>
      <w:b/>
      <w:bCs/>
    </w:rPr>
  </w:style>
  <w:style w:type="character" w:customStyle="1" w:styleId="SoggettocommentoCarattere">
    <w:name w:val="Soggetto commento Carattere"/>
    <w:basedOn w:val="TestocommentoCarattere"/>
    <w:link w:val="Soggettocommento"/>
    <w:uiPriority w:val="99"/>
    <w:semiHidden/>
    <w:rsid w:val="00EE7D03"/>
    <w:rPr>
      <w:b/>
      <w:bCs/>
      <w:sz w:val="20"/>
      <w:szCs w:val="20"/>
    </w:rPr>
  </w:style>
  <w:style w:type="paragraph" w:customStyle="1" w:styleId="paragraph">
    <w:name w:val="paragraph"/>
    <w:basedOn w:val="Normale"/>
    <w:rsid w:val="006945BD"/>
    <w:pPr>
      <w:spacing w:before="100" w:beforeAutospacing="1" w:after="100" w:afterAutospacing="1" w:line="240" w:lineRule="auto"/>
    </w:pPr>
    <w:rPr>
      <w:rFonts w:ascii="Times New Roman" w:eastAsia="Times New Roman" w:hAnsi="Times New Roman" w:cs="Times New Roman"/>
      <w:sz w:val="24"/>
      <w:szCs w:val="24"/>
      <w:lang w:val="it-IT"/>
    </w:rPr>
  </w:style>
  <w:style w:type="character" w:customStyle="1" w:styleId="normaltextrun">
    <w:name w:val="normaltextrun"/>
    <w:basedOn w:val="Carpredefinitoparagrafo"/>
    <w:rsid w:val="006945BD"/>
  </w:style>
  <w:style w:type="character" w:styleId="Collegamentoipertestuale">
    <w:name w:val="Hyperlink"/>
    <w:basedOn w:val="Carpredefinitoparagrafo"/>
    <w:uiPriority w:val="99"/>
    <w:unhideWhenUsed/>
    <w:rsid w:val="00A36920"/>
    <w:rPr>
      <w:color w:val="0563C1" w:themeColor="hyperlink"/>
      <w:u w:val="single"/>
    </w:rPr>
  </w:style>
  <w:style w:type="character" w:styleId="Menzionenonrisolta">
    <w:name w:val="Unresolved Mention"/>
    <w:basedOn w:val="Carpredefinitoparagrafo"/>
    <w:uiPriority w:val="99"/>
    <w:semiHidden/>
    <w:unhideWhenUsed/>
    <w:rsid w:val="00A36920"/>
    <w:rPr>
      <w:color w:val="605E5C"/>
      <w:shd w:val="clear" w:color="auto" w:fill="E1DFDD"/>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customStyle="1" w:styleId="cf01">
    <w:name w:val="cf01"/>
    <w:basedOn w:val="Carpredefinitoparagrafo"/>
    <w:rsid w:val="007A5569"/>
    <w:rPr>
      <w:rFonts w:ascii="Segoe UI" w:hAnsi="Segoe UI" w:cs="Segoe UI" w:hint="default"/>
      <w:sz w:val="18"/>
      <w:szCs w:val="18"/>
    </w:rPr>
  </w:style>
  <w:style w:type="paragraph" w:styleId="Intestazione">
    <w:name w:val="header"/>
    <w:basedOn w:val="Normale"/>
    <w:link w:val="IntestazioneCarattere"/>
    <w:uiPriority w:val="99"/>
    <w:unhideWhenUsed/>
    <w:rsid w:val="00E4383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383F"/>
  </w:style>
  <w:style w:type="paragraph" w:styleId="Pidipagina">
    <w:name w:val="footer"/>
    <w:basedOn w:val="Normale"/>
    <w:link w:val="PidipaginaCarattere"/>
    <w:uiPriority w:val="99"/>
    <w:unhideWhenUsed/>
    <w:rsid w:val="00E4383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383F"/>
  </w:style>
  <w:style w:type="paragraph" w:styleId="NormaleWeb">
    <w:name w:val="Normal (Web)"/>
    <w:basedOn w:val="Normale"/>
    <w:uiPriority w:val="99"/>
    <w:semiHidden/>
    <w:unhideWhenUsed/>
    <w:rsid w:val="00761FA7"/>
    <w:pPr>
      <w:spacing w:before="100" w:beforeAutospacing="1" w:after="100" w:afterAutospacing="1" w:line="240" w:lineRule="auto"/>
    </w:pPr>
    <w:rPr>
      <w:rFonts w:ascii="Times New Roman" w:eastAsia="Times New Roman" w:hAnsi="Times New Roman" w:cs="Times New Roman"/>
      <w:sz w:val="24"/>
      <w:szCs w:val="24"/>
      <w:lang w:val="it-IT"/>
    </w:rPr>
  </w:style>
  <w:style w:type="paragraph" w:styleId="Bibliografia">
    <w:name w:val="Bibliography"/>
    <w:basedOn w:val="Normale"/>
    <w:next w:val="Normale"/>
    <w:uiPriority w:val="37"/>
    <w:unhideWhenUsed/>
    <w:rsid w:val="00F5390B"/>
    <w:pPr>
      <w:tabs>
        <w:tab w:val="left" w:pos="264"/>
      </w:tabs>
      <w:spacing w:after="240" w:line="240" w:lineRule="auto"/>
      <w:ind w:left="264" w:hanging="264"/>
    </w:pPr>
  </w:style>
  <w:style w:type="character" w:styleId="Numeropagina">
    <w:name w:val="page number"/>
    <w:basedOn w:val="Carpredefinitoparagrafo"/>
    <w:uiPriority w:val="99"/>
    <w:semiHidden/>
    <w:unhideWhenUsed/>
    <w:rsid w:val="009123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silvia.diangelantonio@uniroma1.it" TargetMode="Externa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Z2AI3iqt7eWvOnZiO+2/L+S2Iw==">CgMxLjA4AHIhMXptU0xUallyd05JRnRQall1VEdEc3JMaC14VFo2TGc5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11</Pages>
  <Words>7808</Words>
  <Characters>44506</Characters>
  <Application>Microsoft Office Word</Application>
  <DocSecurity>0</DocSecurity>
  <Lines>370</Lines>
  <Paragraphs>104</Paragraphs>
  <ScaleCrop>false</ScaleCrop>
  <Company>Istituto Italiano di Tecnologia</Company>
  <LinksUpToDate>false</LinksUpToDate>
  <CharactersWithSpaces>52210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Lorenzo Barolo</dc:creator>
  <cp:lastModifiedBy>Paola Baioco</cp:lastModifiedBy>
  <cp:revision>4</cp:revision>
  <dcterms:created xsi:type="dcterms:W3CDTF">2024-10-23T15:33:00Z</dcterms:created>
  <dcterms:modified xsi:type="dcterms:W3CDTF">2024-11-07T10:38:00Z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id="4c3qro7F"/&gt;&lt;style id="http://www.zotero.org/styles/vancouver" locale="it-IT" hasBibliography="1" bibliographyStyleHasBeenSet="1"/&gt;&lt;prefs&gt;&lt;pref name="fieldType" value="Field"/&gt;&lt;/prefs&gt;&lt;/data&gt;</vt:lpwstr>
  </property>
</Properties>
</file>