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AEEAA">
      <w:pPr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Supporting information</w:t>
      </w:r>
    </w:p>
    <w:p w14:paraId="282869E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5581015"/>
            <wp:effectExtent l="0" t="0" r="2540" b="6985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58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0B0E5">
      <w:pPr>
        <w:widowControl/>
        <w:rPr>
          <w:rFonts w:hint="eastAsia" w:ascii="Times New Roman" w:hAnsi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1. </w:t>
      </w:r>
      <w:r>
        <w:rPr>
          <w:rFonts w:hint="eastAsia" w:ascii="Times New Roman" w:hAnsi="Times New Roman" w:cs="Times New Roman"/>
          <w:lang w:val="en-US" w:eastAsia="zh-CN"/>
        </w:rPr>
        <w:t xml:space="preserve">(A)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The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>expression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of top 20 down-regulated miRNAs between O-BMSCs and Y-BMSCs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 xml:space="preserve"> by </w:t>
      </w:r>
      <w:r>
        <w:rPr>
          <w:rFonts w:hint="eastAsia" w:ascii="Times New Roman" w:hAnsi="Times New Roman"/>
          <w:color w:val="000000"/>
          <w:sz w:val="20"/>
          <w:szCs w:val="20"/>
          <w:lang w:eastAsia="zh-CN"/>
        </w:rPr>
        <w:t>qRT-PCR</w:t>
      </w:r>
      <w:r>
        <w:rPr>
          <w:rFonts w:hint="eastAsia" w:ascii="Times New Roman" w:hAnsi="Times New Roman"/>
          <w:color w:val="000000"/>
          <w:sz w:val="20"/>
          <w:szCs w:val="20"/>
        </w:rPr>
        <w:t>.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 xml:space="preserve"> (B-D</w:t>
      </w:r>
      <w:r>
        <w:rPr>
          <w:rFonts w:hint="eastAsia" w:ascii="Times New Roman" w:hAnsi="Times New Roman"/>
          <w:color w:val="000000"/>
          <w:sz w:val="20"/>
          <w:szCs w:val="20"/>
        </w:rPr>
        <w:t>) The expression of miR-540-3p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B</w:t>
      </w:r>
      <w:r>
        <w:rPr>
          <w:rFonts w:hint="eastAsia" w:ascii="Times New Roman" w:hAnsi="Times New Roman"/>
          <w:color w:val="000000"/>
          <w:sz w:val="20"/>
          <w:szCs w:val="20"/>
        </w:rPr>
        <w:t>), miR-376b-5p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C</w:t>
      </w:r>
      <w:r>
        <w:rPr>
          <w:rFonts w:hint="eastAsia" w:ascii="Times New Roman" w:hAnsi="Times New Roman"/>
          <w:color w:val="000000"/>
          <w:sz w:val="20"/>
          <w:szCs w:val="20"/>
        </w:rPr>
        <w:t>) and miR-434-5p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D</w:t>
      </w:r>
      <w:r>
        <w:rPr>
          <w:rFonts w:hint="eastAsia" w:ascii="Times New Roman" w:hAnsi="Times New Roman"/>
          <w:color w:val="000000"/>
          <w:sz w:val="20"/>
          <w:szCs w:val="20"/>
        </w:rPr>
        <w:t>) of O-BMSCs after miRNAs mimics transfection.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E</w:t>
      </w:r>
      <w:r>
        <w:rPr>
          <w:rFonts w:hint="eastAsia" w:ascii="Times New Roman" w:hAnsi="Times New Roman"/>
          <w:color w:val="000000"/>
          <w:sz w:val="20"/>
          <w:szCs w:val="20"/>
        </w:rPr>
        <w:t>-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L</w:t>
      </w:r>
      <w:r>
        <w:rPr>
          <w:rFonts w:hint="eastAsia" w:ascii="Times New Roman" w:hAnsi="Times New Roman"/>
          <w:color w:val="000000"/>
          <w:sz w:val="20"/>
          <w:szCs w:val="20"/>
        </w:rPr>
        <w:t>) The 7-day osteogenic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E</w:t>
      </w:r>
      <w:r>
        <w:rPr>
          <w:rFonts w:hint="eastAsia" w:ascii="Times New Roman" w:hAnsi="Times New Roman"/>
          <w:color w:val="000000"/>
          <w:sz w:val="20"/>
          <w:szCs w:val="20"/>
        </w:rPr>
        <w:t>-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H</w:t>
      </w:r>
      <w:r>
        <w:rPr>
          <w:rFonts w:hint="eastAsia" w:ascii="Times New Roman" w:hAnsi="Times New Roman"/>
          <w:color w:val="000000"/>
          <w:sz w:val="20"/>
          <w:szCs w:val="20"/>
        </w:rPr>
        <w:t>) and senescent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I</w:t>
      </w:r>
      <w:r>
        <w:rPr>
          <w:rFonts w:hint="eastAsia" w:ascii="Times New Roman" w:hAnsi="Times New Roman"/>
          <w:color w:val="000000"/>
          <w:sz w:val="20"/>
          <w:szCs w:val="20"/>
        </w:rPr>
        <w:t>-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L</w:t>
      </w:r>
      <w:r>
        <w:rPr>
          <w:rFonts w:hint="eastAsia" w:ascii="Times New Roman" w:hAnsi="Times New Roman"/>
          <w:color w:val="000000"/>
          <w:sz w:val="20"/>
          <w:szCs w:val="20"/>
        </w:rPr>
        <w:t>) genes expression of O-BMSCs after miR-540-3p, miR-376b-5p and miR-434-5p mimics transfection.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M</w:t>
      </w:r>
      <w:r>
        <w:rPr>
          <w:rFonts w:hint="eastAsia" w:ascii="Times New Roman" w:hAnsi="Times New Roman"/>
          <w:color w:val="000000"/>
          <w:sz w:val="20"/>
          <w:szCs w:val="20"/>
        </w:rPr>
        <w:t>-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N</w:t>
      </w:r>
      <w:r>
        <w:rPr>
          <w:rFonts w:hint="eastAsia" w:ascii="Times New Roman" w:hAnsi="Times New Roman"/>
          <w:color w:val="000000"/>
          <w:sz w:val="20"/>
          <w:szCs w:val="20"/>
        </w:rPr>
        <w:t>) The 3-day osteogenic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M</w:t>
      </w:r>
      <w:r>
        <w:rPr>
          <w:rFonts w:hint="eastAsia" w:ascii="Times New Roman" w:hAnsi="Times New Roman"/>
          <w:color w:val="000000"/>
          <w:sz w:val="20"/>
          <w:szCs w:val="20"/>
        </w:rPr>
        <w:t>) and senescent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N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>protein</w:t>
      </w:r>
      <w:r>
        <w:rPr>
          <w:rFonts w:hint="eastAsia" w:ascii="Times New Roman" w:hAnsi="Times New Roman"/>
          <w:color w:val="000000"/>
          <w:sz w:val="20"/>
          <w:szCs w:val="20"/>
        </w:rPr>
        <w:t>s quantitative statistics of O-BMSCs after miR-540-3p, miR-376b-5p and miR-434-5p mimics transfection.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 xml:space="preserve"> (O-R) </w:t>
      </w:r>
      <w:r>
        <w:rPr>
          <w:rFonts w:hint="eastAsia" w:ascii="Times New Roman" w:hAnsi="Times New Roman"/>
          <w:color w:val="000000"/>
          <w:sz w:val="20"/>
          <w:szCs w:val="20"/>
        </w:rPr>
        <w:t>The 7-day osteogenic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O</w:t>
      </w:r>
      <w:r>
        <w:rPr>
          <w:rFonts w:hint="eastAsia" w:ascii="Times New Roman" w:hAnsi="Times New Roman"/>
          <w:color w:val="000000"/>
          <w:sz w:val="20"/>
          <w:szCs w:val="20"/>
        </w:rPr>
        <w:t>-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>) and senescent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Q</w:t>
      </w:r>
      <w:r>
        <w:rPr>
          <w:rFonts w:hint="eastAsia" w:ascii="Times New Roman" w:hAnsi="Times New Roman"/>
          <w:color w:val="000000"/>
          <w:sz w:val="20"/>
          <w:szCs w:val="20"/>
        </w:rPr>
        <w:t>-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R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>protein</w:t>
      </w:r>
      <w:r>
        <w:rPr>
          <w:rFonts w:hint="eastAsia" w:ascii="Times New Roman" w:hAnsi="Times New Roman"/>
          <w:color w:val="000000"/>
          <w:sz w:val="20"/>
          <w:szCs w:val="20"/>
        </w:rPr>
        <w:t>s</w:t>
      </w:r>
      <w:r>
        <w:rPr>
          <w:rFonts w:ascii="Times New Roman" w:hAnsi="Times New Roman"/>
          <w:color w:val="000000"/>
          <w:sz w:val="20"/>
          <w:szCs w:val="20"/>
        </w:rPr>
        <w:t xml:space="preserve"> levels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and quantitative statistics of O-BMSCs after miR-540-3p, miR-376b-5p and miR-434-5p mimics transfection.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Data represented as mean ± SD (n=3). The significance of the data was calculated by the one-way ANOVA </w:t>
      </w:r>
      <w:r>
        <w:rPr>
          <w:rFonts w:hint="eastAsia" w:ascii="Times New Roman" w:hAnsi="Times New Roman"/>
          <w:color w:val="000000"/>
          <w:sz w:val="20"/>
          <w:szCs w:val="20"/>
        </w:rPr>
        <w:t>(*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0.05, **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0.01, ***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0.001. Scale bar</w:t>
      </w:r>
      <w:r>
        <w:rPr>
          <w:rFonts w:ascii="Times New Roman" w:hAnsi="Times New Roman"/>
          <w:color w:val="000000"/>
          <w:sz w:val="20"/>
          <w:szCs w:val="20"/>
        </w:rPr>
        <w:t>: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100 µm)</w:t>
      </w:r>
    </w:p>
    <w:p w14:paraId="2B1FA6C2">
      <w:pPr>
        <w:rPr>
          <w:rFonts w:hint="default"/>
          <w:lang w:val="en-US" w:eastAsia="zh-CN"/>
        </w:rPr>
      </w:pPr>
    </w:p>
    <w:p w14:paraId="25A3D388">
      <w:pPr>
        <w:rPr>
          <w:rFonts w:hint="default"/>
          <w:lang w:val="en-US" w:eastAsia="zh-CN"/>
        </w:rPr>
      </w:pPr>
    </w:p>
    <w:p w14:paraId="682B8AD9">
      <w:pPr>
        <w:rPr>
          <w:rFonts w:hint="default"/>
          <w:lang w:val="en-US" w:eastAsia="zh-CN"/>
        </w:rPr>
      </w:pPr>
    </w:p>
    <w:p w14:paraId="5D7EF1B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3504565"/>
            <wp:effectExtent l="0" t="0" r="12065" b="635"/>
            <wp:docPr id="2" name="图片 2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D1219">
      <w:pPr>
        <w:rPr>
          <w:rFonts w:hint="eastAsia"/>
          <w:color w:val="000000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>(</w:t>
      </w:r>
      <w:r>
        <w:rPr>
          <w:rFonts w:hint="eastAsia" w:ascii="Times-Roman" w:hAnsi="Times-Roman" w:eastAsia="宋体" w:cs="Times-Roman"/>
          <w:color w:val="000000"/>
          <w:kern w:val="0"/>
          <w:sz w:val="20"/>
          <w:szCs w:val="20"/>
          <w:lang w:val="en-US" w:eastAsia="zh-CN" w:bidi="ar"/>
        </w:rPr>
        <w:t>A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) TEM images of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Y-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and O-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>. (</w:t>
      </w:r>
      <w:r>
        <w:rPr>
          <w:rFonts w:hint="eastAsia" w:ascii="Times-Roman" w:hAnsi="Times-Roman" w:eastAsia="宋体" w:cs="Times-Roman"/>
          <w:color w:val="000000"/>
          <w:kern w:val="0"/>
          <w:sz w:val="20"/>
          <w:szCs w:val="20"/>
          <w:lang w:val="en-US" w:eastAsia="zh-CN" w:bidi="ar"/>
        </w:rPr>
        <w:t>B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>Particle size distribution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of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Y-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and O-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ascii="Times New Roman" w:hAnsi="Times New Roman"/>
          <w:color w:val="000000"/>
          <w:sz w:val="20"/>
          <w:szCs w:val="20"/>
        </w:rPr>
        <w:t xml:space="preserve"> measured by </w:t>
      </w:r>
      <w:r>
        <w:rPr>
          <w:rFonts w:hint="eastAsia" w:ascii="Times New Roman" w:hAnsi="Times New Roman"/>
          <w:color w:val="000000"/>
          <w:sz w:val="20"/>
          <w:szCs w:val="20"/>
        </w:rPr>
        <w:t>N</w:t>
      </w:r>
      <w:r>
        <w:rPr>
          <w:rFonts w:ascii="Times New Roman" w:hAnsi="Times New Roman"/>
          <w:color w:val="000000"/>
          <w:sz w:val="20"/>
          <w:szCs w:val="20"/>
        </w:rPr>
        <w:t>TA</w:t>
      </w:r>
      <w:r>
        <w:rPr>
          <w:rFonts w:hint="eastAsia" w:ascii="Times New Roman" w:hAnsi="Times New Roman"/>
          <w:color w:val="000000"/>
          <w:sz w:val="20"/>
          <w:szCs w:val="20"/>
        </w:rPr>
        <w:t>.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C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Western blot of </w:t>
      </w:r>
      <w:r>
        <w:rPr>
          <w:rFonts w:hint="eastAsia" w:ascii="Times-Roman" w:hAnsi="Times-Roman" w:eastAsia="宋体" w:cs="Times-Roman"/>
          <w:color w:val="000000"/>
          <w:kern w:val="0"/>
          <w:sz w:val="20"/>
          <w:szCs w:val="20"/>
          <w:lang w:val="en-US" w:eastAsia="zh-CN" w:bidi="ar"/>
        </w:rPr>
        <w:t>EVs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 markers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Alix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, CD63 and </w:t>
      </w:r>
      <w:r>
        <w:rPr>
          <w:rFonts w:ascii="Times New Roman" w:hAnsi="Times New Roman"/>
          <w:color w:val="000000"/>
          <w:sz w:val="20"/>
          <w:szCs w:val="20"/>
        </w:rPr>
        <w:t>CD</w:t>
      </w:r>
      <w:r>
        <w:rPr>
          <w:rFonts w:hint="eastAsia" w:ascii="Times New Roman" w:hAnsi="Times New Roman"/>
          <w:color w:val="000000"/>
          <w:sz w:val="20"/>
          <w:szCs w:val="20"/>
        </w:rPr>
        <w:t>81 in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Y-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and O-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 New Roman" w:hAnsi="Times New Roman"/>
          <w:color w:val="000000"/>
          <w:sz w:val="20"/>
          <w:szCs w:val="20"/>
        </w:rPr>
        <w:t>. (E) T</w:t>
      </w:r>
      <w:r>
        <w:rPr>
          <w:rFonts w:hint="eastAsia" w:ascii="Times New Roman" w:hAnsi="Times New Roman"/>
          <w:color w:val="000000"/>
        </w:rPr>
        <w:t xml:space="preserve">he expression of miR-540-3p, miR-376b-5p and miR-434-5p in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Y-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and O-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.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Data represented as mean ± SD (n=3). The significance of the data was calculated by the one-way ANOVA. </w:t>
      </w:r>
      <w:r>
        <w:rPr>
          <w:rFonts w:ascii="Times New Roman" w:hAnsi="Times New Roman"/>
          <w:color w:val="000000"/>
          <w:sz w:val="20"/>
          <w:szCs w:val="20"/>
        </w:rPr>
        <w:t>(</w:t>
      </w:r>
      <w:r>
        <w:rPr>
          <w:rFonts w:hint="eastAsia" w:ascii="Times New Roman" w:hAnsi="Times New Roman"/>
          <w:color w:val="000000"/>
          <w:sz w:val="20"/>
          <w:szCs w:val="20"/>
        </w:rPr>
        <w:t>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0.05, **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0.01, ***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0.001.</w:t>
      </w:r>
      <w:r>
        <w:rPr>
          <w:rFonts w:ascii="Times New Roman" w:hAnsi="Times New Roman"/>
          <w:color w:val="000000"/>
          <w:sz w:val="20"/>
          <w:szCs w:val="20"/>
        </w:rPr>
        <w:t>)</w:t>
      </w:r>
    </w:p>
    <w:p w14:paraId="6F9E1916">
      <w:pPr>
        <w:rPr>
          <w:rFonts w:hint="default"/>
          <w:lang w:val="en-US" w:eastAsia="zh-CN"/>
        </w:rPr>
      </w:pPr>
    </w:p>
    <w:p w14:paraId="066DB2CC">
      <w:pPr>
        <w:rPr>
          <w:rFonts w:hint="default"/>
          <w:lang w:val="en-US" w:eastAsia="zh-CN"/>
        </w:rPr>
      </w:pPr>
    </w:p>
    <w:p w14:paraId="3A5CC447">
      <w:pPr>
        <w:rPr>
          <w:rFonts w:hint="default"/>
          <w:lang w:val="en-US" w:eastAsia="zh-CN"/>
        </w:rPr>
      </w:pPr>
    </w:p>
    <w:p w14:paraId="5E3DDAE0">
      <w:pPr>
        <w:rPr>
          <w:rFonts w:hint="default"/>
          <w:lang w:val="en-US" w:eastAsia="zh-CN"/>
        </w:rPr>
      </w:pPr>
    </w:p>
    <w:p w14:paraId="387A8EED">
      <w:pPr>
        <w:rPr>
          <w:rFonts w:hint="default"/>
          <w:lang w:val="en-US" w:eastAsia="zh-CN"/>
        </w:rPr>
      </w:pPr>
    </w:p>
    <w:p w14:paraId="02EBDF20">
      <w:pPr>
        <w:rPr>
          <w:rFonts w:hint="default"/>
          <w:lang w:val="en-US" w:eastAsia="zh-CN"/>
        </w:rPr>
      </w:pPr>
    </w:p>
    <w:p w14:paraId="3EC1FC43">
      <w:pPr>
        <w:rPr>
          <w:rFonts w:hint="default"/>
          <w:lang w:val="en-US" w:eastAsia="zh-CN"/>
        </w:rPr>
      </w:pPr>
    </w:p>
    <w:p w14:paraId="1F954191">
      <w:pPr>
        <w:rPr>
          <w:rFonts w:hint="default"/>
          <w:lang w:val="en-US" w:eastAsia="zh-CN"/>
        </w:rPr>
      </w:pPr>
    </w:p>
    <w:p w14:paraId="5AC793A6">
      <w:pPr>
        <w:rPr>
          <w:rFonts w:hint="default"/>
          <w:lang w:val="en-US" w:eastAsia="zh-CN"/>
        </w:rPr>
      </w:pPr>
    </w:p>
    <w:p w14:paraId="650AF890">
      <w:pPr>
        <w:rPr>
          <w:rFonts w:hint="default"/>
          <w:lang w:val="en-US" w:eastAsia="zh-CN"/>
        </w:rPr>
      </w:pPr>
    </w:p>
    <w:p w14:paraId="006EBB59">
      <w:pPr>
        <w:rPr>
          <w:rFonts w:hint="default"/>
          <w:lang w:val="en-US" w:eastAsia="zh-CN"/>
        </w:rPr>
      </w:pPr>
    </w:p>
    <w:p w14:paraId="239DADC1">
      <w:pPr>
        <w:rPr>
          <w:rFonts w:hint="default"/>
          <w:lang w:val="en-US" w:eastAsia="zh-CN"/>
        </w:rPr>
      </w:pPr>
    </w:p>
    <w:p w14:paraId="774BD260">
      <w:pPr>
        <w:rPr>
          <w:rFonts w:hint="default"/>
          <w:lang w:val="en-US" w:eastAsia="zh-CN"/>
        </w:rPr>
      </w:pPr>
    </w:p>
    <w:p w14:paraId="12E20D0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4367530"/>
            <wp:effectExtent l="0" t="0" r="10160" b="1270"/>
            <wp:docPr id="3" name="图片 3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3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39667">
      <w:pPr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(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>A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) The expression of miR-376b-5p in miR-376b-5p-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.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 xml:space="preserve"> (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*indicates significant differences compared with EV group; </w:t>
      </w:r>
      <w:r>
        <w:rPr>
          <w:rFonts w:hint="eastAsia" w:ascii="Times New Roman" w:hAnsi="Times New Roman" w:cs="Times New Roman"/>
          <w:i/>
          <w:iCs/>
          <w:sz w:val="20"/>
          <w:szCs w:val="22"/>
          <w:lang w:val="en-US" w:eastAsia="zh-CN"/>
        </w:rPr>
        <w:t>p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 &lt; 0.05.)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(B) CCK8 assay for O-BMSCs cultured in EVs at different concentrations at day 3.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(C) The expression of miR-376b-5p in O-BMSCs cultured with miR-376b-5p-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. (D) The internalization of PKH67-labeled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 xml:space="preserve">different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by O-BMSCs.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(E) CCK8 assay for O-BMSCs cultured in EV at the concentration of 100µg/ml at days 1, 3 and 5.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Data represented as mean ± SD (n=3). The significance of the data was calculated by the one-way ANOVA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 w:bidi="ar"/>
        </w:rPr>
        <w:t xml:space="preserve">.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(*indicates significant differences compared with PBS group; #indicates significant differences compared with NC-EV group. </w:t>
      </w:r>
      <w:r>
        <w:rPr>
          <w:rFonts w:hint="eastAsia" w:ascii="Times New Roman" w:hAnsi="Times New Roman" w:cs="Times New Roman"/>
          <w:i/>
          <w:iCs/>
          <w:sz w:val="20"/>
          <w:szCs w:val="22"/>
          <w:lang w:val="en-US" w:eastAsia="zh-CN"/>
        </w:rPr>
        <w:t>p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 &lt; 0.05.)  </w:t>
      </w:r>
    </w:p>
    <w:p w14:paraId="5C155A10">
      <w:pPr>
        <w:rPr>
          <w:rFonts w:hint="default"/>
          <w:lang w:val="en-US" w:eastAsia="zh-CN"/>
        </w:rPr>
      </w:pPr>
    </w:p>
    <w:p w14:paraId="6E31E640">
      <w:pPr>
        <w:rPr>
          <w:rFonts w:hint="default"/>
          <w:lang w:val="en-US" w:eastAsia="zh-CN"/>
        </w:rPr>
      </w:pPr>
    </w:p>
    <w:p w14:paraId="3BA43A2A">
      <w:pPr>
        <w:rPr>
          <w:rFonts w:hint="default"/>
          <w:lang w:val="en-US" w:eastAsia="zh-CN"/>
        </w:rPr>
      </w:pPr>
    </w:p>
    <w:p w14:paraId="302C376E">
      <w:pPr>
        <w:rPr>
          <w:rFonts w:hint="default"/>
          <w:lang w:val="en-US" w:eastAsia="zh-CN"/>
        </w:rPr>
      </w:pPr>
    </w:p>
    <w:p w14:paraId="0F9E40E8">
      <w:pPr>
        <w:rPr>
          <w:rFonts w:hint="default"/>
          <w:lang w:val="en-US" w:eastAsia="zh-CN"/>
        </w:rPr>
      </w:pPr>
    </w:p>
    <w:p w14:paraId="128164F4">
      <w:pPr>
        <w:rPr>
          <w:rFonts w:hint="default"/>
          <w:lang w:val="en-US" w:eastAsia="zh-CN"/>
        </w:rPr>
      </w:pPr>
    </w:p>
    <w:p w14:paraId="1443D7B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1676400"/>
            <wp:effectExtent l="0" t="0" r="12065" b="0"/>
            <wp:docPr id="4" name="图片 4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67A85">
      <w:pPr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4.</w:t>
      </w:r>
      <w:r>
        <w:rPr>
          <w:rFonts w:hint="eastAsia" w:ascii="Times New Roman" w:hAnsi="Times New Roman" w:cs="Times New Roman"/>
          <w:lang w:val="en-US" w:eastAsia="zh-CN"/>
        </w:rPr>
        <w:t xml:space="preserve"> (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>A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>C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) The e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>xpression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>of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Camsap1 and Crbn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in Y-BMSCs and O-BMSCs 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A</w:t>
      </w:r>
      <w:r>
        <w:rPr>
          <w:rFonts w:hint="eastAsia" w:ascii="Times New Roman" w:hAnsi="Times New Roman"/>
          <w:color w:val="000000"/>
          <w:sz w:val="20"/>
          <w:szCs w:val="20"/>
        </w:rPr>
        <w:t>),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 in 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>O-BMSCs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after transfecting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miR-376b-5p mimics (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val="en-US" w:eastAsia="zh-CN" w:bidi="ar"/>
        </w:rPr>
        <w:t>B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)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, and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in </w:t>
      </w:r>
      <w:r>
        <w:rPr>
          <w:rFonts w:hint="eastAsia" w:ascii="Times-Roman" w:hAnsi="Times-Roman" w:eastAsia="Times-Roman" w:cs="Times-Roman"/>
          <w:color w:val="000000"/>
          <w:kern w:val="0"/>
          <w:sz w:val="20"/>
          <w:szCs w:val="20"/>
          <w:lang w:bidi="ar"/>
        </w:rPr>
        <w:t>O-BMSCs</w:t>
      </w:r>
      <w:r>
        <w:rPr>
          <w:rFonts w:ascii="Times-Roman" w:hAnsi="Times-Roman" w:eastAsia="Times-Roman" w:cs="Times-Roman"/>
          <w:color w:val="000000"/>
          <w:kern w:val="0"/>
          <w:sz w:val="20"/>
          <w:szCs w:val="20"/>
          <w:lang w:bidi="ar"/>
        </w:rPr>
        <w:t xml:space="preserve"> treated with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miR-376b-5p-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/>
          <w:color w:val="000000"/>
          <w:sz w:val="20"/>
          <w:szCs w:val="20"/>
        </w:rPr>
        <w:t>(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C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).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Data represented as mean ± SD (n=3). The significance of the data was calculated by the one-way ANOVA </w:t>
      </w:r>
      <w:r>
        <w:rPr>
          <w:rFonts w:hint="eastAsia" w:ascii="Times New Roman" w:hAnsi="Times New Roman"/>
          <w:color w:val="000000"/>
          <w:sz w:val="20"/>
          <w:szCs w:val="20"/>
        </w:rPr>
        <w:t>(*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0.05, **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0.01, ***</w:t>
      </w:r>
      <w:r>
        <w:rPr>
          <w:rFonts w:hint="eastAsia" w:ascii="Times New Roman" w:hAnsi="Times New Roman"/>
          <w:i/>
          <w:iCs/>
          <w:color w:val="000000"/>
          <w:sz w:val="20"/>
          <w:szCs w:val="20"/>
        </w:rPr>
        <w:t>p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&lt; 0.001.</w:t>
      </w:r>
      <w:r>
        <w:rPr>
          <w:rFonts w:hint="eastAsia" w:ascii="Times New Roman" w:hAnsi="Times New Roman"/>
          <w:color w:val="000000"/>
          <w:sz w:val="20"/>
          <w:szCs w:val="20"/>
          <w:lang w:val="en-US" w:eastAsia="zh-CN"/>
        </w:rPr>
        <w:t>)</w:t>
      </w:r>
      <w:r>
        <w:rPr>
          <w:rFonts w:hint="eastAsia" w:ascii="Times New Roman" w:hAnsi="Times New Roman"/>
          <w:color w:val="000000"/>
          <w:sz w:val="20"/>
          <w:szCs w:val="20"/>
        </w:rPr>
        <w:t xml:space="preserve"> </w:t>
      </w:r>
    </w:p>
    <w:p w14:paraId="6FA5D215">
      <w:pPr>
        <w:rPr>
          <w:rFonts w:hint="default"/>
          <w:lang w:val="en-US" w:eastAsia="zh-CN"/>
        </w:rPr>
      </w:pPr>
    </w:p>
    <w:p w14:paraId="106B9EA9">
      <w:pPr>
        <w:rPr>
          <w:rFonts w:hint="default"/>
          <w:lang w:val="en-US" w:eastAsia="zh-CN"/>
        </w:rPr>
      </w:pPr>
    </w:p>
    <w:p w14:paraId="73A29A00">
      <w:pPr>
        <w:rPr>
          <w:rFonts w:hint="default"/>
          <w:lang w:val="en-US" w:eastAsia="zh-CN"/>
        </w:rPr>
      </w:pPr>
    </w:p>
    <w:p w14:paraId="5958065F">
      <w:pPr>
        <w:rPr>
          <w:rFonts w:hint="default"/>
          <w:lang w:val="en-US" w:eastAsia="zh-CN"/>
        </w:rPr>
      </w:pPr>
    </w:p>
    <w:p w14:paraId="3F82B6E9">
      <w:pPr>
        <w:rPr>
          <w:rFonts w:hint="default"/>
          <w:lang w:val="en-US" w:eastAsia="zh-CN"/>
        </w:rPr>
      </w:pPr>
    </w:p>
    <w:p w14:paraId="76737CC9">
      <w:pPr>
        <w:rPr>
          <w:rFonts w:hint="default"/>
          <w:lang w:val="en-US" w:eastAsia="zh-CN"/>
        </w:rPr>
      </w:pPr>
    </w:p>
    <w:p w14:paraId="0BF0020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2880" cy="1343025"/>
            <wp:effectExtent l="0" t="0" r="7620" b="3175"/>
            <wp:docPr id="5" name="图片 5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2D60A">
      <w:pPr>
        <w:rPr>
          <w:rFonts w:ascii="Times-Roman" w:hAnsi="Times-Roman" w:cs="Times-Roman"/>
          <w:color w:val="000000"/>
          <w:kern w:val="0"/>
          <w:sz w:val="20"/>
          <w:szCs w:val="20"/>
          <w:lang w:bidi="ar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Supplementary figure 5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The images of cell adhesion of O-BMSCs cultured in Apt-376b-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eastAsia="zh-CN" w:bidi="ar"/>
        </w:rPr>
        <w:t>EV</w:t>
      </w:r>
      <w:r>
        <w:rPr>
          <w:rFonts w:hint="eastAsia" w:ascii="Times-Roman" w:hAnsi="Times-Roman" w:cs="Times-Roman"/>
          <w:color w:val="000000"/>
          <w:kern w:val="0"/>
          <w:sz w:val="20"/>
          <w:szCs w:val="20"/>
          <w:lang w:bidi="ar"/>
        </w:rPr>
        <w:t>@GelMA scaffolds. (Scale bar, 100 µm.)</w:t>
      </w:r>
    </w:p>
    <w:p w14:paraId="04B4FC12">
      <w:pPr>
        <w:rPr>
          <w:rFonts w:hint="default" w:ascii="Times New Roman" w:hAnsi="Times New Roman" w:cs="Times New Roman"/>
          <w:lang w:val="en-US" w:eastAsia="zh-CN"/>
        </w:rPr>
      </w:pPr>
    </w:p>
    <w:p w14:paraId="5A55D9B2">
      <w:pPr>
        <w:rPr>
          <w:rFonts w:hint="eastAsia" w:eastAsiaTheme="minorEastAsia"/>
          <w:lang w:eastAsia="zh-CN"/>
        </w:rPr>
      </w:pPr>
    </w:p>
    <w:p w14:paraId="5FB1D2C9">
      <w:pPr>
        <w:rPr>
          <w:rFonts w:hint="eastAsia" w:eastAsiaTheme="minorEastAsia"/>
          <w:lang w:eastAsia="zh-CN"/>
        </w:rPr>
      </w:pPr>
    </w:p>
    <w:p w14:paraId="56D66825">
      <w:pPr>
        <w:rPr>
          <w:rFonts w:hint="eastAsia" w:eastAsiaTheme="minorEastAsia"/>
          <w:lang w:eastAsia="zh-CN"/>
        </w:rPr>
      </w:pPr>
    </w:p>
    <w:p w14:paraId="7F09F9F8">
      <w:pPr>
        <w:rPr>
          <w:rFonts w:hint="eastAsia" w:eastAsiaTheme="minorEastAsia"/>
          <w:lang w:eastAsia="zh-CN"/>
        </w:rPr>
      </w:pPr>
    </w:p>
    <w:p w14:paraId="6B46994A">
      <w:pPr>
        <w:rPr>
          <w:rFonts w:hint="eastAsia" w:eastAsiaTheme="minorEastAsia"/>
          <w:lang w:eastAsia="zh-CN"/>
        </w:rPr>
      </w:pPr>
    </w:p>
    <w:p w14:paraId="1D0B1346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4DD3C7B9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6F72D775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342D7BF1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32428271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3FFD50BE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178087A9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6B159D88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689C4622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61BDFF96">
      <w:pPr>
        <w:jc w:val="center"/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</w:pPr>
    </w:p>
    <w:p w14:paraId="239914C7">
      <w:pPr>
        <w:jc w:val="center"/>
        <w:rPr>
          <w:rFonts w:hint="eastAsia" w:ascii="Times New Roman" w:hAnsi="Times New Roman"/>
          <w:b/>
          <w:bCs/>
          <w:color w:val="000000"/>
          <w:kern w:val="0"/>
          <w:szCs w:val="21"/>
          <w:lang w:bidi="ar"/>
        </w:rPr>
      </w:pP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  <w:t xml:space="preserve">Table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 w:bidi="ar"/>
        </w:rPr>
        <w:t>S1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  <w:t xml:space="preserve">. The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 w:bidi="ar"/>
        </w:rPr>
        <w:t>aptamer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  <w:t xml:space="preserve"> sequences used in this study</w:t>
      </w:r>
    </w:p>
    <w:p w14:paraId="24B5666A">
      <w:pPr>
        <w:rPr>
          <w:rFonts w:hint="default" w:eastAsiaTheme="minorEastAsia"/>
          <w:vertAlign w:val="baseli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6999"/>
      </w:tblGrid>
      <w:tr w14:paraId="4B73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tcBorders>
              <w:left w:val="nil"/>
              <w:bottom w:val="single" w:color="auto" w:sz="4" w:space="0"/>
              <w:right w:val="nil"/>
            </w:tcBorders>
          </w:tcPr>
          <w:p w14:paraId="0D17C092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Aptamer</w:t>
            </w:r>
          </w:p>
        </w:tc>
        <w:tc>
          <w:tcPr>
            <w:tcW w:w="6999" w:type="dxa"/>
            <w:tcBorders>
              <w:left w:val="nil"/>
              <w:bottom w:val="single" w:color="auto" w:sz="4" w:space="0"/>
              <w:right w:val="nil"/>
            </w:tcBorders>
          </w:tcPr>
          <w:p w14:paraId="059BA3BA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Sequences</w:t>
            </w:r>
          </w:p>
        </w:tc>
      </w:tr>
      <w:tr w14:paraId="6C9A9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47D7B83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Apt-19s</w:t>
            </w:r>
          </w:p>
        </w:tc>
        <w:tc>
          <w:tcPr>
            <w:tcW w:w="699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99BB00E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5'-AGGTCAGATGAGGAGGGGGACTTAGGACTGGGTTTATGACCTATGCGTG-3'</w:t>
            </w:r>
          </w:p>
        </w:tc>
      </w:tr>
      <w:tr w14:paraId="4984F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0DAB0CD8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Rd-Apt</w:t>
            </w:r>
          </w:p>
        </w:tc>
        <w:tc>
          <w:tcPr>
            <w:tcW w:w="6999" w:type="dxa"/>
            <w:tcBorders>
              <w:top w:val="nil"/>
              <w:left w:val="nil"/>
              <w:bottom w:val="nil"/>
              <w:right w:val="nil"/>
            </w:tcBorders>
          </w:tcPr>
          <w:p w14:paraId="7658AD7B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5'-AAGATACCGGTAGAGCGTTGATTAGAGGTACAGTCGCTACTGCGCCTGC-3'</w:t>
            </w:r>
          </w:p>
        </w:tc>
      </w:tr>
      <w:tr w14:paraId="3BEED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5FFFC0EB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Cy5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-Apt-19s</w:t>
            </w:r>
          </w:p>
        </w:tc>
        <w:tc>
          <w:tcPr>
            <w:tcW w:w="6999" w:type="dxa"/>
            <w:tcBorders>
              <w:top w:val="nil"/>
              <w:left w:val="nil"/>
              <w:bottom w:val="nil"/>
              <w:right w:val="nil"/>
            </w:tcBorders>
          </w:tcPr>
          <w:p w14:paraId="7FA76F73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5'-AGGTCAGATGAGGAGGGGGACTTAGGACTGGGTTTATGACCTATGCGTG-3'-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Cy5</w:t>
            </w:r>
          </w:p>
        </w:tc>
      </w:tr>
      <w:tr w14:paraId="26E03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</w:tcPr>
          <w:p w14:paraId="17A5F4FF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Cy5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-Rd-Apt</w:t>
            </w:r>
          </w:p>
        </w:tc>
        <w:tc>
          <w:tcPr>
            <w:tcW w:w="6999" w:type="dxa"/>
            <w:tcBorders>
              <w:top w:val="nil"/>
              <w:left w:val="nil"/>
              <w:bottom w:val="nil"/>
              <w:right w:val="nil"/>
            </w:tcBorders>
          </w:tcPr>
          <w:p w14:paraId="389A1D8A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5'-AAGATACCGGTAGAGCGTTGATTAGAGGTACAGTCGCTACTGCGCCTGC-3'-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Cy5</w:t>
            </w:r>
          </w:p>
        </w:tc>
      </w:tr>
      <w:tr w14:paraId="2B5AF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3" w:type="dxa"/>
            <w:tcBorders>
              <w:top w:val="nil"/>
              <w:left w:val="nil"/>
              <w:right w:val="nil"/>
            </w:tcBorders>
          </w:tcPr>
          <w:p w14:paraId="0AE76626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CHO-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Apt-19s</w:t>
            </w:r>
          </w:p>
        </w:tc>
        <w:tc>
          <w:tcPr>
            <w:tcW w:w="6999" w:type="dxa"/>
            <w:tcBorders>
              <w:top w:val="nil"/>
              <w:left w:val="nil"/>
              <w:right w:val="nil"/>
            </w:tcBorders>
          </w:tcPr>
          <w:p w14:paraId="616132EC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CHO-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5'-AGGTCAGATGAGGAGGGGGACTTAGGACTGGGTTTATGACCTATGCGTG-3'</w:t>
            </w:r>
          </w:p>
        </w:tc>
      </w:tr>
    </w:tbl>
    <w:p w14:paraId="24696EF9">
      <w:pPr>
        <w:rPr>
          <w:rFonts w:hint="eastAsia" w:eastAsiaTheme="minorEastAsia"/>
          <w:lang w:eastAsia="zh-CN"/>
        </w:rPr>
      </w:pPr>
    </w:p>
    <w:p w14:paraId="3A3A884D">
      <w:pPr>
        <w:rPr>
          <w:rFonts w:hint="eastAsia" w:eastAsiaTheme="minorEastAsia"/>
          <w:lang w:eastAsia="zh-CN"/>
        </w:rPr>
      </w:pPr>
    </w:p>
    <w:p w14:paraId="5C1C32AC">
      <w:pPr>
        <w:rPr>
          <w:rFonts w:hint="eastAsia" w:eastAsiaTheme="minorEastAsia"/>
          <w:lang w:eastAsia="zh-CN"/>
        </w:rPr>
      </w:pPr>
    </w:p>
    <w:p w14:paraId="065265C5">
      <w:pPr>
        <w:rPr>
          <w:rFonts w:hint="eastAsia" w:eastAsiaTheme="minorEastAsia"/>
          <w:lang w:eastAsia="zh-CN"/>
        </w:rPr>
      </w:pPr>
    </w:p>
    <w:p w14:paraId="409A3704">
      <w:pPr>
        <w:rPr>
          <w:rFonts w:hint="eastAsia" w:eastAsiaTheme="minorEastAsia"/>
          <w:lang w:eastAsia="zh-CN"/>
        </w:rPr>
      </w:pPr>
    </w:p>
    <w:p w14:paraId="3FBEA0E4">
      <w:pPr>
        <w:rPr>
          <w:rFonts w:hint="eastAsia" w:eastAsiaTheme="minorEastAsia"/>
          <w:lang w:eastAsia="zh-CN"/>
        </w:rPr>
      </w:pPr>
    </w:p>
    <w:p w14:paraId="34F0BEF4">
      <w:pPr>
        <w:rPr>
          <w:rFonts w:hint="eastAsia" w:eastAsiaTheme="minorEastAsia"/>
          <w:lang w:eastAsia="zh-CN"/>
        </w:rPr>
      </w:pPr>
    </w:p>
    <w:p w14:paraId="1B7D3E1B">
      <w:pPr>
        <w:rPr>
          <w:rFonts w:hint="eastAsia" w:eastAsiaTheme="minorEastAsia"/>
          <w:lang w:eastAsia="zh-CN"/>
        </w:rPr>
      </w:pPr>
    </w:p>
    <w:p w14:paraId="06D2446F">
      <w:pPr>
        <w:rPr>
          <w:rFonts w:hint="eastAsia" w:eastAsiaTheme="minorEastAsia"/>
          <w:lang w:eastAsia="zh-CN"/>
        </w:rPr>
      </w:pPr>
    </w:p>
    <w:p w14:paraId="6E399633">
      <w:pPr>
        <w:rPr>
          <w:rFonts w:hint="eastAsia" w:eastAsiaTheme="minorEastAsia"/>
          <w:lang w:eastAsia="zh-CN"/>
        </w:rPr>
      </w:pPr>
    </w:p>
    <w:p w14:paraId="1A5E5D03">
      <w:pPr>
        <w:rPr>
          <w:rFonts w:hint="eastAsia" w:eastAsiaTheme="minorEastAsia"/>
          <w:lang w:eastAsia="zh-CN"/>
        </w:rPr>
      </w:pPr>
    </w:p>
    <w:p w14:paraId="4AEBC9BF">
      <w:pPr>
        <w:rPr>
          <w:rFonts w:hint="eastAsia" w:eastAsiaTheme="minorEastAsia"/>
          <w:lang w:eastAsia="zh-CN"/>
        </w:rPr>
      </w:pPr>
    </w:p>
    <w:p w14:paraId="1F60E936">
      <w:pPr>
        <w:rPr>
          <w:rFonts w:hint="eastAsia" w:eastAsiaTheme="minorEastAsia"/>
          <w:lang w:eastAsia="zh-CN"/>
        </w:rPr>
      </w:pPr>
    </w:p>
    <w:p w14:paraId="5843F2AA">
      <w:pPr>
        <w:rPr>
          <w:rFonts w:hint="eastAsia" w:eastAsiaTheme="minorEastAsia"/>
          <w:lang w:eastAsia="zh-CN"/>
        </w:rPr>
      </w:pPr>
    </w:p>
    <w:p w14:paraId="45B79A13">
      <w:pPr>
        <w:rPr>
          <w:rFonts w:hint="eastAsia" w:eastAsiaTheme="minorEastAsia"/>
          <w:lang w:eastAsia="zh-CN"/>
        </w:rPr>
      </w:pPr>
    </w:p>
    <w:p w14:paraId="34B4EDE8">
      <w:pPr>
        <w:rPr>
          <w:rFonts w:hint="eastAsia" w:eastAsiaTheme="minorEastAsia"/>
          <w:lang w:eastAsia="zh-CN"/>
        </w:rPr>
      </w:pPr>
    </w:p>
    <w:p w14:paraId="78A22789">
      <w:pPr>
        <w:rPr>
          <w:rFonts w:hint="eastAsia" w:eastAsiaTheme="minorEastAsia"/>
          <w:lang w:eastAsia="zh-CN"/>
        </w:rPr>
      </w:pPr>
    </w:p>
    <w:p w14:paraId="5B4E5EB4">
      <w:pPr>
        <w:rPr>
          <w:rFonts w:hint="eastAsia" w:eastAsiaTheme="minorEastAsia"/>
          <w:lang w:eastAsia="zh-CN"/>
        </w:rPr>
      </w:pPr>
    </w:p>
    <w:p w14:paraId="5E67F60D">
      <w:pPr>
        <w:rPr>
          <w:rFonts w:hint="eastAsia" w:eastAsiaTheme="minorEastAsia"/>
          <w:lang w:eastAsia="zh-CN"/>
        </w:rPr>
      </w:pPr>
    </w:p>
    <w:p w14:paraId="4415FA76">
      <w:pPr>
        <w:rPr>
          <w:rFonts w:hint="eastAsia" w:eastAsiaTheme="minorEastAsia"/>
          <w:lang w:eastAsia="zh-CN"/>
        </w:rPr>
      </w:pPr>
    </w:p>
    <w:p w14:paraId="500CDC51">
      <w:pPr>
        <w:rPr>
          <w:rFonts w:hint="eastAsia" w:eastAsiaTheme="minorEastAsia"/>
          <w:lang w:eastAsia="zh-CN"/>
        </w:rPr>
      </w:pPr>
    </w:p>
    <w:p w14:paraId="45A8CDA1">
      <w:pPr>
        <w:rPr>
          <w:rFonts w:hint="eastAsia" w:eastAsiaTheme="minorEastAsia"/>
          <w:lang w:eastAsia="zh-CN"/>
        </w:rPr>
      </w:pPr>
    </w:p>
    <w:p w14:paraId="64A2193E">
      <w:pPr>
        <w:rPr>
          <w:rFonts w:hint="eastAsia" w:eastAsiaTheme="minorEastAsia"/>
          <w:lang w:eastAsia="zh-CN"/>
        </w:rPr>
      </w:pPr>
    </w:p>
    <w:p w14:paraId="2587CC10">
      <w:pPr>
        <w:rPr>
          <w:rFonts w:hint="eastAsia" w:eastAsiaTheme="minorEastAsia"/>
          <w:lang w:eastAsia="zh-CN"/>
        </w:rPr>
      </w:pPr>
    </w:p>
    <w:p w14:paraId="118C8F9A">
      <w:pPr>
        <w:rPr>
          <w:rFonts w:hint="eastAsia" w:eastAsiaTheme="minorEastAsia"/>
          <w:lang w:eastAsia="zh-CN"/>
        </w:rPr>
      </w:pPr>
    </w:p>
    <w:p w14:paraId="4E561F67">
      <w:pPr>
        <w:rPr>
          <w:rFonts w:hint="eastAsia" w:eastAsiaTheme="minorEastAsia"/>
          <w:lang w:eastAsia="zh-CN"/>
        </w:rPr>
      </w:pPr>
    </w:p>
    <w:p w14:paraId="342EF993">
      <w:pPr>
        <w:rPr>
          <w:rFonts w:hint="eastAsia" w:eastAsiaTheme="minorEastAsia"/>
          <w:lang w:eastAsia="zh-CN"/>
        </w:rPr>
      </w:pPr>
    </w:p>
    <w:p w14:paraId="139CE328">
      <w:pPr>
        <w:rPr>
          <w:rFonts w:hint="eastAsia" w:eastAsiaTheme="minorEastAsia"/>
          <w:lang w:eastAsia="zh-CN"/>
        </w:rPr>
      </w:pPr>
    </w:p>
    <w:p w14:paraId="7CAE1188">
      <w:pPr>
        <w:rPr>
          <w:rFonts w:hint="eastAsia" w:eastAsiaTheme="minorEastAsia"/>
          <w:lang w:eastAsia="zh-CN"/>
        </w:rPr>
      </w:pPr>
    </w:p>
    <w:p w14:paraId="79849FAE">
      <w:pPr>
        <w:rPr>
          <w:rFonts w:hint="eastAsia" w:eastAsiaTheme="minorEastAsia"/>
          <w:lang w:eastAsia="zh-CN"/>
        </w:rPr>
      </w:pPr>
    </w:p>
    <w:p w14:paraId="56F6D3DB">
      <w:pPr>
        <w:rPr>
          <w:rFonts w:hint="eastAsia" w:eastAsiaTheme="minorEastAsia"/>
          <w:lang w:eastAsia="zh-CN"/>
        </w:rPr>
      </w:pPr>
      <w:bookmarkStart w:id="0" w:name="_GoBack"/>
      <w:bookmarkEnd w:id="0"/>
    </w:p>
    <w:p w14:paraId="2DC1B458">
      <w:pPr>
        <w:jc w:val="center"/>
        <w:rPr>
          <w:rFonts w:hint="eastAsia" w:ascii="Times New Roman" w:hAnsi="Times New Roman"/>
          <w:b/>
          <w:bCs/>
          <w:color w:val="000000"/>
          <w:kern w:val="0"/>
          <w:szCs w:val="21"/>
          <w:lang w:bidi="ar"/>
        </w:rPr>
      </w:pP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  <w:t xml:space="preserve">Table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val="en-US" w:eastAsia="zh-CN" w:bidi="ar"/>
        </w:rPr>
        <w:t>S2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  <w:t>. The primer sequences used in this study</w:t>
      </w:r>
    </w:p>
    <w:tbl>
      <w:tblPr>
        <w:tblStyle w:val="3"/>
        <w:tblpPr w:leftFromText="180" w:rightFromText="180" w:vertAnchor="page" w:horzAnchor="page" w:tblpX="1897" w:tblpY="20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569"/>
        <w:gridCol w:w="3513"/>
      </w:tblGrid>
      <w:tr w14:paraId="03627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left w:val="nil"/>
              <w:bottom w:val="single" w:color="auto" w:sz="4" w:space="0"/>
              <w:right w:val="nil"/>
            </w:tcBorders>
          </w:tcPr>
          <w:p w14:paraId="1787F856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Gene</w:t>
            </w:r>
          </w:p>
        </w:tc>
        <w:tc>
          <w:tcPr>
            <w:tcW w:w="3569" w:type="dxa"/>
            <w:tcBorders>
              <w:left w:val="nil"/>
              <w:bottom w:val="single" w:color="auto" w:sz="4" w:space="0"/>
              <w:right w:val="nil"/>
            </w:tcBorders>
          </w:tcPr>
          <w:p w14:paraId="52779CC0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Forward sequence</w:t>
            </w:r>
          </w:p>
        </w:tc>
        <w:tc>
          <w:tcPr>
            <w:tcW w:w="3513" w:type="dxa"/>
            <w:tcBorders>
              <w:left w:val="nil"/>
              <w:bottom w:val="single" w:color="auto" w:sz="4" w:space="0"/>
              <w:right w:val="nil"/>
            </w:tcBorders>
          </w:tcPr>
          <w:p w14:paraId="580034B7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Reverse sequence</w:t>
            </w:r>
          </w:p>
        </w:tc>
      </w:tr>
      <w:tr w14:paraId="0BE45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3604F6E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ALP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9CAE631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TGACCGTCCTGCTGGAACTCG</w:t>
            </w:r>
          </w:p>
        </w:tc>
        <w:tc>
          <w:tcPr>
            <w:tcW w:w="35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A692EEF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CCACTGCCACACTTGTCACAGAG</w:t>
            </w:r>
          </w:p>
        </w:tc>
      </w:tr>
      <w:tr w14:paraId="05898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0F0B30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BMP-2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</w:tcPr>
          <w:p w14:paraId="0325B06E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CAGCGGAAGCGTCTTAAGTCCAG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</w:tcPr>
          <w:p w14:paraId="4219FD1D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GGCATGGTTGGTGGAGTTCAGG</w:t>
            </w:r>
          </w:p>
        </w:tc>
      </w:tr>
      <w:tr w14:paraId="630EF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B775F03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Col-1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</w:tcPr>
          <w:p w14:paraId="7DB605AD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TGTTGGTCCTGCTGGCAAGAATG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</w:tcPr>
          <w:p w14:paraId="40D9ECCC"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GTCACCTTGTTCGCCTGTCTCAC</w:t>
            </w:r>
          </w:p>
        </w:tc>
      </w:tr>
      <w:tr w14:paraId="7BC13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FA902F0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O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4FD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CCCTCTCTCTGCTCACTCTGCT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079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CTTACTGCCCTCCTGCTTGG</w:t>
            </w:r>
          </w:p>
        </w:tc>
      </w:tr>
      <w:tr w14:paraId="40396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2FBB3D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SATB2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AFC7E3"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GCTGCTCAAAGAAATGAACCAGA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5FE5FCB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AAACTCCTGGCACTTGGTTG</w:t>
            </w:r>
          </w:p>
        </w:tc>
      </w:tr>
      <w:tr w14:paraId="088CF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352E198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p53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A954B90"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TGCTAGTCCCTTCACTGCCTTT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0E94D5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AGAGACCCAGCAACTACCAACC</w:t>
            </w:r>
          </w:p>
        </w:tc>
      </w:tr>
      <w:tr w14:paraId="79824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8BB9F4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p21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AB8132"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AGTGCCTTGACGATACAGCTA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9544C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TTGCACTGTACTCCTCTTGACC</w:t>
            </w:r>
          </w:p>
        </w:tc>
      </w:tr>
      <w:tr w14:paraId="73C29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2442395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p16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C64614"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TTCACCAAACGCCCCGAAC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7ED96A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TTCGAATCTGCACCATAGGAGA</w:t>
            </w:r>
          </w:p>
        </w:tc>
      </w:tr>
      <w:tr w14:paraId="0F8BA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8B072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Camsap1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602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CATCTCCCACTGCTGTCTGG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7D9ED2">
            <w:pP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GCGTCTCGGAACAGGATGAT</w:t>
            </w:r>
          </w:p>
        </w:tc>
      </w:tr>
      <w:tr w14:paraId="7238E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17826B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Crbn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C180E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TTTGCCAGAGTGTGTGTTGC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E90C0">
            <w:pP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ATGAATACAGCCAGCGAGGC</w:t>
            </w:r>
          </w:p>
        </w:tc>
      </w:tr>
      <w:tr w14:paraId="2F97C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F7FC274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β-actin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73F9EDB">
            <w:pPr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GTAAAGACCTCTATGCCAACA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DAD5AF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GGACTCATCGTACTCCTGCT</w:t>
            </w:r>
          </w:p>
        </w:tc>
      </w:tr>
      <w:tr w14:paraId="71199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4D2CA8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U6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5EC336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CTTCGGCAGCACATATACTA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312498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AACTGGTGTCGTGGAGTC</w:t>
            </w:r>
          </w:p>
        </w:tc>
      </w:tr>
      <w:tr w14:paraId="42B0A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21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miR-667-3p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7A9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CACTTGCCACCCAGCCCAA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A10D22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13721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25346C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miR-1188-5p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696653B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GTGTGAGGTTGGGCCAGGAA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A92CAB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64449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D45975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miR-341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098584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GGTCAATCGGTCGGTCGGT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7A38464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6C03A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35FE33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miR-344b-5p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1351340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AGTCTGGCTGCTGGTTATATTC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0556F1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4DCF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D1789CB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miR-3584-3p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80C6658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ATAGCCCGCCTCTCTGGATC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2D0B826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3C6D8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6DFFC4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miR-1193-3p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D5752A3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TAGGTCACCCGTTTTACTATC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C5B9E2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5AE1B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79EFA79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miR-673-3p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928C30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TCCGGGATTGAGTTCTGTGC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87583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7DA0B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1EFE41F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miR-6321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F43949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TGCAGTGAGTTATATGAAGCAA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B57145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65D79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C73B36C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miR-673-5p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52A15FE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CTCACAGCTCCGGTCCTTG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772F5F7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17DEA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A5791A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miR-376b-5p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F393FB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GCAGATATTCCTTCTATGGTTA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7E5AB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3F959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D1E0D9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miR-376c-5p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81B9C5F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CGTCGATATTCCTTCTATGTTT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E47D51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330D8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6607532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miR-539-3p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9CDE57C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CGCATACAAGGGTAATTTCTTT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48AE00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0A4A2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9C958FB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miR-380-3p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8C42F47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CGTAGTATGGTCCACATCTAA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D8DC7E9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6AFAC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0606F2E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miR-329-5p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1966333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GGTTTTCTGGGTCTCTGTTTC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5ECC1B8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4F661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A784FF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miR-770-3p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796E8C5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GTGGGCCTGACGTGGAGAA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29E7CC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Biotech)Universal Reverse Primer (Sangon Biotech)</w:t>
            </w:r>
          </w:p>
        </w:tc>
      </w:tr>
      <w:tr w14:paraId="27C28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A3ECC9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miR-540-3p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39328D5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GCTAGGTCAGAGGTCGATC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627BC20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0F145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877DE6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miR-329-3p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3932B0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GAACACACCCAGCTAACCTTT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EEEAC1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4FD5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A4479AA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miR-6331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16F7F7C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CTTTGGTGGCTTAGTTCTTTGT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05DA2AE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7195E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31651EB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miR-434-5p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2A402C8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TGATCTCGACTCATGGTTTG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9508C1D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  <w:tr w14:paraId="50D53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52E9272B">
            <w:pP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miR-541-5p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28F2929C">
            <w:pPr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AAGGGATTCTGATGTTGGTC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2ED75376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Universal Reverse Primer (Sangon Biotech)</w:t>
            </w:r>
          </w:p>
        </w:tc>
      </w:tr>
    </w:tbl>
    <w:p w14:paraId="7D8EFBAD">
      <w:pPr>
        <w:rPr>
          <w:rFonts w:hint="eastAsia" w:eastAsiaTheme="minorEastAsia"/>
          <w:lang w:eastAsia="zh-CN"/>
        </w:rPr>
      </w:pPr>
    </w:p>
    <w:p w14:paraId="34EB9357">
      <w:pPr>
        <w:rPr>
          <w:rFonts w:hint="eastAsia" w:eastAsiaTheme="minorEastAsia"/>
          <w:lang w:eastAsia="zh-CN"/>
        </w:rPr>
      </w:pPr>
    </w:p>
    <w:p w14:paraId="7AD1FFAC">
      <w:pPr>
        <w:rPr>
          <w:rFonts w:hint="eastAsia" w:eastAsiaTheme="minorEastAsia"/>
          <w:lang w:eastAsia="zh-CN"/>
        </w:rPr>
      </w:pPr>
    </w:p>
    <w:p w14:paraId="40166828">
      <w:pPr>
        <w:rPr>
          <w:rFonts w:hint="eastAsia" w:eastAsiaTheme="minorEastAsia"/>
          <w:lang w:eastAsia="zh-CN"/>
        </w:rPr>
      </w:pPr>
    </w:p>
    <w:p w14:paraId="01329FD6">
      <w:pPr>
        <w:rPr>
          <w:rFonts w:hint="eastAsia" w:eastAsiaTheme="minorEastAsia"/>
          <w:lang w:eastAsia="zh-CN"/>
        </w:rPr>
      </w:pPr>
    </w:p>
    <w:p w14:paraId="2D48848D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 xml:space="preserve"> </w:t>
      </w:r>
    </w:p>
    <w:p w14:paraId="615E50AC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 xml:space="preserve"> </w:t>
      </w:r>
    </w:p>
    <w:p w14:paraId="4FDB9461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</w:t>
      </w:r>
    </w:p>
    <w:p w14:paraId="0A93259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 w:eastAsiaTheme="minorEastAsia"/>
          <w:lang w:val="en-US" w:eastAsia="zh-CN"/>
        </w:rPr>
        <w:t xml:space="preserve"> </w:t>
      </w:r>
    </w:p>
    <w:p w14:paraId="04F18418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-Roman">
    <w:altName w:val="Times New Roman"/>
    <w:panose1 w:val="00000500000000020000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NzM5ZGZlZWQ2YTc2MGEzMGI1YTA5YTI2YzA5YzgifQ=="/>
  </w:docVars>
  <w:rsids>
    <w:rsidRoot w:val="15431F28"/>
    <w:rsid w:val="05D75637"/>
    <w:rsid w:val="1320393F"/>
    <w:rsid w:val="15431F28"/>
    <w:rsid w:val="23EB0129"/>
    <w:rsid w:val="262F38F8"/>
    <w:rsid w:val="2C18697E"/>
    <w:rsid w:val="3BD3066E"/>
    <w:rsid w:val="41D659E7"/>
    <w:rsid w:val="46B438C7"/>
    <w:rsid w:val="53C369FA"/>
    <w:rsid w:val="7214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598</Words>
  <Characters>4541</Characters>
  <Lines>0</Lines>
  <Paragraphs>0</Paragraphs>
  <TotalTime>3</TotalTime>
  <ScaleCrop>false</ScaleCrop>
  <LinksUpToDate>false</LinksUpToDate>
  <CharactersWithSpaces>5030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2024-05-16T09:31:00Z</dcterms:created>
  <dc:creator>Russell</dc:creator>
  <cp:lastModifiedBy>Russell</cp:lastModifiedBy>
  <dcterms:modified xsi:type="dcterms:W3CDTF">2024-10-09T12:26:33Z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A5DA8B4B723344B0BF6FE138F9B295F8_11</vt:lpwstr>
  </property>
</Properties>
</file>