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CDF82C" w14:textId="66EBC781" w:rsidR="00A66EC9" w:rsidRPr="00BA5FA3" w:rsidRDefault="000514FE" w:rsidP="00011185">
      <w:pPr>
        <w:pStyle w:val="Caption"/>
        <w:keepNext/>
        <w:rPr>
          <w:b/>
          <w:bCs/>
          <w:i w:val="0"/>
          <w:iCs w:val="0"/>
          <w:color w:val="auto"/>
          <w:sz w:val="28"/>
          <w:szCs w:val="28"/>
        </w:rPr>
      </w:pPr>
      <w:r>
        <w:rPr>
          <w:b/>
          <w:bCs/>
          <w:i w:val="0"/>
          <w:iCs w:val="0"/>
          <w:color w:val="auto"/>
          <w:sz w:val="28"/>
          <w:szCs w:val="28"/>
        </w:rPr>
        <w:t>Additional</w:t>
      </w:r>
      <w:r w:rsidR="00A66EC9" w:rsidRPr="00BA5FA3">
        <w:rPr>
          <w:b/>
          <w:bCs/>
          <w:i w:val="0"/>
          <w:iCs w:val="0"/>
          <w:color w:val="auto"/>
          <w:sz w:val="28"/>
          <w:szCs w:val="28"/>
        </w:rPr>
        <w:t xml:space="preserve"> </w:t>
      </w:r>
      <w:r>
        <w:rPr>
          <w:b/>
          <w:bCs/>
          <w:i w:val="0"/>
          <w:iCs w:val="0"/>
          <w:color w:val="auto"/>
          <w:sz w:val="28"/>
          <w:szCs w:val="28"/>
        </w:rPr>
        <w:t>f</w:t>
      </w:r>
      <w:r w:rsidR="00D41AA7" w:rsidRPr="00BA5FA3">
        <w:rPr>
          <w:b/>
          <w:bCs/>
          <w:i w:val="0"/>
          <w:iCs w:val="0"/>
          <w:color w:val="auto"/>
          <w:sz w:val="28"/>
          <w:szCs w:val="28"/>
        </w:rPr>
        <w:t>ile 1</w:t>
      </w:r>
    </w:p>
    <w:p w14:paraId="720C10FA" w14:textId="77777777" w:rsidR="00F442AF" w:rsidRDefault="00F442AF" w:rsidP="00FD16CC">
      <w:pPr>
        <w:pStyle w:val="ListParagraph"/>
        <w:numPr>
          <w:ilvl w:val="0"/>
          <w:numId w:val="1"/>
        </w:numPr>
        <w:spacing w:line="360" w:lineRule="auto"/>
        <w:rPr>
          <w:b/>
          <w:bCs/>
        </w:rPr>
      </w:pPr>
      <w:r>
        <w:rPr>
          <w:b/>
          <w:bCs/>
        </w:rPr>
        <w:t>Study health facilities’ selection</w:t>
      </w:r>
    </w:p>
    <w:p w14:paraId="59814F1A" w14:textId="10EB4D36" w:rsidR="00F442AF" w:rsidRDefault="00F442AF" w:rsidP="00F442AF">
      <w:pPr>
        <w:spacing w:line="360" w:lineRule="auto"/>
      </w:pPr>
      <w:r w:rsidRPr="00F442AF">
        <w:t>He</w:t>
      </w:r>
      <w:r>
        <w:t>alth facilities were selected for inclusion in this study primarily in the basis of presence of geo-ordinates from the publicly available database</w:t>
      </w:r>
      <w:r w:rsidRPr="00F442AF">
        <w:t xml:space="preserve"> </w:t>
      </w:r>
      <w:r>
        <w:t xml:space="preserve">as well existence in the national routine HMIS data repository (DHIS-2) by 2015. The geo-location database contained </w:t>
      </w:r>
      <w:r w:rsidR="00DC6B4D">
        <w:t>nearly half</w:t>
      </w:r>
      <w:r>
        <w:t xml:space="preserve"> the number of entries as the</w:t>
      </w:r>
      <w:r w:rsidR="00DC6B4D">
        <w:t xml:space="preserve"> reported</w:t>
      </w:r>
      <w:r>
        <w:t xml:space="preserve"> </w:t>
      </w:r>
      <w:r w:rsidR="00DC6B4D">
        <w:t xml:space="preserve">malaria cases </w:t>
      </w:r>
      <w:r>
        <w:t>DHIS-2 database</w:t>
      </w:r>
      <w:r w:rsidR="000D56E7">
        <w:t xml:space="preserve"> given that 50.9% were without a match in the geo-location database</w:t>
      </w:r>
      <w:r>
        <w:t xml:space="preserve"> (Fig</w:t>
      </w:r>
      <w:r w:rsidR="000D4CF0">
        <w:t>.</w:t>
      </w:r>
      <w:r>
        <w:t xml:space="preserve"> </w:t>
      </w:r>
      <w:r w:rsidR="00962132">
        <w:t>S</w:t>
      </w:r>
      <w:r w:rsidR="000D4CF0">
        <w:t>1</w:t>
      </w:r>
      <w:r>
        <w:t>).</w:t>
      </w:r>
    </w:p>
    <w:p w14:paraId="38A4E406" w14:textId="2DFDC152" w:rsidR="00F442AF" w:rsidRPr="00F442AF" w:rsidRDefault="00F442AF" w:rsidP="00F442AF">
      <w:pPr>
        <w:pStyle w:val="Caption"/>
        <w:keepNext/>
        <w:rPr>
          <w:b/>
          <w:bCs/>
          <w:i w:val="0"/>
          <w:iCs w:val="0"/>
          <w:color w:val="auto"/>
          <w:sz w:val="22"/>
          <w:szCs w:val="22"/>
        </w:rPr>
      </w:pPr>
      <w:r w:rsidRPr="00F442AF">
        <w:rPr>
          <w:b/>
          <w:bCs/>
          <w:i w:val="0"/>
          <w:iCs w:val="0"/>
          <w:color w:val="auto"/>
          <w:sz w:val="22"/>
          <w:szCs w:val="22"/>
        </w:rPr>
        <w:t xml:space="preserve">Fig </w:t>
      </w:r>
      <w:r w:rsidR="00962132">
        <w:rPr>
          <w:b/>
          <w:bCs/>
          <w:i w:val="0"/>
          <w:iCs w:val="0"/>
          <w:color w:val="auto"/>
          <w:sz w:val="22"/>
          <w:szCs w:val="22"/>
        </w:rPr>
        <w:t>S</w:t>
      </w:r>
      <w:r w:rsidRPr="00F442AF">
        <w:rPr>
          <w:b/>
          <w:bCs/>
          <w:i w:val="0"/>
          <w:iCs w:val="0"/>
          <w:color w:val="auto"/>
          <w:sz w:val="22"/>
          <w:szCs w:val="22"/>
        </w:rPr>
        <w:fldChar w:fldCharType="begin"/>
      </w:r>
      <w:r w:rsidRPr="00F442AF">
        <w:rPr>
          <w:b/>
          <w:bCs/>
          <w:i w:val="0"/>
          <w:iCs w:val="0"/>
          <w:color w:val="auto"/>
          <w:sz w:val="22"/>
          <w:szCs w:val="22"/>
        </w:rPr>
        <w:instrText xml:space="preserve"> SEQ Fig \* ARABIC </w:instrText>
      </w:r>
      <w:r w:rsidRPr="00F442AF">
        <w:rPr>
          <w:b/>
          <w:bCs/>
          <w:i w:val="0"/>
          <w:iCs w:val="0"/>
          <w:color w:val="auto"/>
          <w:sz w:val="22"/>
          <w:szCs w:val="22"/>
        </w:rPr>
        <w:fldChar w:fldCharType="separate"/>
      </w:r>
      <w:r w:rsidR="009A11D8">
        <w:rPr>
          <w:b/>
          <w:bCs/>
          <w:i w:val="0"/>
          <w:iCs w:val="0"/>
          <w:noProof/>
          <w:color w:val="auto"/>
          <w:sz w:val="22"/>
          <w:szCs w:val="22"/>
        </w:rPr>
        <w:t>1</w:t>
      </w:r>
      <w:r w:rsidRPr="00F442AF">
        <w:rPr>
          <w:b/>
          <w:bCs/>
          <w:i w:val="0"/>
          <w:iCs w:val="0"/>
          <w:color w:val="auto"/>
          <w:sz w:val="22"/>
          <w:szCs w:val="22"/>
        </w:rPr>
        <w:fldChar w:fldCharType="end"/>
      </w:r>
      <w:r w:rsidRPr="00F442AF">
        <w:rPr>
          <w:b/>
          <w:bCs/>
          <w:i w:val="0"/>
          <w:iCs w:val="0"/>
          <w:color w:val="auto"/>
          <w:sz w:val="22"/>
          <w:szCs w:val="22"/>
        </w:rPr>
        <w:t>. Flow-diagram of the recruitment process for the study health facilities</w:t>
      </w:r>
    </w:p>
    <w:p w14:paraId="2885BD9B" w14:textId="15D96F16" w:rsidR="00F442AF" w:rsidRDefault="00F442AF" w:rsidP="00D739CC">
      <w:pPr>
        <w:spacing w:line="360" w:lineRule="auto"/>
        <w:jc w:val="center"/>
      </w:pPr>
      <w:r>
        <w:rPr>
          <w:noProof/>
        </w:rPr>
        <w:drawing>
          <wp:inline distT="0" distB="0" distL="0" distR="0" wp14:anchorId="289B5E15" wp14:editId="503C273F">
            <wp:extent cx="6084458" cy="3866759"/>
            <wp:effectExtent l="0" t="0" r="0" b="63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30296" cy="3895890"/>
                    </a:xfrm>
                    <a:prstGeom prst="rect">
                      <a:avLst/>
                    </a:prstGeom>
                    <a:noFill/>
                    <a:ln>
                      <a:noFill/>
                    </a:ln>
                  </pic:spPr>
                </pic:pic>
              </a:graphicData>
            </a:graphic>
          </wp:inline>
        </w:drawing>
      </w:r>
    </w:p>
    <w:p w14:paraId="37EDE631" w14:textId="5E495000" w:rsidR="001B4E5F" w:rsidRDefault="001B4E5F" w:rsidP="001B4E5F">
      <w:pPr>
        <w:spacing w:line="360" w:lineRule="auto"/>
      </w:pPr>
      <w:r>
        <w:t xml:space="preserve">By 2015, there were at least 7029 health facilities (public and private) registered in the DHIS-2 database, in anticipation of them submitting monthly malaria reports. Of these, 2656 (37.8%) did not submit any reports through the year, though majority of these were private clinics that often do not comply with MoH reporting requirements (Fig. </w:t>
      </w:r>
      <w:r w:rsidR="001A34F0">
        <w:t>S</w:t>
      </w:r>
      <w:r w:rsidR="000D4CF0">
        <w:t>1</w:t>
      </w:r>
      <w:r>
        <w:t>). A total of 3663 health facilities with associated geo-coordinates were identified by name and these comprised a health facility geolocation database. Comparing the two databases, identities of 3446, by facility name, were matched and the same constituted the study health facilities for this work.</w:t>
      </w:r>
    </w:p>
    <w:p w14:paraId="7D145911" w14:textId="3BBC0A8F" w:rsidR="001B4E5F" w:rsidRPr="000B2DD8" w:rsidRDefault="001B4E5F" w:rsidP="000B2DD8">
      <w:pPr>
        <w:pStyle w:val="ListParagraph"/>
        <w:numPr>
          <w:ilvl w:val="0"/>
          <w:numId w:val="1"/>
        </w:numPr>
        <w:spacing w:line="360" w:lineRule="auto"/>
        <w:rPr>
          <w:b/>
          <w:bCs/>
        </w:rPr>
      </w:pPr>
      <w:r w:rsidRPr="000B2DD8">
        <w:rPr>
          <w:b/>
          <w:bCs/>
        </w:rPr>
        <w:t>Diagnostic confirmation of malaria and reporting</w:t>
      </w:r>
    </w:p>
    <w:p w14:paraId="10A9DC23" w14:textId="30B5F75F" w:rsidR="001B4E5F" w:rsidRDefault="001B4E5F" w:rsidP="001B4E5F">
      <w:pPr>
        <w:spacing w:line="360" w:lineRule="auto"/>
      </w:pPr>
      <w:r>
        <w:t>Whereas diagnostic testing rates varied across the country, overall proportions of the reported malaria cases confirmed by a diagnostic test increased nationally over time from 6</w:t>
      </w:r>
      <w:r w:rsidR="00B31348">
        <w:t>2</w:t>
      </w:r>
      <w:r>
        <w:t>.</w:t>
      </w:r>
      <w:r w:rsidR="00B31348">
        <w:t>2</w:t>
      </w:r>
      <w:r>
        <w:t xml:space="preserve"> to </w:t>
      </w:r>
      <w:r w:rsidR="00B31348">
        <w:t>88</w:t>
      </w:r>
      <w:r>
        <w:t>.</w:t>
      </w:r>
      <w:r w:rsidR="00B31348">
        <w:t>7</w:t>
      </w:r>
      <w:r>
        <w:t xml:space="preserve">% between 2015 and 2019 (Fig. </w:t>
      </w:r>
      <w:r w:rsidR="001A34F0">
        <w:t>S</w:t>
      </w:r>
      <w:r>
        <w:t xml:space="preserve">2). These increases were </w:t>
      </w:r>
      <w:r>
        <w:lastRenderedPageBreak/>
        <w:t>observed across 14 of the 15 endemicity regions of the country, with the three</w:t>
      </w:r>
      <w:r w:rsidRPr="008321D7">
        <w:t xml:space="preserve"> </w:t>
      </w:r>
      <w:r>
        <w:t>best performing regions of Lango in Northern Uganda, Kigezi in South Western Uganda and Teso in Eastern Uganda, increasing from 7</w:t>
      </w:r>
      <w:r w:rsidR="00B31348">
        <w:t>0</w:t>
      </w:r>
      <w:r>
        <w:t>.</w:t>
      </w:r>
      <w:r w:rsidR="00B31348">
        <w:t>9</w:t>
      </w:r>
      <w:r>
        <w:t xml:space="preserve"> to 9</w:t>
      </w:r>
      <w:r w:rsidR="00B31348">
        <w:t>8</w:t>
      </w:r>
      <w:r>
        <w:t>.</w:t>
      </w:r>
      <w:r w:rsidR="00B31348">
        <w:t>1</w:t>
      </w:r>
      <w:r>
        <w:t>%, 5</w:t>
      </w:r>
      <w:r w:rsidR="00B31348">
        <w:t>8</w:t>
      </w:r>
      <w:r>
        <w:t>.</w:t>
      </w:r>
      <w:r w:rsidR="00B31348">
        <w:t>8</w:t>
      </w:r>
      <w:r>
        <w:t xml:space="preserve"> to 97.</w:t>
      </w:r>
      <w:r w:rsidR="00B31348">
        <w:t>4</w:t>
      </w:r>
      <w:r>
        <w:t xml:space="preserve">% and </w:t>
      </w:r>
      <w:r w:rsidR="00B31348">
        <w:t>4</w:t>
      </w:r>
      <w:r>
        <w:t>5.</w:t>
      </w:r>
      <w:r w:rsidR="00B31348">
        <w:t>8</w:t>
      </w:r>
      <w:r>
        <w:t xml:space="preserve"> to 9</w:t>
      </w:r>
      <w:r w:rsidR="00B31348">
        <w:t>8</w:t>
      </w:r>
      <w:r>
        <w:t>.</w:t>
      </w:r>
      <w:r w:rsidR="00B31348">
        <w:t>1</w:t>
      </w:r>
      <w:r>
        <w:t>% respectively. Notably however, Kampala in central Uganda recorded declining performance, with the proportion of reported cases that were diagnostically confirmed reducing from 6</w:t>
      </w:r>
      <w:r w:rsidR="00B31348">
        <w:t>2</w:t>
      </w:r>
      <w:r>
        <w:t xml:space="preserve">.0 to </w:t>
      </w:r>
      <w:r w:rsidR="00B31348">
        <w:t>16</w:t>
      </w:r>
      <w:r>
        <w:t>.</w:t>
      </w:r>
      <w:r w:rsidR="00B31348">
        <w:t>0</w:t>
      </w:r>
      <w:r>
        <w:t>% between 2015 and 201</w:t>
      </w:r>
      <w:r w:rsidR="00B31348">
        <w:t>7</w:t>
      </w:r>
      <w:r>
        <w:t xml:space="preserve">. Notably however, majority of excluded facilities, were disproportionately concentrated in Kampala (the capital city and most urban district in the country) making it an outlier. Along with the improved diagnostic testing, national reporting rates defined as the proportion of the expected reports received within the DHIS-2 system per year recorded an 22.1% increase between 2015 and 2019 (Fig. </w:t>
      </w:r>
      <w:r w:rsidR="001A34F0">
        <w:t>S</w:t>
      </w:r>
      <w:r w:rsidR="00B90935">
        <w:t>3</w:t>
      </w:r>
      <w:r>
        <w:t>).</w:t>
      </w:r>
    </w:p>
    <w:p w14:paraId="6289060A" w14:textId="7AEE432C" w:rsidR="009A11D8" w:rsidRPr="009A11D8" w:rsidRDefault="009A11D8" w:rsidP="009A11D8">
      <w:pPr>
        <w:pStyle w:val="Caption"/>
        <w:keepNext/>
        <w:jc w:val="center"/>
        <w:rPr>
          <w:b/>
          <w:bCs/>
          <w:i w:val="0"/>
          <w:iCs w:val="0"/>
          <w:color w:val="auto"/>
          <w:sz w:val="22"/>
          <w:szCs w:val="22"/>
        </w:rPr>
      </w:pPr>
      <w:r w:rsidRPr="009A11D8">
        <w:rPr>
          <w:b/>
          <w:bCs/>
          <w:i w:val="0"/>
          <w:iCs w:val="0"/>
          <w:color w:val="auto"/>
          <w:sz w:val="22"/>
          <w:szCs w:val="22"/>
        </w:rPr>
        <w:t xml:space="preserve">Fig </w:t>
      </w:r>
      <w:r w:rsidR="00962132">
        <w:rPr>
          <w:b/>
          <w:bCs/>
          <w:i w:val="0"/>
          <w:iCs w:val="0"/>
          <w:color w:val="auto"/>
          <w:sz w:val="22"/>
          <w:szCs w:val="22"/>
        </w:rPr>
        <w:t>S</w:t>
      </w:r>
      <w:r w:rsidRPr="009A11D8">
        <w:rPr>
          <w:b/>
          <w:bCs/>
          <w:i w:val="0"/>
          <w:iCs w:val="0"/>
          <w:color w:val="auto"/>
          <w:sz w:val="22"/>
          <w:szCs w:val="22"/>
        </w:rPr>
        <w:fldChar w:fldCharType="begin"/>
      </w:r>
      <w:r w:rsidRPr="009A11D8">
        <w:rPr>
          <w:b/>
          <w:bCs/>
          <w:i w:val="0"/>
          <w:iCs w:val="0"/>
          <w:color w:val="auto"/>
          <w:sz w:val="22"/>
          <w:szCs w:val="22"/>
        </w:rPr>
        <w:instrText xml:space="preserve"> SEQ Fig \* ARABIC </w:instrText>
      </w:r>
      <w:r w:rsidRPr="009A11D8">
        <w:rPr>
          <w:b/>
          <w:bCs/>
          <w:i w:val="0"/>
          <w:iCs w:val="0"/>
          <w:color w:val="auto"/>
          <w:sz w:val="22"/>
          <w:szCs w:val="22"/>
        </w:rPr>
        <w:fldChar w:fldCharType="separate"/>
      </w:r>
      <w:r w:rsidRPr="009A11D8">
        <w:rPr>
          <w:b/>
          <w:bCs/>
          <w:i w:val="0"/>
          <w:iCs w:val="0"/>
          <w:noProof/>
          <w:color w:val="auto"/>
          <w:sz w:val="22"/>
          <w:szCs w:val="22"/>
        </w:rPr>
        <w:t>2</w:t>
      </w:r>
      <w:r w:rsidRPr="009A11D8">
        <w:rPr>
          <w:b/>
          <w:bCs/>
          <w:i w:val="0"/>
          <w:iCs w:val="0"/>
          <w:color w:val="auto"/>
          <w:sz w:val="22"/>
          <w:szCs w:val="22"/>
        </w:rPr>
        <w:fldChar w:fldCharType="end"/>
      </w:r>
      <w:r w:rsidRPr="009A11D8">
        <w:rPr>
          <w:b/>
          <w:bCs/>
          <w:i w:val="0"/>
          <w:iCs w:val="0"/>
          <w:color w:val="auto"/>
          <w:sz w:val="22"/>
          <w:szCs w:val="22"/>
        </w:rPr>
        <w:t>. Distribution of proportions of reported malaria cases that were test confirmed, by the 2018 MIS endemicity regions and nationally.</w:t>
      </w:r>
    </w:p>
    <w:p w14:paraId="0E779616" w14:textId="6DFD73DD" w:rsidR="00766225" w:rsidRDefault="00F97E87" w:rsidP="00731C3F">
      <w:pPr>
        <w:spacing w:line="360" w:lineRule="auto"/>
        <w:ind w:firstLine="720"/>
        <w:jc w:val="center"/>
      </w:pPr>
      <w:r>
        <w:rPr>
          <w:noProof/>
        </w:rPr>
        <w:drawing>
          <wp:inline distT="0" distB="0" distL="0" distR="0" wp14:anchorId="577E187C" wp14:editId="38D91DF9">
            <wp:extent cx="5133191" cy="389572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48635" cy="3907446"/>
                    </a:xfrm>
                    <a:prstGeom prst="rect">
                      <a:avLst/>
                    </a:prstGeom>
                    <a:noFill/>
                    <a:ln>
                      <a:noFill/>
                    </a:ln>
                  </pic:spPr>
                </pic:pic>
              </a:graphicData>
            </a:graphic>
          </wp:inline>
        </w:drawing>
      </w:r>
    </w:p>
    <w:p w14:paraId="0F0A163F" w14:textId="1A4F5DF2" w:rsidR="00731C3F" w:rsidRDefault="00731C3F" w:rsidP="001B4E5F">
      <w:pPr>
        <w:spacing w:line="360" w:lineRule="auto"/>
        <w:ind w:firstLine="720"/>
        <w:rPr>
          <w:i/>
          <w:iCs/>
        </w:rPr>
      </w:pPr>
      <w:r w:rsidRPr="00731C3F">
        <w:rPr>
          <w:i/>
          <w:iCs/>
        </w:rPr>
        <w:t>*Not complete calendar years, included July-December 2015 and January-September 2019</w:t>
      </w:r>
    </w:p>
    <w:p w14:paraId="71D3DF08" w14:textId="373B9CBF" w:rsidR="00FA374F" w:rsidRPr="00FA374F" w:rsidRDefault="00FA374F" w:rsidP="00FA374F">
      <w:pPr>
        <w:spacing w:line="360" w:lineRule="auto"/>
        <w:ind w:left="1440" w:hanging="720"/>
        <w:rPr>
          <w:i/>
          <w:iCs/>
        </w:rPr>
      </w:pPr>
      <w:r w:rsidRPr="00FA374F">
        <w:rPr>
          <w:i/>
          <w:iCs/>
        </w:rPr>
        <w:t>The red colours represent lowest performance of reporting test confirmed cases while the green colours, improving performance</w:t>
      </w:r>
    </w:p>
    <w:p w14:paraId="7211807D" w14:textId="77777777" w:rsidR="00B90935" w:rsidRDefault="00B90935" w:rsidP="00B90935">
      <w:pPr>
        <w:pStyle w:val="ListParagraph"/>
        <w:numPr>
          <w:ilvl w:val="0"/>
          <w:numId w:val="1"/>
        </w:numPr>
        <w:spacing w:line="360" w:lineRule="auto"/>
        <w:rPr>
          <w:b/>
          <w:bCs/>
        </w:rPr>
      </w:pPr>
      <w:r>
        <w:rPr>
          <w:b/>
          <w:bCs/>
        </w:rPr>
        <w:t>Reporting completeness and timeliness</w:t>
      </w:r>
    </w:p>
    <w:p w14:paraId="247B1EB1" w14:textId="4FDFBFE4" w:rsidR="00B90935" w:rsidRDefault="00B90935" w:rsidP="00B90935">
      <w:pPr>
        <w:spacing w:line="360" w:lineRule="auto"/>
      </w:pPr>
      <w:r>
        <w:t>Part of the output from the DHIS-2 system is an assessment of reporting completeness and timeliness of report submission. Reports of national reporting were generated from the system for the study duration and these were available by MIS regions of 2014 during which the country was divided into five regions. Fig</w:t>
      </w:r>
      <w:r w:rsidR="000D4CF0">
        <w:t>.</w:t>
      </w:r>
      <w:r>
        <w:t xml:space="preserve"> </w:t>
      </w:r>
      <w:r w:rsidR="001A34F0">
        <w:t>S</w:t>
      </w:r>
      <w:r>
        <w:t xml:space="preserve">3 below shows the trends in reporting rates, </w:t>
      </w:r>
      <w:r>
        <w:lastRenderedPageBreak/>
        <w:t>defined as the proportion of expected reports for a given year that were submitted from regions. Notably however, reporting timeliness was lower than eventual submission indicating an area of much needed improvement in HMIS reporting.</w:t>
      </w:r>
    </w:p>
    <w:p w14:paraId="225539B4" w14:textId="2193EDC4" w:rsidR="00B90935" w:rsidRPr="004D790F" w:rsidRDefault="00B90935" w:rsidP="00B90935">
      <w:pPr>
        <w:pStyle w:val="Caption"/>
        <w:keepNext/>
        <w:jc w:val="center"/>
        <w:rPr>
          <w:b/>
          <w:bCs/>
          <w:i w:val="0"/>
          <w:iCs w:val="0"/>
          <w:color w:val="auto"/>
          <w:sz w:val="22"/>
          <w:szCs w:val="22"/>
        </w:rPr>
      </w:pPr>
      <w:r w:rsidRPr="004D790F">
        <w:rPr>
          <w:b/>
          <w:bCs/>
          <w:i w:val="0"/>
          <w:iCs w:val="0"/>
          <w:color w:val="auto"/>
          <w:sz w:val="22"/>
          <w:szCs w:val="22"/>
        </w:rPr>
        <w:t xml:space="preserve">Fig </w:t>
      </w:r>
      <w:r w:rsidR="00962132">
        <w:rPr>
          <w:b/>
          <w:bCs/>
          <w:i w:val="0"/>
          <w:iCs w:val="0"/>
          <w:color w:val="auto"/>
          <w:sz w:val="22"/>
          <w:szCs w:val="22"/>
        </w:rPr>
        <w:t>S</w:t>
      </w:r>
      <w:r w:rsidRPr="004D790F">
        <w:rPr>
          <w:b/>
          <w:bCs/>
          <w:i w:val="0"/>
          <w:iCs w:val="0"/>
          <w:color w:val="auto"/>
          <w:sz w:val="22"/>
          <w:szCs w:val="22"/>
        </w:rPr>
        <w:fldChar w:fldCharType="begin"/>
      </w:r>
      <w:r w:rsidRPr="004D790F">
        <w:rPr>
          <w:b/>
          <w:bCs/>
          <w:i w:val="0"/>
          <w:iCs w:val="0"/>
          <w:color w:val="auto"/>
          <w:sz w:val="22"/>
          <w:szCs w:val="22"/>
        </w:rPr>
        <w:instrText xml:space="preserve"> SEQ Fig \* ARABIC </w:instrText>
      </w:r>
      <w:r w:rsidRPr="004D790F">
        <w:rPr>
          <w:b/>
          <w:bCs/>
          <w:i w:val="0"/>
          <w:iCs w:val="0"/>
          <w:color w:val="auto"/>
          <w:sz w:val="22"/>
          <w:szCs w:val="22"/>
        </w:rPr>
        <w:fldChar w:fldCharType="separate"/>
      </w:r>
      <w:r w:rsidR="009A11D8">
        <w:rPr>
          <w:b/>
          <w:bCs/>
          <w:i w:val="0"/>
          <w:iCs w:val="0"/>
          <w:noProof/>
          <w:color w:val="auto"/>
          <w:sz w:val="22"/>
          <w:szCs w:val="22"/>
        </w:rPr>
        <w:t>3</w:t>
      </w:r>
      <w:r w:rsidRPr="004D790F">
        <w:rPr>
          <w:b/>
          <w:bCs/>
          <w:i w:val="0"/>
          <w:iCs w:val="0"/>
          <w:color w:val="auto"/>
          <w:sz w:val="22"/>
          <w:szCs w:val="22"/>
        </w:rPr>
        <w:fldChar w:fldCharType="end"/>
      </w:r>
      <w:r w:rsidRPr="004D790F">
        <w:rPr>
          <w:b/>
          <w:bCs/>
          <w:i w:val="0"/>
          <w:iCs w:val="0"/>
          <w:color w:val="auto"/>
          <w:sz w:val="22"/>
          <w:szCs w:val="22"/>
        </w:rPr>
        <w:t xml:space="preserve">. Proportion of expected HMIS reports </w:t>
      </w:r>
      <w:r w:rsidRPr="004D790F">
        <w:rPr>
          <w:b/>
          <w:bCs/>
          <w:i w:val="0"/>
          <w:iCs w:val="0"/>
          <w:noProof/>
          <w:color w:val="auto"/>
          <w:sz w:val="22"/>
          <w:szCs w:val="22"/>
        </w:rPr>
        <w:t>that were submited, by the four regions and the overall national trend</w:t>
      </w:r>
    </w:p>
    <w:p w14:paraId="3A937A38" w14:textId="77777777" w:rsidR="00B90935" w:rsidRDefault="00B90935" w:rsidP="00B90935">
      <w:pPr>
        <w:spacing w:line="360" w:lineRule="auto"/>
        <w:jc w:val="center"/>
        <w:rPr>
          <w:b/>
          <w:bCs/>
        </w:rPr>
      </w:pPr>
      <w:r>
        <w:rPr>
          <w:noProof/>
        </w:rPr>
        <w:drawing>
          <wp:inline distT="0" distB="0" distL="0" distR="0" wp14:anchorId="7CD3B8A4" wp14:editId="615F66D5">
            <wp:extent cx="5807703" cy="3676650"/>
            <wp:effectExtent l="0" t="0" r="317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20514" cy="3684760"/>
                    </a:xfrm>
                    <a:prstGeom prst="rect">
                      <a:avLst/>
                    </a:prstGeom>
                    <a:noFill/>
                    <a:ln>
                      <a:noFill/>
                    </a:ln>
                  </pic:spPr>
                </pic:pic>
              </a:graphicData>
            </a:graphic>
          </wp:inline>
        </w:drawing>
      </w:r>
    </w:p>
    <w:p w14:paraId="46C4894A" w14:textId="77777777" w:rsidR="00B90935" w:rsidRDefault="00B90935" w:rsidP="00B90935">
      <w:pPr>
        <w:spacing w:line="360" w:lineRule="auto"/>
      </w:pPr>
      <w:r w:rsidRPr="004D790F">
        <w:t>The central</w:t>
      </w:r>
      <w:r>
        <w:t xml:space="preserve"> region which includes Kampala and the other highly urbanized areas of the country showed the lowest performance, consistent with findings from our analysis where urban areas with high proportions of PFP that report the least. However, the region showed considerable improvement over the years.</w:t>
      </w:r>
    </w:p>
    <w:p w14:paraId="5CB6F63E" w14:textId="77777777" w:rsidR="00B90935" w:rsidRPr="00766225" w:rsidRDefault="00B90935" w:rsidP="001B4E5F">
      <w:pPr>
        <w:spacing w:line="360" w:lineRule="auto"/>
        <w:ind w:firstLine="720"/>
      </w:pPr>
    </w:p>
    <w:p w14:paraId="0E23AEA7" w14:textId="0FEA81E3" w:rsidR="00FD16CC" w:rsidRPr="00FD16CC" w:rsidRDefault="00FD16CC" w:rsidP="00FD16CC">
      <w:pPr>
        <w:pStyle w:val="ListParagraph"/>
        <w:numPr>
          <w:ilvl w:val="0"/>
          <w:numId w:val="1"/>
        </w:numPr>
        <w:spacing w:line="360" w:lineRule="auto"/>
        <w:rPr>
          <w:b/>
          <w:bCs/>
        </w:rPr>
      </w:pPr>
      <w:r w:rsidRPr="00FD16CC">
        <w:rPr>
          <w:b/>
          <w:bCs/>
        </w:rPr>
        <w:t>Impact of study design on results</w:t>
      </w:r>
    </w:p>
    <w:p w14:paraId="33A2E729" w14:textId="05D3A31E" w:rsidR="00F532B9" w:rsidRDefault="00612A7E" w:rsidP="00A81868">
      <w:pPr>
        <w:spacing w:line="360" w:lineRule="auto"/>
      </w:pPr>
      <w:r>
        <w:t xml:space="preserve">Whilst the study health facilities included in the analysis were only a proportion of the full list of health facilities registered in the national data repository of surveillance data (DHIS-2), </w:t>
      </w:r>
      <w:r w:rsidR="00F532B9">
        <w:t xml:space="preserve">these were a good </w:t>
      </w:r>
      <w:r w:rsidR="00F26604">
        <w:t xml:space="preserve">general </w:t>
      </w:r>
      <w:r w:rsidR="00F532B9">
        <w:t xml:space="preserve">representation for the national distribution. </w:t>
      </w:r>
      <w:r w:rsidR="00F26604">
        <w:t>This was supported by a</w:t>
      </w:r>
      <w:r w:rsidR="00F532B9">
        <w:t xml:space="preserve"> general left skewed distribution with a median proportion of 71.3%</w:t>
      </w:r>
      <w:r w:rsidR="008D1823">
        <w:t xml:space="preserve"> (IQR: 59.0 – 80.0) </w:t>
      </w:r>
      <w:r w:rsidR="00F532B9">
        <w:t xml:space="preserve"> (Fig</w:t>
      </w:r>
      <w:r w:rsidR="000D4CF0">
        <w:t>.</w:t>
      </w:r>
      <w:r w:rsidR="00F532B9">
        <w:t xml:space="preserve"> </w:t>
      </w:r>
      <w:r w:rsidR="001A34F0">
        <w:t>S</w:t>
      </w:r>
      <w:r w:rsidR="00B90935">
        <w:t>4</w:t>
      </w:r>
      <w:r w:rsidR="00F532B9">
        <w:t>)</w:t>
      </w:r>
      <w:r>
        <w:t xml:space="preserve"> </w:t>
      </w:r>
      <w:r w:rsidR="00F532B9">
        <w:t>and three districts (Kampala and Wakiso</w:t>
      </w:r>
      <w:r w:rsidR="00743AD1">
        <w:t xml:space="preserve"> - </w:t>
      </w:r>
      <w:r w:rsidR="00F532B9">
        <w:t>the most urban settings of the country</w:t>
      </w:r>
      <w:r w:rsidR="00743AD1">
        <w:t>,</w:t>
      </w:r>
      <w:r w:rsidR="00F532B9">
        <w:t xml:space="preserve"> plus Kitgum</w:t>
      </w:r>
      <w:r w:rsidR="00743AD1">
        <w:t xml:space="preserve"> -</w:t>
      </w:r>
      <w:r w:rsidR="00F532B9">
        <w:t xml:space="preserve"> a fairly rural district in </w:t>
      </w:r>
      <w:r w:rsidR="00341290">
        <w:t xml:space="preserve">the </w:t>
      </w:r>
      <w:r w:rsidR="00F532B9">
        <w:t>previously war ravaged Northern Uganda) presenting as outliers with low proportions of registered health facilities included in the analysis (Fig</w:t>
      </w:r>
      <w:r w:rsidR="0016724C">
        <w:t>s</w:t>
      </w:r>
      <w:r w:rsidR="000D4CF0">
        <w:t>.</w:t>
      </w:r>
      <w:r w:rsidR="0016724C">
        <w:t xml:space="preserve"> </w:t>
      </w:r>
      <w:r w:rsidR="001A34F0">
        <w:t>S</w:t>
      </w:r>
      <w:r w:rsidR="0016724C">
        <w:t>4 &amp;</w:t>
      </w:r>
      <w:r w:rsidR="00F532B9">
        <w:t xml:space="preserve"> </w:t>
      </w:r>
      <w:r w:rsidR="001A34F0">
        <w:t>S</w:t>
      </w:r>
      <w:r w:rsidR="00B90935">
        <w:t>5</w:t>
      </w:r>
      <w:r w:rsidR="00F532B9">
        <w:t>).</w:t>
      </w:r>
    </w:p>
    <w:p w14:paraId="25466172" w14:textId="43153891" w:rsidR="00F532B9" w:rsidRPr="00F26604" w:rsidRDefault="00F532B9" w:rsidP="00F532B9">
      <w:pPr>
        <w:pStyle w:val="Caption"/>
        <w:keepNext/>
        <w:jc w:val="center"/>
        <w:rPr>
          <w:b/>
          <w:bCs/>
          <w:i w:val="0"/>
          <w:iCs w:val="0"/>
          <w:color w:val="auto"/>
          <w:sz w:val="22"/>
          <w:szCs w:val="22"/>
        </w:rPr>
      </w:pPr>
      <w:r w:rsidRPr="00F26604">
        <w:rPr>
          <w:b/>
          <w:bCs/>
          <w:i w:val="0"/>
          <w:iCs w:val="0"/>
          <w:color w:val="auto"/>
          <w:sz w:val="22"/>
          <w:szCs w:val="22"/>
        </w:rPr>
        <w:lastRenderedPageBreak/>
        <w:t xml:space="preserve">Fig </w:t>
      </w:r>
      <w:r w:rsidR="00962132">
        <w:rPr>
          <w:b/>
          <w:bCs/>
          <w:i w:val="0"/>
          <w:iCs w:val="0"/>
          <w:color w:val="auto"/>
          <w:sz w:val="22"/>
          <w:szCs w:val="22"/>
        </w:rPr>
        <w:t>S</w:t>
      </w:r>
      <w:r w:rsidRPr="00F26604">
        <w:rPr>
          <w:b/>
          <w:bCs/>
          <w:i w:val="0"/>
          <w:iCs w:val="0"/>
          <w:color w:val="auto"/>
          <w:sz w:val="22"/>
          <w:szCs w:val="22"/>
        </w:rPr>
        <w:fldChar w:fldCharType="begin"/>
      </w:r>
      <w:r w:rsidRPr="00F26604">
        <w:rPr>
          <w:b/>
          <w:bCs/>
          <w:i w:val="0"/>
          <w:iCs w:val="0"/>
          <w:color w:val="auto"/>
          <w:sz w:val="22"/>
          <w:szCs w:val="22"/>
        </w:rPr>
        <w:instrText xml:space="preserve"> SEQ Fig \* ARABIC </w:instrText>
      </w:r>
      <w:r w:rsidRPr="00F26604">
        <w:rPr>
          <w:b/>
          <w:bCs/>
          <w:i w:val="0"/>
          <w:iCs w:val="0"/>
          <w:color w:val="auto"/>
          <w:sz w:val="22"/>
          <w:szCs w:val="22"/>
        </w:rPr>
        <w:fldChar w:fldCharType="separate"/>
      </w:r>
      <w:r w:rsidR="009A11D8">
        <w:rPr>
          <w:b/>
          <w:bCs/>
          <w:i w:val="0"/>
          <w:iCs w:val="0"/>
          <w:noProof/>
          <w:color w:val="auto"/>
          <w:sz w:val="22"/>
          <w:szCs w:val="22"/>
        </w:rPr>
        <w:t>4</w:t>
      </w:r>
      <w:r w:rsidRPr="00F26604">
        <w:rPr>
          <w:b/>
          <w:bCs/>
          <w:i w:val="0"/>
          <w:iCs w:val="0"/>
          <w:color w:val="auto"/>
          <w:sz w:val="22"/>
          <w:szCs w:val="22"/>
        </w:rPr>
        <w:fldChar w:fldCharType="end"/>
      </w:r>
      <w:r w:rsidRPr="00F26604">
        <w:rPr>
          <w:b/>
          <w:bCs/>
          <w:i w:val="0"/>
          <w:iCs w:val="0"/>
          <w:color w:val="auto"/>
          <w:sz w:val="22"/>
          <w:szCs w:val="22"/>
        </w:rPr>
        <w:t>. Distribution of health facility inclusion in the analysis from amongst the list registered in the DHIS-2 database by 2015</w:t>
      </w:r>
    </w:p>
    <w:p w14:paraId="6C12F902" w14:textId="3F5DCECB" w:rsidR="00F532B9" w:rsidRDefault="00F532B9" w:rsidP="00F532B9">
      <w:pPr>
        <w:spacing w:line="360" w:lineRule="auto"/>
        <w:jc w:val="center"/>
      </w:pPr>
      <w:r>
        <w:rPr>
          <w:noProof/>
        </w:rPr>
        <w:drawing>
          <wp:inline distT="0" distB="0" distL="0" distR="0" wp14:anchorId="3F16F642" wp14:editId="71BF8B82">
            <wp:extent cx="4733023" cy="3338423"/>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750353" cy="3350647"/>
                    </a:xfrm>
                    <a:prstGeom prst="rect">
                      <a:avLst/>
                    </a:prstGeom>
                    <a:noFill/>
                    <a:ln>
                      <a:noFill/>
                    </a:ln>
                  </pic:spPr>
                </pic:pic>
              </a:graphicData>
            </a:graphic>
          </wp:inline>
        </w:drawing>
      </w:r>
    </w:p>
    <w:p w14:paraId="0CD31525" w14:textId="1BD56D1E" w:rsidR="00743AD1" w:rsidRDefault="00743AD1" w:rsidP="00743AD1">
      <w:pPr>
        <w:spacing w:line="360" w:lineRule="auto"/>
      </w:pPr>
      <w:r>
        <w:t>This distribution suggests a fairly good representation of routine surveillance data from across the country with the exception of the three unique districts for which additional efforts would be required to improve their status.</w:t>
      </w:r>
    </w:p>
    <w:p w14:paraId="0A36DF3C" w14:textId="2027EDA4" w:rsidR="00743AD1" w:rsidRPr="00743AD1" w:rsidRDefault="00743AD1" w:rsidP="00743AD1">
      <w:pPr>
        <w:pStyle w:val="Caption"/>
        <w:keepNext/>
        <w:jc w:val="center"/>
        <w:rPr>
          <w:b/>
          <w:bCs/>
          <w:i w:val="0"/>
          <w:iCs w:val="0"/>
          <w:color w:val="auto"/>
          <w:sz w:val="22"/>
          <w:szCs w:val="22"/>
        </w:rPr>
      </w:pPr>
      <w:r w:rsidRPr="00743AD1">
        <w:rPr>
          <w:b/>
          <w:bCs/>
          <w:i w:val="0"/>
          <w:iCs w:val="0"/>
          <w:color w:val="auto"/>
          <w:sz w:val="22"/>
          <w:szCs w:val="22"/>
        </w:rPr>
        <w:lastRenderedPageBreak/>
        <w:t xml:space="preserve">Fig </w:t>
      </w:r>
      <w:r w:rsidR="00962132">
        <w:rPr>
          <w:b/>
          <w:bCs/>
          <w:i w:val="0"/>
          <w:iCs w:val="0"/>
          <w:color w:val="auto"/>
          <w:sz w:val="22"/>
          <w:szCs w:val="22"/>
        </w:rPr>
        <w:t>S</w:t>
      </w:r>
      <w:r w:rsidRPr="00743AD1">
        <w:rPr>
          <w:b/>
          <w:bCs/>
          <w:i w:val="0"/>
          <w:iCs w:val="0"/>
          <w:color w:val="auto"/>
          <w:sz w:val="22"/>
          <w:szCs w:val="22"/>
        </w:rPr>
        <w:fldChar w:fldCharType="begin"/>
      </w:r>
      <w:r w:rsidRPr="00743AD1">
        <w:rPr>
          <w:b/>
          <w:bCs/>
          <w:i w:val="0"/>
          <w:iCs w:val="0"/>
          <w:color w:val="auto"/>
          <w:sz w:val="22"/>
          <w:szCs w:val="22"/>
        </w:rPr>
        <w:instrText xml:space="preserve"> SEQ Fig \* ARABIC </w:instrText>
      </w:r>
      <w:r w:rsidRPr="00743AD1">
        <w:rPr>
          <w:b/>
          <w:bCs/>
          <w:i w:val="0"/>
          <w:iCs w:val="0"/>
          <w:color w:val="auto"/>
          <w:sz w:val="22"/>
          <w:szCs w:val="22"/>
        </w:rPr>
        <w:fldChar w:fldCharType="separate"/>
      </w:r>
      <w:r w:rsidR="009A11D8">
        <w:rPr>
          <w:b/>
          <w:bCs/>
          <w:i w:val="0"/>
          <w:iCs w:val="0"/>
          <w:noProof/>
          <w:color w:val="auto"/>
          <w:sz w:val="22"/>
          <w:szCs w:val="22"/>
        </w:rPr>
        <w:t>5</w:t>
      </w:r>
      <w:r w:rsidRPr="00743AD1">
        <w:rPr>
          <w:b/>
          <w:bCs/>
          <w:i w:val="0"/>
          <w:iCs w:val="0"/>
          <w:color w:val="auto"/>
          <w:sz w:val="22"/>
          <w:szCs w:val="22"/>
        </w:rPr>
        <w:fldChar w:fldCharType="end"/>
      </w:r>
      <w:r w:rsidRPr="00743AD1">
        <w:rPr>
          <w:b/>
          <w:bCs/>
          <w:i w:val="0"/>
          <w:iCs w:val="0"/>
          <w:color w:val="auto"/>
          <w:sz w:val="22"/>
          <w:szCs w:val="22"/>
        </w:rPr>
        <w:t>. Geographical representation of the proportion of DHIS-2 health facilities inc</w:t>
      </w:r>
      <w:r w:rsidRPr="00743AD1">
        <w:rPr>
          <w:b/>
          <w:bCs/>
          <w:i w:val="0"/>
          <w:iCs w:val="0"/>
          <w:noProof/>
          <w:color w:val="auto"/>
          <w:sz w:val="22"/>
          <w:szCs w:val="22"/>
        </w:rPr>
        <w:t>luded in this study by district</w:t>
      </w:r>
      <w:r>
        <w:rPr>
          <w:b/>
          <w:bCs/>
          <w:i w:val="0"/>
          <w:iCs w:val="0"/>
          <w:noProof/>
          <w:color w:val="auto"/>
          <w:sz w:val="22"/>
          <w:szCs w:val="22"/>
        </w:rPr>
        <w:t>.</w:t>
      </w:r>
    </w:p>
    <w:p w14:paraId="5E9E3741" w14:textId="454CEBCA" w:rsidR="00F532B9" w:rsidRDefault="00F532B9" w:rsidP="00F532B9">
      <w:pPr>
        <w:spacing w:line="360" w:lineRule="auto"/>
        <w:jc w:val="center"/>
      </w:pPr>
      <w:r>
        <w:rPr>
          <w:noProof/>
        </w:rPr>
        <w:drawing>
          <wp:inline distT="0" distB="0" distL="0" distR="0" wp14:anchorId="0709CC1F" wp14:editId="4DB58336">
            <wp:extent cx="4407972" cy="52578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4053" b="6923"/>
                    <a:stretch/>
                  </pic:blipFill>
                  <pic:spPr bwMode="auto">
                    <a:xfrm>
                      <a:off x="0" y="0"/>
                      <a:ext cx="4420610" cy="5272875"/>
                    </a:xfrm>
                    <a:prstGeom prst="rect">
                      <a:avLst/>
                    </a:prstGeom>
                    <a:noFill/>
                    <a:ln>
                      <a:noFill/>
                    </a:ln>
                    <a:extLst>
                      <a:ext uri="{53640926-AAD7-44D8-BBD7-CCE9431645EC}">
                        <a14:shadowObscured xmlns:a14="http://schemas.microsoft.com/office/drawing/2010/main"/>
                      </a:ext>
                    </a:extLst>
                  </pic:spPr>
                </pic:pic>
              </a:graphicData>
            </a:graphic>
          </wp:inline>
        </w:drawing>
      </w:r>
    </w:p>
    <w:p w14:paraId="3429B6FD" w14:textId="5C772F49" w:rsidR="00743AD1" w:rsidRDefault="00341290" w:rsidP="00EA34F5">
      <w:pPr>
        <w:spacing w:line="360" w:lineRule="auto"/>
      </w:pPr>
      <w:r>
        <w:t xml:space="preserve">We observed here that the mid-western region of the country is another that is fairly under-represented. However, it’s not clear why in spite of the fairly good overage of catchments across this region, there is still a large number of facilities unaccounted for. Interestingly however, the north-eastern region that had a sparse distribution of catchments than the rest of the country presented some the highest representation districts. Nevertheless, the population in this region </w:t>
      </w:r>
      <w:r w:rsidR="00EA34F5">
        <w:t>leads a</w:t>
      </w:r>
      <w:r>
        <w:t xml:space="preserve"> characteristically nomadic</w:t>
      </w:r>
      <w:r w:rsidR="00EA34F5">
        <w:t xml:space="preserve"> lifestyle</w:t>
      </w:r>
      <w:r>
        <w:t xml:space="preserve"> </w:t>
      </w:r>
      <w:r w:rsidR="00EA34F5">
        <w:t>with</w:t>
      </w:r>
      <w:r>
        <w:t xml:space="preserve"> far-flung permanent settlements among which health facilities would be viable.</w:t>
      </w:r>
    </w:p>
    <w:p w14:paraId="027449EF" w14:textId="583DD403" w:rsidR="008863C5" w:rsidRDefault="00886847" w:rsidP="00A6399A">
      <w:pPr>
        <w:spacing w:line="360" w:lineRule="auto"/>
        <w:rPr>
          <w:b/>
          <w:bCs/>
        </w:rPr>
      </w:pPr>
      <w:r w:rsidRPr="00886847">
        <w:t xml:space="preserve">To </w:t>
      </w:r>
      <w:r>
        <w:t xml:space="preserve">assess the impact of exclusion of facilities from the study on the basis of no geo-location information, </w:t>
      </w:r>
      <w:r w:rsidR="00EA34F5">
        <w:t xml:space="preserve">however, </w:t>
      </w:r>
      <w:r>
        <w:t xml:space="preserve">we examined the raw reported confirmed malaria cases by for each of the 15 endemicity regions. Here, we assessed confirmed malaria cases from excluded regions as a proportion of overall regional confirmed malaria cases reported over each calendar year of the study duration. </w:t>
      </w:r>
      <w:r w:rsidR="00CF5F67">
        <w:t>Results showed that the proportion of confirmed cases among non-geolocated facilities increased slightly between 2015 and 2019 with the highest increase in Tooro</w:t>
      </w:r>
      <w:r w:rsidR="002A444D">
        <w:t xml:space="preserve"> from 11.7 to 32.9%,</w:t>
      </w:r>
      <w:r w:rsidR="00CF5F67">
        <w:t xml:space="preserve"> followed by West Nile</w:t>
      </w:r>
      <w:r w:rsidR="002A444D">
        <w:t xml:space="preserve"> from 3.6 to 16.4% respectively (Table </w:t>
      </w:r>
      <w:r w:rsidR="001A34F0">
        <w:t>S</w:t>
      </w:r>
      <w:r w:rsidR="002A444D">
        <w:t>1).</w:t>
      </w:r>
      <w:r w:rsidR="00A81868">
        <w:t xml:space="preserve"> Overall, the proportion of malaria cases reported from non-study health facilities </w:t>
      </w:r>
      <w:r w:rsidR="00A81868">
        <w:lastRenderedPageBreak/>
        <w:t>moderately increased between 2015 and 2019 from 11.7% to 16.1%, which may indicate an increase in reporting, especially from private facilities with time.</w:t>
      </w:r>
      <w:r w:rsidR="008863C5">
        <w:rPr>
          <w:b/>
          <w:bCs/>
          <w:i/>
          <w:iCs/>
        </w:rPr>
        <w:br w:type="page"/>
      </w:r>
    </w:p>
    <w:p w14:paraId="6A666478" w14:textId="77777777" w:rsidR="008863C5" w:rsidRDefault="008863C5" w:rsidP="00FD16CC">
      <w:pPr>
        <w:pStyle w:val="Caption"/>
        <w:keepNext/>
        <w:rPr>
          <w:b/>
          <w:bCs/>
          <w:i w:val="0"/>
          <w:iCs w:val="0"/>
          <w:color w:val="auto"/>
          <w:sz w:val="22"/>
          <w:szCs w:val="22"/>
        </w:rPr>
        <w:sectPr w:rsidR="008863C5" w:rsidSect="008863C5">
          <w:footerReference w:type="default" r:id="rId12"/>
          <w:pgSz w:w="12240" w:h="15840"/>
          <w:pgMar w:top="839" w:right="567" w:bottom="567" w:left="567" w:header="720" w:footer="720" w:gutter="0"/>
          <w:cols w:space="720"/>
          <w:docGrid w:linePitch="360"/>
        </w:sectPr>
      </w:pPr>
    </w:p>
    <w:p w14:paraId="78D9B928" w14:textId="137CA614" w:rsidR="00FD16CC" w:rsidRPr="00FD16CC" w:rsidRDefault="00FD16CC" w:rsidP="00FD16CC">
      <w:pPr>
        <w:pStyle w:val="Caption"/>
        <w:keepNext/>
        <w:rPr>
          <w:b/>
          <w:bCs/>
          <w:i w:val="0"/>
          <w:iCs w:val="0"/>
          <w:color w:val="auto"/>
          <w:sz w:val="22"/>
          <w:szCs w:val="22"/>
        </w:rPr>
      </w:pPr>
      <w:r w:rsidRPr="00FD16CC">
        <w:rPr>
          <w:b/>
          <w:bCs/>
          <w:i w:val="0"/>
          <w:iCs w:val="0"/>
          <w:color w:val="auto"/>
          <w:sz w:val="22"/>
          <w:szCs w:val="22"/>
        </w:rPr>
        <w:lastRenderedPageBreak/>
        <w:t xml:space="preserve">Table </w:t>
      </w:r>
      <w:r w:rsidR="00962132">
        <w:rPr>
          <w:b/>
          <w:bCs/>
          <w:i w:val="0"/>
          <w:iCs w:val="0"/>
          <w:color w:val="auto"/>
          <w:sz w:val="22"/>
          <w:szCs w:val="22"/>
        </w:rPr>
        <w:t>S</w:t>
      </w:r>
      <w:r w:rsidRPr="00FD16CC">
        <w:rPr>
          <w:b/>
          <w:bCs/>
          <w:i w:val="0"/>
          <w:iCs w:val="0"/>
          <w:color w:val="auto"/>
          <w:sz w:val="22"/>
          <w:szCs w:val="22"/>
        </w:rPr>
        <w:fldChar w:fldCharType="begin"/>
      </w:r>
      <w:r w:rsidRPr="00FD16CC">
        <w:rPr>
          <w:b/>
          <w:bCs/>
          <w:i w:val="0"/>
          <w:iCs w:val="0"/>
          <w:color w:val="auto"/>
          <w:sz w:val="22"/>
          <w:szCs w:val="22"/>
        </w:rPr>
        <w:instrText xml:space="preserve"> SEQ Table \* ARABIC </w:instrText>
      </w:r>
      <w:r w:rsidRPr="00FD16CC">
        <w:rPr>
          <w:b/>
          <w:bCs/>
          <w:i w:val="0"/>
          <w:iCs w:val="0"/>
          <w:color w:val="auto"/>
          <w:sz w:val="22"/>
          <w:szCs w:val="22"/>
        </w:rPr>
        <w:fldChar w:fldCharType="separate"/>
      </w:r>
      <w:r w:rsidR="00CE5C15">
        <w:rPr>
          <w:b/>
          <w:bCs/>
          <w:i w:val="0"/>
          <w:iCs w:val="0"/>
          <w:noProof/>
          <w:color w:val="auto"/>
          <w:sz w:val="22"/>
          <w:szCs w:val="22"/>
        </w:rPr>
        <w:t>1</w:t>
      </w:r>
      <w:r w:rsidRPr="00FD16CC">
        <w:rPr>
          <w:b/>
          <w:bCs/>
          <w:i w:val="0"/>
          <w:iCs w:val="0"/>
          <w:color w:val="auto"/>
          <w:sz w:val="22"/>
          <w:szCs w:val="22"/>
        </w:rPr>
        <w:fldChar w:fldCharType="end"/>
      </w:r>
      <w:r w:rsidRPr="00FD16CC">
        <w:rPr>
          <w:b/>
          <w:bCs/>
          <w:i w:val="0"/>
          <w:iCs w:val="0"/>
          <w:color w:val="auto"/>
          <w:sz w:val="22"/>
          <w:szCs w:val="22"/>
        </w:rPr>
        <w:t>. Comparison of observed raw</w:t>
      </w:r>
      <w:r w:rsidR="0065691D">
        <w:rPr>
          <w:b/>
          <w:bCs/>
          <w:i w:val="0"/>
          <w:iCs w:val="0"/>
          <w:color w:val="auto"/>
          <w:sz w:val="22"/>
          <w:szCs w:val="22"/>
        </w:rPr>
        <w:t xml:space="preserve"> (reported)</w:t>
      </w:r>
      <w:r w:rsidRPr="00FD16CC">
        <w:rPr>
          <w:b/>
          <w:bCs/>
          <w:i w:val="0"/>
          <w:iCs w:val="0"/>
          <w:color w:val="auto"/>
          <w:sz w:val="22"/>
          <w:szCs w:val="22"/>
        </w:rPr>
        <w:t xml:space="preserve"> confirmed malaria cases between study and non-study facilities by region</w:t>
      </w:r>
      <w:r w:rsidR="0065691D">
        <w:rPr>
          <w:b/>
          <w:bCs/>
          <w:i w:val="0"/>
          <w:iCs w:val="0"/>
          <w:color w:val="auto"/>
          <w:sz w:val="22"/>
          <w:szCs w:val="22"/>
        </w:rPr>
        <w:t>, per calendar year</w:t>
      </w:r>
    </w:p>
    <w:tbl>
      <w:tblPr>
        <w:tblW w:w="5000" w:type="pct"/>
        <w:tblLayout w:type="fixed"/>
        <w:tblLook w:val="04A0" w:firstRow="1" w:lastRow="0" w:firstColumn="1" w:lastColumn="0" w:noHBand="0" w:noVBand="1"/>
      </w:tblPr>
      <w:tblGrid>
        <w:gridCol w:w="1275"/>
        <w:gridCol w:w="1135"/>
        <w:gridCol w:w="1559"/>
        <w:gridCol w:w="1135"/>
        <w:gridCol w:w="1559"/>
        <w:gridCol w:w="1135"/>
        <w:gridCol w:w="1559"/>
        <w:gridCol w:w="984"/>
        <w:gridCol w:w="1539"/>
        <w:gridCol w:w="1163"/>
        <w:gridCol w:w="1391"/>
      </w:tblGrid>
      <w:tr w:rsidR="00FD16CC" w:rsidRPr="00741EF7" w14:paraId="311F893B" w14:textId="77777777" w:rsidTr="00886847">
        <w:trPr>
          <w:trHeight w:val="454"/>
        </w:trPr>
        <w:tc>
          <w:tcPr>
            <w:tcW w:w="442" w:type="pct"/>
            <w:vMerge w:val="restart"/>
            <w:tcBorders>
              <w:top w:val="single" w:sz="12" w:space="0" w:color="auto"/>
              <w:left w:val="nil"/>
              <w:right w:val="nil"/>
            </w:tcBorders>
            <w:shd w:val="clear" w:color="auto" w:fill="auto"/>
            <w:noWrap/>
            <w:vAlign w:val="center"/>
          </w:tcPr>
          <w:p w14:paraId="012B51AD" w14:textId="77777777" w:rsidR="00FD16CC" w:rsidRPr="00F41240" w:rsidRDefault="00FD16CC" w:rsidP="00886847">
            <w:pPr>
              <w:spacing w:after="0" w:line="240" w:lineRule="auto"/>
              <w:rPr>
                <w:rFonts w:ascii="Calibri" w:eastAsia="Times New Roman" w:hAnsi="Calibri" w:cs="Times New Roman"/>
                <w:b/>
                <w:bCs/>
                <w:color w:val="000000"/>
                <w:sz w:val="20"/>
                <w:szCs w:val="20"/>
                <w:lang w:val="en-GB" w:eastAsia="en-GB"/>
              </w:rPr>
            </w:pPr>
            <w:r w:rsidRPr="00DE33FD">
              <w:rPr>
                <w:rFonts w:ascii="Calibri" w:eastAsia="Times New Roman" w:hAnsi="Calibri" w:cs="Times New Roman"/>
                <w:b/>
                <w:bCs/>
                <w:color w:val="000000"/>
                <w:sz w:val="24"/>
                <w:szCs w:val="24"/>
                <w:lang w:val="en-GB" w:eastAsia="en-GB"/>
              </w:rPr>
              <w:t>Region</w:t>
            </w:r>
          </w:p>
        </w:tc>
        <w:tc>
          <w:tcPr>
            <w:tcW w:w="933" w:type="pct"/>
            <w:gridSpan w:val="2"/>
            <w:tcBorders>
              <w:top w:val="single" w:sz="12" w:space="0" w:color="auto"/>
              <w:left w:val="nil"/>
              <w:right w:val="nil"/>
            </w:tcBorders>
            <w:shd w:val="clear" w:color="auto" w:fill="auto"/>
            <w:noWrap/>
            <w:vAlign w:val="center"/>
          </w:tcPr>
          <w:p w14:paraId="75E91ACF" w14:textId="03643BBE" w:rsidR="00FD16CC" w:rsidRPr="00DE33FD" w:rsidRDefault="00FD16CC" w:rsidP="00886847">
            <w:pPr>
              <w:spacing w:after="0" w:line="240" w:lineRule="auto"/>
              <w:jc w:val="center"/>
              <w:rPr>
                <w:rFonts w:ascii="Calibri" w:eastAsia="Times New Roman" w:hAnsi="Calibri" w:cs="Times New Roman"/>
                <w:b/>
                <w:bCs/>
                <w:color w:val="000000"/>
                <w:sz w:val="24"/>
                <w:szCs w:val="24"/>
                <w:lang w:val="en-GB" w:eastAsia="en-GB"/>
              </w:rPr>
            </w:pPr>
            <w:r w:rsidRPr="00DE33FD">
              <w:rPr>
                <w:rFonts w:ascii="Calibri" w:eastAsia="Times New Roman" w:hAnsi="Calibri" w:cs="Times New Roman"/>
                <w:b/>
                <w:bCs/>
                <w:color w:val="000000"/>
                <w:sz w:val="24"/>
                <w:szCs w:val="24"/>
                <w:lang w:val="en-GB" w:eastAsia="en-GB"/>
              </w:rPr>
              <w:t>2015</w:t>
            </w:r>
            <w:r w:rsidR="00886847">
              <w:rPr>
                <w:rFonts w:ascii="Calibri" w:eastAsia="Times New Roman" w:hAnsi="Calibri" w:cs="Times New Roman"/>
                <w:b/>
                <w:bCs/>
                <w:color w:val="000000"/>
                <w:sz w:val="24"/>
                <w:szCs w:val="24"/>
                <w:lang w:val="en-GB" w:eastAsia="en-GB"/>
              </w:rPr>
              <w:t>*</w:t>
            </w:r>
          </w:p>
        </w:tc>
        <w:tc>
          <w:tcPr>
            <w:tcW w:w="933" w:type="pct"/>
            <w:gridSpan w:val="2"/>
            <w:tcBorders>
              <w:top w:val="single" w:sz="12" w:space="0" w:color="auto"/>
              <w:left w:val="nil"/>
              <w:right w:val="nil"/>
            </w:tcBorders>
            <w:shd w:val="clear" w:color="auto" w:fill="auto"/>
            <w:noWrap/>
            <w:vAlign w:val="center"/>
          </w:tcPr>
          <w:p w14:paraId="0AB6638D" w14:textId="4EFCD54B" w:rsidR="00FD16CC" w:rsidRPr="00DE33FD" w:rsidRDefault="00FD16CC" w:rsidP="00886847">
            <w:pPr>
              <w:spacing w:after="0" w:line="240" w:lineRule="auto"/>
              <w:jc w:val="center"/>
              <w:rPr>
                <w:rFonts w:ascii="Calibri" w:eastAsia="Times New Roman" w:hAnsi="Calibri" w:cs="Times New Roman"/>
                <w:b/>
                <w:bCs/>
                <w:color w:val="000000"/>
                <w:sz w:val="24"/>
                <w:szCs w:val="24"/>
                <w:lang w:val="en-GB" w:eastAsia="en-GB"/>
              </w:rPr>
            </w:pPr>
            <w:r w:rsidRPr="00DE33FD">
              <w:rPr>
                <w:rFonts w:ascii="Calibri" w:eastAsia="Times New Roman" w:hAnsi="Calibri" w:cs="Times New Roman"/>
                <w:b/>
                <w:bCs/>
                <w:color w:val="000000"/>
                <w:sz w:val="24"/>
                <w:szCs w:val="24"/>
                <w:lang w:val="en-GB" w:eastAsia="en-GB"/>
              </w:rPr>
              <w:t>2016</w:t>
            </w:r>
          </w:p>
        </w:tc>
        <w:tc>
          <w:tcPr>
            <w:tcW w:w="933" w:type="pct"/>
            <w:gridSpan w:val="2"/>
            <w:tcBorders>
              <w:top w:val="single" w:sz="12" w:space="0" w:color="auto"/>
              <w:left w:val="nil"/>
              <w:right w:val="nil"/>
            </w:tcBorders>
            <w:shd w:val="clear" w:color="auto" w:fill="auto"/>
            <w:noWrap/>
            <w:vAlign w:val="center"/>
          </w:tcPr>
          <w:p w14:paraId="1215C9E7" w14:textId="548F7024" w:rsidR="00FD16CC" w:rsidRPr="00DE33FD" w:rsidRDefault="00FD16CC" w:rsidP="00886847">
            <w:pPr>
              <w:spacing w:after="0" w:line="240" w:lineRule="auto"/>
              <w:jc w:val="center"/>
              <w:rPr>
                <w:rFonts w:ascii="Calibri" w:eastAsia="Times New Roman" w:hAnsi="Calibri" w:cs="Times New Roman"/>
                <w:b/>
                <w:bCs/>
                <w:color w:val="000000"/>
                <w:sz w:val="24"/>
                <w:szCs w:val="24"/>
                <w:lang w:val="en-GB" w:eastAsia="en-GB"/>
              </w:rPr>
            </w:pPr>
            <w:r w:rsidRPr="00DE33FD">
              <w:rPr>
                <w:rFonts w:ascii="Calibri" w:eastAsia="Times New Roman" w:hAnsi="Calibri" w:cs="Times New Roman"/>
                <w:b/>
                <w:bCs/>
                <w:color w:val="000000"/>
                <w:sz w:val="24"/>
                <w:szCs w:val="24"/>
                <w:lang w:val="en-GB" w:eastAsia="en-GB"/>
              </w:rPr>
              <w:t>2017</w:t>
            </w:r>
          </w:p>
        </w:tc>
        <w:tc>
          <w:tcPr>
            <w:tcW w:w="874" w:type="pct"/>
            <w:gridSpan w:val="2"/>
            <w:tcBorders>
              <w:top w:val="single" w:sz="12" w:space="0" w:color="auto"/>
              <w:left w:val="nil"/>
              <w:right w:val="nil"/>
            </w:tcBorders>
            <w:shd w:val="clear" w:color="auto" w:fill="auto"/>
            <w:noWrap/>
            <w:vAlign w:val="center"/>
          </w:tcPr>
          <w:p w14:paraId="68EF66CD" w14:textId="1DCE0360" w:rsidR="00FD16CC" w:rsidRPr="00DE33FD" w:rsidRDefault="00FD16CC" w:rsidP="00886847">
            <w:pPr>
              <w:spacing w:after="0" w:line="240" w:lineRule="auto"/>
              <w:jc w:val="center"/>
              <w:rPr>
                <w:rFonts w:ascii="Calibri" w:eastAsia="Times New Roman" w:hAnsi="Calibri" w:cs="Times New Roman"/>
                <w:b/>
                <w:bCs/>
                <w:color w:val="000000"/>
                <w:sz w:val="24"/>
                <w:szCs w:val="24"/>
                <w:lang w:val="en-GB" w:eastAsia="en-GB"/>
              </w:rPr>
            </w:pPr>
            <w:r w:rsidRPr="00DE33FD">
              <w:rPr>
                <w:rFonts w:ascii="Calibri" w:eastAsia="Times New Roman" w:hAnsi="Calibri" w:cs="Times New Roman"/>
                <w:b/>
                <w:bCs/>
                <w:color w:val="000000"/>
                <w:sz w:val="24"/>
                <w:szCs w:val="24"/>
                <w:lang w:val="en-GB" w:eastAsia="en-GB"/>
              </w:rPr>
              <w:t>2018</w:t>
            </w:r>
          </w:p>
        </w:tc>
        <w:tc>
          <w:tcPr>
            <w:tcW w:w="885" w:type="pct"/>
            <w:gridSpan w:val="2"/>
            <w:tcBorders>
              <w:top w:val="single" w:sz="12" w:space="0" w:color="auto"/>
              <w:left w:val="nil"/>
              <w:right w:val="nil"/>
            </w:tcBorders>
            <w:shd w:val="clear" w:color="auto" w:fill="auto"/>
            <w:noWrap/>
            <w:vAlign w:val="center"/>
          </w:tcPr>
          <w:p w14:paraId="4347B60A" w14:textId="37548E8A" w:rsidR="00FD16CC" w:rsidRPr="00DE33FD" w:rsidRDefault="00FD16CC" w:rsidP="00886847">
            <w:pPr>
              <w:spacing w:after="0" w:line="240" w:lineRule="auto"/>
              <w:jc w:val="center"/>
              <w:rPr>
                <w:rFonts w:ascii="Calibri" w:eastAsia="Times New Roman" w:hAnsi="Calibri" w:cs="Times New Roman"/>
                <w:b/>
                <w:bCs/>
                <w:color w:val="000000"/>
                <w:sz w:val="24"/>
                <w:szCs w:val="24"/>
                <w:lang w:val="en-GB" w:eastAsia="en-GB"/>
              </w:rPr>
            </w:pPr>
            <w:r w:rsidRPr="00DE33FD">
              <w:rPr>
                <w:rFonts w:ascii="Calibri" w:eastAsia="Times New Roman" w:hAnsi="Calibri" w:cs="Times New Roman"/>
                <w:b/>
                <w:bCs/>
                <w:color w:val="000000"/>
                <w:sz w:val="24"/>
                <w:szCs w:val="24"/>
                <w:lang w:val="en-GB" w:eastAsia="en-GB"/>
              </w:rPr>
              <w:t>2019</w:t>
            </w:r>
            <w:r w:rsidR="00886847">
              <w:rPr>
                <w:rFonts w:ascii="Calibri" w:eastAsia="Times New Roman" w:hAnsi="Calibri" w:cs="Times New Roman"/>
                <w:b/>
                <w:bCs/>
                <w:color w:val="000000"/>
                <w:sz w:val="24"/>
                <w:szCs w:val="24"/>
                <w:lang w:val="en-GB" w:eastAsia="en-GB"/>
              </w:rPr>
              <w:t>*</w:t>
            </w:r>
          </w:p>
        </w:tc>
      </w:tr>
      <w:tr w:rsidR="00FD16CC" w:rsidRPr="00741EF7" w14:paraId="18D09C79" w14:textId="77777777" w:rsidTr="00886847">
        <w:trPr>
          <w:trHeight w:val="454"/>
        </w:trPr>
        <w:tc>
          <w:tcPr>
            <w:tcW w:w="442" w:type="pct"/>
            <w:vMerge/>
            <w:tcBorders>
              <w:left w:val="nil"/>
              <w:bottom w:val="nil"/>
              <w:right w:val="nil"/>
            </w:tcBorders>
            <w:shd w:val="clear" w:color="auto" w:fill="auto"/>
            <w:noWrap/>
            <w:vAlign w:val="bottom"/>
            <w:hideMark/>
          </w:tcPr>
          <w:p w14:paraId="21E06FFB" w14:textId="77777777" w:rsidR="00FD16CC" w:rsidRPr="00741EF7" w:rsidRDefault="00FD16CC" w:rsidP="00886847">
            <w:pPr>
              <w:spacing w:after="0" w:line="240" w:lineRule="auto"/>
              <w:jc w:val="center"/>
              <w:rPr>
                <w:rFonts w:ascii="Calibri" w:eastAsia="Times New Roman" w:hAnsi="Calibri" w:cs="Times New Roman"/>
                <w:b/>
                <w:bCs/>
                <w:color w:val="000000"/>
                <w:sz w:val="20"/>
                <w:szCs w:val="20"/>
                <w:lang w:val="en-GB" w:eastAsia="en-GB"/>
              </w:rPr>
            </w:pPr>
          </w:p>
        </w:tc>
        <w:tc>
          <w:tcPr>
            <w:tcW w:w="393" w:type="pct"/>
            <w:tcBorders>
              <w:left w:val="nil"/>
              <w:bottom w:val="nil"/>
              <w:right w:val="nil"/>
            </w:tcBorders>
            <w:shd w:val="clear" w:color="auto" w:fill="BFBFBF" w:themeFill="background1" w:themeFillShade="BF"/>
            <w:noWrap/>
            <w:vAlign w:val="center"/>
            <w:hideMark/>
          </w:tcPr>
          <w:p w14:paraId="3A34B7F7" w14:textId="77777777" w:rsidR="00FD16CC" w:rsidRPr="00741EF7" w:rsidRDefault="00FD16CC" w:rsidP="00886847">
            <w:pPr>
              <w:spacing w:after="0" w:line="240" w:lineRule="auto"/>
              <w:jc w:val="center"/>
              <w:rPr>
                <w:rFonts w:ascii="Calibri" w:eastAsia="Times New Roman" w:hAnsi="Calibri" w:cs="Times New Roman"/>
                <w:b/>
                <w:bCs/>
                <w:color w:val="000000"/>
                <w:sz w:val="20"/>
                <w:szCs w:val="20"/>
                <w:lang w:val="en-GB" w:eastAsia="en-GB"/>
              </w:rPr>
            </w:pPr>
            <w:r w:rsidRPr="00741EF7">
              <w:rPr>
                <w:rFonts w:ascii="Calibri" w:eastAsia="Times New Roman" w:hAnsi="Calibri" w:cs="Times New Roman"/>
                <w:b/>
                <w:bCs/>
                <w:color w:val="000000"/>
                <w:sz w:val="20"/>
                <w:szCs w:val="20"/>
                <w:lang w:val="en-GB" w:eastAsia="en-GB"/>
              </w:rPr>
              <w:t>Included</w:t>
            </w:r>
          </w:p>
        </w:tc>
        <w:tc>
          <w:tcPr>
            <w:tcW w:w="540" w:type="pct"/>
            <w:tcBorders>
              <w:left w:val="nil"/>
              <w:bottom w:val="nil"/>
              <w:right w:val="nil"/>
            </w:tcBorders>
            <w:shd w:val="clear" w:color="auto" w:fill="BFBFBF" w:themeFill="background1" w:themeFillShade="BF"/>
            <w:noWrap/>
            <w:vAlign w:val="center"/>
            <w:hideMark/>
          </w:tcPr>
          <w:p w14:paraId="13825906" w14:textId="77777777" w:rsidR="00FD16CC" w:rsidRPr="00F41240" w:rsidRDefault="00FD16CC" w:rsidP="00886847">
            <w:pPr>
              <w:spacing w:after="0" w:line="240" w:lineRule="auto"/>
              <w:jc w:val="center"/>
              <w:rPr>
                <w:rFonts w:ascii="Calibri" w:eastAsia="Times New Roman" w:hAnsi="Calibri" w:cs="Times New Roman"/>
                <w:b/>
                <w:bCs/>
                <w:color w:val="000000"/>
                <w:sz w:val="20"/>
                <w:szCs w:val="20"/>
                <w:lang w:val="en-GB" w:eastAsia="en-GB"/>
              </w:rPr>
            </w:pPr>
            <w:r w:rsidRPr="00741EF7">
              <w:rPr>
                <w:rFonts w:ascii="Calibri" w:eastAsia="Times New Roman" w:hAnsi="Calibri" w:cs="Times New Roman"/>
                <w:b/>
                <w:bCs/>
                <w:color w:val="000000"/>
                <w:sz w:val="20"/>
                <w:szCs w:val="20"/>
                <w:lang w:val="en-GB" w:eastAsia="en-GB"/>
              </w:rPr>
              <w:t>Excluded</w:t>
            </w:r>
          </w:p>
          <w:p w14:paraId="0A9DE9F0" w14:textId="77777777" w:rsidR="00FD16CC" w:rsidRPr="00741EF7" w:rsidRDefault="00FD16CC" w:rsidP="00886847">
            <w:pPr>
              <w:spacing w:after="0" w:line="240" w:lineRule="auto"/>
              <w:jc w:val="center"/>
              <w:rPr>
                <w:rFonts w:ascii="Calibri" w:eastAsia="Times New Roman" w:hAnsi="Calibri" w:cs="Times New Roman"/>
                <w:b/>
                <w:bCs/>
                <w:color w:val="000000"/>
                <w:sz w:val="20"/>
                <w:szCs w:val="20"/>
                <w:lang w:val="en-GB" w:eastAsia="en-GB"/>
              </w:rPr>
            </w:pPr>
            <w:r w:rsidRPr="00F41240">
              <w:rPr>
                <w:rFonts w:ascii="Calibri" w:eastAsia="Times New Roman" w:hAnsi="Calibri" w:cs="Times New Roman"/>
                <w:b/>
                <w:bCs/>
                <w:color w:val="000000"/>
                <w:sz w:val="20"/>
                <w:szCs w:val="20"/>
                <w:lang w:val="en-GB" w:eastAsia="en-GB"/>
              </w:rPr>
              <w:t>(% Missed)</w:t>
            </w:r>
          </w:p>
        </w:tc>
        <w:tc>
          <w:tcPr>
            <w:tcW w:w="393" w:type="pct"/>
            <w:tcBorders>
              <w:left w:val="nil"/>
              <w:bottom w:val="nil"/>
              <w:right w:val="nil"/>
            </w:tcBorders>
            <w:shd w:val="clear" w:color="auto" w:fill="BFBFBF" w:themeFill="background1" w:themeFillShade="BF"/>
            <w:noWrap/>
            <w:vAlign w:val="center"/>
            <w:hideMark/>
          </w:tcPr>
          <w:p w14:paraId="67245CD9" w14:textId="77777777" w:rsidR="00FD16CC" w:rsidRPr="00741EF7" w:rsidRDefault="00FD16CC" w:rsidP="00886847">
            <w:pPr>
              <w:spacing w:after="0" w:line="240" w:lineRule="auto"/>
              <w:jc w:val="center"/>
              <w:rPr>
                <w:rFonts w:ascii="Calibri" w:eastAsia="Times New Roman" w:hAnsi="Calibri" w:cs="Times New Roman"/>
                <w:b/>
                <w:bCs/>
                <w:color w:val="000000"/>
                <w:sz w:val="20"/>
                <w:szCs w:val="20"/>
                <w:lang w:val="en-GB" w:eastAsia="en-GB"/>
              </w:rPr>
            </w:pPr>
            <w:r w:rsidRPr="00741EF7">
              <w:rPr>
                <w:rFonts w:ascii="Calibri" w:eastAsia="Times New Roman" w:hAnsi="Calibri" w:cs="Times New Roman"/>
                <w:b/>
                <w:bCs/>
                <w:color w:val="000000"/>
                <w:sz w:val="20"/>
                <w:szCs w:val="20"/>
                <w:lang w:val="en-GB" w:eastAsia="en-GB"/>
              </w:rPr>
              <w:t>Included</w:t>
            </w:r>
          </w:p>
        </w:tc>
        <w:tc>
          <w:tcPr>
            <w:tcW w:w="540" w:type="pct"/>
            <w:tcBorders>
              <w:left w:val="nil"/>
              <w:bottom w:val="nil"/>
              <w:right w:val="nil"/>
            </w:tcBorders>
            <w:shd w:val="clear" w:color="auto" w:fill="BFBFBF" w:themeFill="background1" w:themeFillShade="BF"/>
            <w:noWrap/>
            <w:vAlign w:val="center"/>
            <w:hideMark/>
          </w:tcPr>
          <w:p w14:paraId="790AE7AA" w14:textId="77777777" w:rsidR="00FD16CC" w:rsidRPr="00F41240" w:rsidRDefault="00FD16CC" w:rsidP="00886847">
            <w:pPr>
              <w:spacing w:after="0" w:line="240" w:lineRule="auto"/>
              <w:jc w:val="center"/>
              <w:rPr>
                <w:rFonts w:ascii="Calibri" w:eastAsia="Times New Roman" w:hAnsi="Calibri" w:cs="Times New Roman"/>
                <w:b/>
                <w:bCs/>
                <w:color w:val="000000"/>
                <w:sz w:val="20"/>
                <w:szCs w:val="20"/>
                <w:lang w:val="en-GB" w:eastAsia="en-GB"/>
              </w:rPr>
            </w:pPr>
            <w:r w:rsidRPr="00741EF7">
              <w:rPr>
                <w:rFonts w:ascii="Calibri" w:eastAsia="Times New Roman" w:hAnsi="Calibri" w:cs="Times New Roman"/>
                <w:b/>
                <w:bCs/>
                <w:color w:val="000000"/>
                <w:sz w:val="20"/>
                <w:szCs w:val="20"/>
                <w:lang w:val="en-GB" w:eastAsia="en-GB"/>
              </w:rPr>
              <w:t>Excluded</w:t>
            </w:r>
          </w:p>
          <w:p w14:paraId="3266681C" w14:textId="77777777" w:rsidR="00FD16CC" w:rsidRPr="00741EF7" w:rsidRDefault="00FD16CC" w:rsidP="00886847">
            <w:pPr>
              <w:spacing w:after="0" w:line="240" w:lineRule="auto"/>
              <w:jc w:val="center"/>
              <w:rPr>
                <w:rFonts w:ascii="Calibri" w:eastAsia="Times New Roman" w:hAnsi="Calibri" w:cs="Times New Roman"/>
                <w:b/>
                <w:bCs/>
                <w:color w:val="000000"/>
                <w:sz w:val="20"/>
                <w:szCs w:val="20"/>
                <w:lang w:val="en-GB" w:eastAsia="en-GB"/>
              </w:rPr>
            </w:pPr>
            <w:r w:rsidRPr="00F41240">
              <w:rPr>
                <w:rFonts w:ascii="Calibri" w:eastAsia="Times New Roman" w:hAnsi="Calibri" w:cs="Times New Roman"/>
                <w:b/>
                <w:bCs/>
                <w:color w:val="000000"/>
                <w:sz w:val="20"/>
                <w:szCs w:val="20"/>
                <w:lang w:val="en-GB" w:eastAsia="en-GB"/>
              </w:rPr>
              <w:t>(% Missed)</w:t>
            </w:r>
          </w:p>
        </w:tc>
        <w:tc>
          <w:tcPr>
            <w:tcW w:w="393" w:type="pct"/>
            <w:tcBorders>
              <w:left w:val="nil"/>
              <w:bottom w:val="nil"/>
              <w:right w:val="nil"/>
            </w:tcBorders>
            <w:shd w:val="clear" w:color="auto" w:fill="BFBFBF" w:themeFill="background1" w:themeFillShade="BF"/>
            <w:noWrap/>
            <w:vAlign w:val="center"/>
            <w:hideMark/>
          </w:tcPr>
          <w:p w14:paraId="1DB4BDAF" w14:textId="77777777" w:rsidR="00FD16CC" w:rsidRPr="00741EF7" w:rsidRDefault="00FD16CC" w:rsidP="00886847">
            <w:pPr>
              <w:spacing w:after="0" w:line="240" w:lineRule="auto"/>
              <w:jc w:val="center"/>
              <w:rPr>
                <w:rFonts w:ascii="Calibri" w:eastAsia="Times New Roman" w:hAnsi="Calibri" w:cs="Times New Roman"/>
                <w:b/>
                <w:bCs/>
                <w:color w:val="000000"/>
                <w:sz w:val="20"/>
                <w:szCs w:val="20"/>
                <w:lang w:val="en-GB" w:eastAsia="en-GB"/>
              </w:rPr>
            </w:pPr>
            <w:r w:rsidRPr="00741EF7">
              <w:rPr>
                <w:rFonts w:ascii="Calibri" w:eastAsia="Times New Roman" w:hAnsi="Calibri" w:cs="Times New Roman"/>
                <w:b/>
                <w:bCs/>
                <w:color w:val="000000"/>
                <w:sz w:val="20"/>
                <w:szCs w:val="20"/>
                <w:lang w:val="en-GB" w:eastAsia="en-GB"/>
              </w:rPr>
              <w:t>Included</w:t>
            </w:r>
          </w:p>
        </w:tc>
        <w:tc>
          <w:tcPr>
            <w:tcW w:w="540" w:type="pct"/>
            <w:tcBorders>
              <w:left w:val="nil"/>
              <w:bottom w:val="nil"/>
              <w:right w:val="nil"/>
            </w:tcBorders>
            <w:shd w:val="clear" w:color="auto" w:fill="BFBFBF" w:themeFill="background1" w:themeFillShade="BF"/>
            <w:noWrap/>
            <w:vAlign w:val="center"/>
            <w:hideMark/>
          </w:tcPr>
          <w:p w14:paraId="39DDAF4D" w14:textId="77777777" w:rsidR="00FD16CC" w:rsidRPr="00F41240" w:rsidRDefault="00FD16CC" w:rsidP="00886847">
            <w:pPr>
              <w:spacing w:after="0" w:line="240" w:lineRule="auto"/>
              <w:jc w:val="center"/>
              <w:rPr>
                <w:rFonts w:ascii="Calibri" w:eastAsia="Times New Roman" w:hAnsi="Calibri" w:cs="Times New Roman"/>
                <w:b/>
                <w:bCs/>
                <w:color w:val="000000"/>
                <w:sz w:val="20"/>
                <w:szCs w:val="20"/>
                <w:lang w:val="en-GB" w:eastAsia="en-GB"/>
              </w:rPr>
            </w:pPr>
            <w:r w:rsidRPr="00741EF7">
              <w:rPr>
                <w:rFonts w:ascii="Calibri" w:eastAsia="Times New Roman" w:hAnsi="Calibri" w:cs="Times New Roman"/>
                <w:b/>
                <w:bCs/>
                <w:color w:val="000000"/>
                <w:sz w:val="20"/>
                <w:szCs w:val="20"/>
                <w:lang w:val="en-GB" w:eastAsia="en-GB"/>
              </w:rPr>
              <w:t>Excluded</w:t>
            </w:r>
          </w:p>
          <w:p w14:paraId="089AF6D1" w14:textId="77777777" w:rsidR="00FD16CC" w:rsidRPr="00741EF7" w:rsidRDefault="00FD16CC" w:rsidP="00886847">
            <w:pPr>
              <w:spacing w:after="0" w:line="240" w:lineRule="auto"/>
              <w:jc w:val="center"/>
              <w:rPr>
                <w:rFonts w:ascii="Calibri" w:eastAsia="Times New Roman" w:hAnsi="Calibri" w:cs="Times New Roman"/>
                <w:b/>
                <w:bCs/>
                <w:color w:val="000000"/>
                <w:sz w:val="20"/>
                <w:szCs w:val="20"/>
                <w:lang w:val="en-GB" w:eastAsia="en-GB"/>
              </w:rPr>
            </w:pPr>
            <w:r w:rsidRPr="00F41240">
              <w:rPr>
                <w:rFonts w:ascii="Calibri" w:eastAsia="Times New Roman" w:hAnsi="Calibri" w:cs="Times New Roman"/>
                <w:b/>
                <w:bCs/>
                <w:color w:val="000000"/>
                <w:sz w:val="20"/>
                <w:szCs w:val="20"/>
                <w:lang w:val="en-GB" w:eastAsia="en-GB"/>
              </w:rPr>
              <w:t>(% Missed)</w:t>
            </w:r>
          </w:p>
        </w:tc>
        <w:tc>
          <w:tcPr>
            <w:tcW w:w="341" w:type="pct"/>
            <w:tcBorders>
              <w:left w:val="nil"/>
              <w:bottom w:val="nil"/>
              <w:right w:val="nil"/>
            </w:tcBorders>
            <w:shd w:val="clear" w:color="auto" w:fill="BFBFBF" w:themeFill="background1" w:themeFillShade="BF"/>
            <w:noWrap/>
            <w:vAlign w:val="center"/>
            <w:hideMark/>
          </w:tcPr>
          <w:p w14:paraId="3BFB5B3C" w14:textId="77777777" w:rsidR="00FD16CC" w:rsidRPr="00741EF7" w:rsidRDefault="00FD16CC" w:rsidP="00886847">
            <w:pPr>
              <w:spacing w:after="0" w:line="240" w:lineRule="auto"/>
              <w:jc w:val="center"/>
              <w:rPr>
                <w:rFonts w:ascii="Calibri" w:eastAsia="Times New Roman" w:hAnsi="Calibri" w:cs="Times New Roman"/>
                <w:b/>
                <w:bCs/>
                <w:color w:val="000000"/>
                <w:sz w:val="20"/>
                <w:szCs w:val="20"/>
                <w:lang w:val="en-GB" w:eastAsia="en-GB"/>
              </w:rPr>
            </w:pPr>
            <w:r w:rsidRPr="00741EF7">
              <w:rPr>
                <w:rFonts w:ascii="Calibri" w:eastAsia="Times New Roman" w:hAnsi="Calibri" w:cs="Times New Roman"/>
                <w:b/>
                <w:bCs/>
                <w:color w:val="000000"/>
                <w:sz w:val="20"/>
                <w:szCs w:val="20"/>
                <w:lang w:val="en-GB" w:eastAsia="en-GB"/>
              </w:rPr>
              <w:t>Included</w:t>
            </w:r>
          </w:p>
        </w:tc>
        <w:tc>
          <w:tcPr>
            <w:tcW w:w="533" w:type="pct"/>
            <w:tcBorders>
              <w:left w:val="nil"/>
              <w:bottom w:val="nil"/>
              <w:right w:val="nil"/>
            </w:tcBorders>
            <w:shd w:val="clear" w:color="auto" w:fill="BFBFBF" w:themeFill="background1" w:themeFillShade="BF"/>
            <w:noWrap/>
            <w:vAlign w:val="center"/>
            <w:hideMark/>
          </w:tcPr>
          <w:p w14:paraId="34E7E630" w14:textId="77777777" w:rsidR="00FD16CC" w:rsidRPr="00F41240" w:rsidRDefault="00FD16CC" w:rsidP="00886847">
            <w:pPr>
              <w:spacing w:after="0" w:line="240" w:lineRule="auto"/>
              <w:jc w:val="center"/>
              <w:rPr>
                <w:rFonts w:ascii="Calibri" w:eastAsia="Times New Roman" w:hAnsi="Calibri" w:cs="Times New Roman"/>
                <w:b/>
                <w:bCs/>
                <w:color w:val="000000"/>
                <w:sz w:val="20"/>
                <w:szCs w:val="20"/>
                <w:lang w:val="en-GB" w:eastAsia="en-GB"/>
              </w:rPr>
            </w:pPr>
            <w:r w:rsidRPr="00741EF7">
              <w:rPr>
                <w:rFonts w:ascii="Calibri" w:eastAsia="Times New Roman" w:hAnsi="Calibri" w:cs="Times New Roman"/>
                <w:b/>
                <w:bCs/>
                <w:color w:val="000000"/>
                <w:sz w:val="20"/>
                <w:szCs w:val="20"/>
                <w:lang w:val="en-GB" w:eastAsia="en-GB"/>
              </w:rPr>
              <w:t>Excluded</w:t>
            </w:r>
          </w:p>
          <w:p w14:paraId="3F768DAA" w14:textId="77777777" w:rsidR="00FD16CC" w:rsidRPr="00741EF7" w:rsidRDefault="00FD16CC" w:rsidP="00886847">
            <w:pPr>
              <w:spacing w:after="0" w:line="240" w:lineRule="auto"/>
              <w:jc w:val="center"/>
              <w:rPr>
                <w:rFonts w:ascii="Calibri" w:eastAsia="Times New Roman" w:hAnsi="Calibri" w:cs="Times New Roman"/>
                <w:b/>
                <w:bCs/>
                <w:color w:val="000000"/>
                <w:sz w:val="20"/>
                <w:szCs w:val="20"/>
                <w:lang w:val="en-GB" w:eastAsia="en-GB"/>
              </w:rPr>
            </w:pPr>
            <w:r w:rsidRPr="00F41240">
              <w:rPr>
                <w:rFonts w:ascii="Calibri" w:eastAsia="Times New Roman" w:hAnsi="Calibri" w:cs="Times New Roman"/>
                <w:b/>
                <w:bCs/>
                <w:color w:val="000000"/>
                <w:sz w:val="20"/>
                <w:szCs w:val="20"/>
                <w:lang w:val="en-GB" w:eastAsia="en-GB"/>
              </w:rPr>
              <w:t>(% Missed)</w:t>
            </w:r>
          </w:p>
        </w:tc>
        <w:tc>
          <w:tcPr>
            <w:tcW w:w="403" w:type="pct"/>
            <w:tcBorders>
              <w:left w:val="nil"/>
              <w:bottom w:val="nil"/>
              <w:right w:val="nil"/>
            </w:tcBorders>
            <w:shd w:val="clear" w:color="auto" w:fill="BFBFBF" w:themeFill="background1" w:themeFillShade="BF"/>
            <w:noWrap/>
            <w:vAlign w:val="center"/>
            <w:hideMark/>
          </w:tcPr>
          <w:p w14:paraId="42257E83" w14:textId="77777777" w:rsidR="00FD16CC" w:rsidRPr="00741EF7" w:rsidRDefault="00FD16CC" w:rsidP="00886847">
            <w:pPr>
              <w:spacing w:after="0" w:line="240" w:lineRule="auto"/>
              <w:jc w:val="center"/>
              <w:rPr>
                <w:rFonts w:ascii="Calibri" w:eastAsia="Times New Roman" w:hAnsi="Calibri" w:cs="Times New Roman"/>
                <w:b/>
                <w:bCs/>
                <w:color w:val="000000"/>
                <w:sz w:val="20"/>
                <w:szCs w:val="20"/>
                <w:lang w:val="en-GB" w:eastAsia="en-GB"/>
              </w:rPr>
            </w:pPr>
            <w:r w:rsidRPr="00741EF7">
              <w:rPr>
                <w:rFonts w:ascii="Calibri" w:eastAsia="Times New Roman" w:hAnsi="Calibri" w:cs="Times New Roman"/>
                <w:b/>
                <w:bCs/>
                <w:color w:val="000000"/>
                <w:sz w:val="20"/>
                <w:szCs w:val="20"/>
                <w:lang w:val="en-GB" w:eastAsia="en-GB"/>
              </w:rPr>
              <w:t>Included</w:t>
            </w:r>
          </w:p>
        </w:tc>
        <w:tc>
          <w:tcPr>
            <w:tcW w:w="482" w:type="pct"/>
            <w:tcBorders>
              <w:left w:val="nil"/>
              <w:bottom w:val="nil"/>
              <w:right w:val="nil"/>
            </w:tcBorders>
            <w:shd w:val="clear" w:color="auto" w:fill="BFBFBF" w:themeFill="background1" w:themeFillShade="BF"/>
            <w:noWrap/>
            <w:vAlign w:val="center"/>
            <w:hideMark/>
          </w:tcPr>
          <w:p w14:paraId="33733391" w14:textId="77777777" w:rsidR="00FD16CC"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Excluded</w:t>
            </w:r>
          </w:p>
          <w:p w14:paraId="658E228E"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Pr>
                <w:rFonts w:ascii="Calibri" w:eastAsia="Times New Roman" w:hAnsi="Calibri" w:cs="Times New Roman"/>
                <w:color w:val="000000"/>
                <w:sz w:val="20"/>
                <w:szCs w:val="20"/>
                <w:lang w:val="en-GB" w:eastAsia="en-GB"/>
              </w:rPr>
              <w:t>(% Missed)</w:t>
            </w:r>
          </w:p>
        </w:tc>
      </w:tr>
      <w:tr w:rsidR="00FD16CC" w:rsidRPr="00741EF7" w14:paraId="6C91A02A" w14:textId="77777777" w:rsidTr="00886847">
        <w:trPr>
          <w:trHeight w:val="454"/>
        </w:trPr>
        <w:tc>
          <w:tcPr>
            <w:tcW w:w="442" w:type="pct"/>
            <w:tcBorders>
              <w:top w:val="nil"/>
              <w:left w:val="nil"/>
              <w:bottom w:val="nil"/>
              <w:right w:val="nil"/>
            </w:tcBorders>
            <w:shd w:val="clear" w:color="auto" w:fill="auto"/>
            <w:noWrap/>
            <w:vAlign w:val="center"/>
            <w:hideMark/>
          </w:tcPr>
          <w:p w14:paraId="160F7D3D" w14:textId="77777777" w:rsidR="00FD16CC" w:rsidRPr="00741EF7" w:rsidRDefault="00FD16CC" w:rsidP="00886847">
            <w:pPr>
              <w:spacing w:after="0" w:line="240" w:lineRule="auto"/>
              <w:rPr>
                <w:rFonts w:ascii="Calibri" w:eastAsia="Times New Roman" w:hAnsi="Calibri" w:cs="Times New Roman"/>
                <w:b/>
                <w:bCs/>
                <w:color w:val="000000"/>
                <w:sz w:val="20"/>
                <w:szCs w:val="20"/>
                <w:lang w:val="en-GB" w:eastAsia="en-GB"/>
              </w:rPr>
            </w:pPr>
            <w:r w:rsidRPr="00741EF7">
              <w:rPr>
                <w:rFonts w:ascii="Calibri" w:eastAsia="Times New Roman" w:hAnsi="Calibri" w:cs="Times New Roman"/>
                <w:b/>
                <w:bCs/>
                <w:color w:val="000000"/>
                <w:sz w:val="20"/>
                <w:szCs w:val="20"/>
                <w:lang w:val="en-GB" w:eastAsia="en-GB"/>
              </w:rPr>
              <w:t>Acholi</w:t>
            </w:r>
          </w:p>
        </w:tc>
        <w:tc>
          <w:tcPr>
            <w:tcW w:w="393" w:type="pct"/>
            <w:tcBorders>
              <w:top w:val="nil"/>
              <w:left w:val="nil"/>
              <w:bottom w:val="nil"/>
              <w:right w:val="nil"/>
            </w:tcBorders>
            <w:shd w:val="clear" w:color="auto" w:fill="auto"/>
            <w:noWrap/>
            <w:vAlign w:val="center"/>
            <w:hideMark/>
          </w:tcPr>
          <w:p w14:paraId="6B44583C"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469</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343</w:t>
            </w:r>
          </w:p>
        </w:tc>
        <w:tc>
          <w:tcPr>
            <w:tcW w:w="540" w:type="pct"/>
            <w:tcBorders>
              <w:top w:val="nil"/>
              <w:left w:val="nil"/>
              <w:bottom w:val="nil"/>
              <w:right w:val="nil"/>
            </w:tcBorders>
            <w:shd w:val="clear" w:color="auto" w:fill="auto"/>
            <w:noWrap/>
            <w:vAlign w:val="center"/>
            <w:hideMark/>
          </w:tcPr>
          <w:p w14:paraId="37F9F626"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89</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535</w:t>
            </w:r>
            <w:r>
              <w:rPr>
                <w:rFonts w:ascii="Calibri" w:eastAsia="Times New Roman" w:hAnsi="Calibri" w:cs="Times New Roman"/>
                <w:color w:val="000000"/>
                <w:sz w:val="20"/>
                <w:szCs w:val="20"/>
                <w:lang w:val="en-GB" w:eastAsia="en-GB"/>
              </w:rPr>
              <w:t xml:space="preserve"> (16.0%)</w:t>
            </w:r>
          </w:p>
        </w:tc>
        <w:tc>
          <w:tcPr>
            <w:tcW w:w="393" w:type="pct"/>
            <w:tcBorders>
              <w:top w:val="nil"/>
              <w:left w:val="nil"/>
              <w:bottom w:val="nil"/>
              <w:right w:val="nil"/>
            </w:tcBorders>
            <w:shd w:val="clear" w:color="auto" w:fill="auto"/>
            <w:noWrap/>
            <w:vAlign w:val="center"/>
            <w:hideMark/>
          </w:tcPr>
          <w:p w14:paraId="0B64EF7E"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011</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420</w:t>
            </w:r>
          </w:p>
        </w:tc>
        <w:tc>
          <w:tcPr>
            <w:tcW w:w="540" w:type="pct"/>
            <w:tcBorders>
              <w:top w:val="nil"/>
              <w:left w:val="nil"/>
              <w:bottom w:val="nil"/>
              <w:right w:val="nil"/>
            </w:tcBorders>
            <w:shd w:val="clear" w:color="auto" w:fill="auto"/>
            <w:noWrap/>
            <w:vAlign w:val="center"/>
            <w:hideMark/>
          </w:tcPr>
          <w:p w14:paraId="3A446687"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230</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923</w:t>
            </w:r>
            <w:r>
              <w:rPr>
                <w:rFonts w:ascii="Calibri" w:eastAsia="Times New Roman" w:hAnsi="Calibri" w:cs="Times New Roman"/>
                <w:color w:val="000000"/>
                <w:sz w:val="20"/>
                <w:szCs w:val="20"/>
                <w:lang w:val="en-GB" w:eastAsia="en-GB"/>
              </w:rPr>
              <w:t xml:space="preserve"> (18.6%)</w:t>
            </w:r>
          </w:p>
        </w:tc>
        <w:tc>
          <w:tcPr>
            <w:tcW w:w="393" w:type="pct"/>
            <w:tcBorders>
              <w:top w:val="nil"/>
              <w:left w:val="nil"/>
              <w:bottom w:val="nil"/>
              <w:right w:val="nil"/>
            </w:tcBorders>
            <w:shd w:val="clear" w:color="auto" w:fill="auto"/>
            <w:noWrap/>
            <w:vAlign w:val="center"/>
            <w:hideMark/>
          </w:tcPr>
          <w:p w14:paraId="6D1E13E5"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648</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221</w:t>
            </w:r>
          </w:p>
        </w:tc>
        <w:tc>
          <w:tcPr>
            <w:tcW w:w="540" w:type="pct"/>
            <w:tcBorders>
              <w:top w:val="nil"/>
              <w:left w:val="nil"/>
              <w:bottom w:val="nil"/>
              <w:right w:val="nil"/>
            </w:tcBorders>
            <w:shd w:val="clear" w:color="auto" w:fill="auto"/>
            <w:noWrap/>
            <w:vAlign w:val="center"/>
            <w:hideMark/>
          </w:tcPr>
          <w:p w14:paraId="35EE23A4"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158</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629</w:t>
            </w:r>
            <w:r>
              <w:rPr>
                <w:rFonts w:ascii="Calibri" w:eastAsia="Times New Roman" w:hAnsi="Calibri" w:cs="Times New Roman"/>
                <w:color w:val="000000"/>
                <w:sz w:val="20"/>
                <w:szCs w:val="20"/>
                <w:lang w:val="en-GB" w:eastAsia="en-GB"/>
              </w:rPr>
              <w:t xml:space="preserve"> (19.7%)</w:t>
            </w:r>
          </w:p>
        </w:tc>
        <w:tc>
          <w:tcPr>
            <w:tcW w:w="341" w:type="pct"/>
            <w:tcBorders>
              <w:top w:val="nil"/>
              <w:left w:val="nil"/>
              <w:bottom w:val="nil"/>
              <w:right w:val="nil"/>
            </w:tcBorders>
            <w:shd w:val="clear" w:color="auto" w:fill="auto"/>
            <w:noWrap/>
            <w:vAlign w:val="center"/>
            <w:hideMark/>
          </w:tcPr>
          <w:p w14:paraId="0BDA1057"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405</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519</w:t>
            </w:r>
          </w:p>
        </w:tc>
        <w:tc>
          <w:tcPr>
            <w:tcW w:w="533" w:type="pct"/>
            <w:tcBorders>
              <w:top w:val="nil"/>
              <w:left w:val="nil"/>
              <w:bottom w:val="nil"/>
              <w:right w:val="nil"/>
            </w:tcBorders>
            <w:shd w:val="clear" w:color="auto" w:fill="auto"/>
            <w:noWrap/>
            <w:vAlign w:val="center"/>
            <w:hideMark/>
          </w:tcPr>
          <w:p w14:paraId="47B19134"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92</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890</w:t>
            </w:r>
            <w:r>
              <w:rPr>
                <w:rFonts w:ascii="Calibri" w:eastAsia="Times New Roman" w:hAnsi="Calibri" w:cs="Times New Roman"/>
                <w:color w:val="000000"/>
                <w:sz w:val="20"/>
                <w:szCs w:val="20"/>
                <w:lang w:val="en-GB" w:eastAsia="en-GB"/>
              </w:rPr>
              <w:t xml:space="preserve"> (18.6%)</w:t>
            </w:r>
          </w:p>
        </w:tc>
        <w:tc>
          <w:tcPr>
            <w:tcW w:w="403" w:type="pct"/>
            <w:tcBorders>
              <w:top w:val="nil"/>
              <w:left w:val="nil"/>
              <w:bottom w:val="nil"/>
              <w:right w:val="nil"/>
            </w:tcBorders>
            <w:shd w:val="clear" w:color="auto" w:fill="auto"/>
            <w:noWrap/>
            <w:vAlign w:val="center"/>
            <w:hideMark/>
          </w:tcPr>
          <w:p w14:paraId="021C4931"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028</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892</w:t>
            </w:r>
          </w:p>
        </w:tc>
        <w:tc>
          <w:tcPr>
            <w:tcW w:w="482" w:type="pct"/>
            <w:tcBorders>
              <w:top w:val="nil"/>
              <w:left w:val="nil"/>
              <w:bottom w:val="nil"/>
              <w:right w:val="nil"/>
            </w:tcBorders>
            <w:shd w:val="clear" w:color="auto" w:fill="auto"/>
            <w:noWrap/>
            <w:vAlign w:val="center"/>
            <w:hideMark/>
          </w:tcPr>
          <w:p w14:paraId="1230935A"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222</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463</w:t>
            </w:r>
            <w:r>
              <w:rPr>
                <w:rFonts w:ascii="Calibri" w:eastAsia="Times New Roman" w:hAnsi="Calibri" w:cs="Times New Roman"/>
                <w:color w:val="000000"/>
                <w:sz w:val="20"/>
                <w:szCs w:val="20"/>
                <w:lang w:val="en-GB" w:eastAsia="en-GB"/>
              </w:rPr>
              <w:t xml:space="preserve"> (17.8%)</w:t>
            </w:r>
          </w:p>
        </w:tc>
      </w:tr>
      <w:tr w:rsidR="00FD16CC" w:rsidRPr="00741EF7" w14:paraId="6E50501A" w14:textId="77777777" w:rsidTr="00886847">
        <w:trPr>
          <w:trHeight w:val="454"/>
        </w:trPr>
        <w:tc>
          <w:tcPr>
            <w:tcW w:w="442" w:type="pct"/>
            <w:tcBorders>
              <w:top w:val="nil"/>
              <w:left w:val="nil"/>
              <w:bottom w:val="nil"/>
              <w:right w:val="nil"/>
            </w:tcBorders>
            <w:shd w:val="clear" w:color="auto" w:fill="BFBFBF" w:themeFill="background1" w:themeFillShade="BF"/>
            <w:noWrap/>
            <w:vAlign w:val="center"/>
            <w:hideMark/>
          </w:tcPr>
          <w:p w14:paraId="29BA4C24" w14:textId="77777777" w:rsidR="00FD16CC" w:rsidRPr="00741EF7" w:rsidRDefault="00FD16CC" w:rsidP="00886847">
            <w:pPr>
              <w:spacing w:after="0" w:line="240" w:lineRule="auto"/>
              <w:rPr>
                <w:rFonts w:ascii="Calibri" w:eastAsia="Times New Roman" w:hAnsi="Calibri" w:cs="Times New Roman"/>
                <w:b/>
                <w:bCs/>
                <w:color w:val="000000"/>
                <w:sz w:val="20"/>
                <w:szCs w:val="20"/>
                <w:lang w:val="en-GB" w:eastAsia="en-GB"/>
              </w:rPr>
            </w:pPr>
            <w:r w:rsidRPr="00741EF7">
              <w:rPr>
                <w:rFonts w:ascii="Calibri" w:eastAsia="Times New Roman" w:hAnsi="Calibri" w:cs="Times New Roman"/>
                <w:b/>
                <w:bCs/>
                <w:color w:val="000000"/>
                <w:sz w:val="20"/>
                <w:szCs w:val="20"/>
                <w:lang w:val="en-GB" w:eastAsia="en-GB"/>
              </w:rPr>
              <w:t>Ankole</w:t>
            </w:r>
          </w:p>
        </w:tc>
        <w:tc>
          <w:tcPr>
            <w:tcW w:w="393" w:type="pct"/>
            <w:tcBorders>
              <w:top w:val="nil"/>
              <w:left w:val="nil"/>
              <w:bottom w:val="nil"/>
              <w:right w:val="nil"/>
            </w:tcBorders>
            <w:shd w:val="clear" w:color="auto" w:fill="BFBFBF" w:themeFill="background1" w:themeFillShade="BF"/>
            <w:noWrap/>
            <w:vAlign w:val="center"/>
            <w:hideMark/>
          </w:tcPr>
          <w:p w14:paraId="6B07D5AB"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223</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367</w:t>
            </w:r>
          </w:p>
        </w:tc>
        <w:tc>
          <w:tcPr>
            <w:tcW w:w="540" w:type="pct"/>
            <w:tcBorders>
              <w:top w:val="nil"/>
              <w:left w:val="nil"/>
              <w:bottom w:val="nil"/>
              <w:right w:val="nil"/>
            </w:tcBorders>
            <w:shd w:val="clear" w:color="auto" w:fill="BFBFBF" w:themeFill="background1" w:themeFillShade="BF"/>
            <w:noWrap/>
            <w:vAlign w:val="center"/>
            <w:hideMark/>
          </w:tcPr>
          <w:p w14:paraId="269D0419"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37</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015</w:t>
            </w:r>
            <w:r>
              <w:rPr>
                <w:rFonts w:ascii="Calibri" w:eastAsia="Times New Roman" w:hAnsi="Calibri" w:cs="Times New Roman"/>
                <w:color w:val="000000"/>
                <w:sz w:val="20"/>
                <w:szCs w:val="20"/>
                <w:lang w:val="en-GB" w:eastAsia="en-GB"/>
              </w:rPr>
              <w:t xml:space="preserve"> (14.2%)</w:t>
            </w:r>
          </w:p>
        </w:tc>
        <w:tc>
          <w:tcPr>
            <w:tcW w:w="393" w:type="pct"/>
            <w:tcBorders>
              <w:top w:val="nil"/>
              <w:left w:val="nil"/>
              <w:bottom w:val="nil"/>
              <w:right w:val="nil"/>
            </w:tcBorders>
            <w:shd w:val="clear" w:color="auto" w:fill="BFBFBF" w:themeFill="background1" w:themeFillShade="BF"/>
            <w:noWrap/>
            <w:vAlign w:val="center"/>
            <w:hideMark/>
          </w:tcPr>
          <w:p w14:paraId="70B2FA09"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635</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577</w:t>
            </w:r>
          </w:p>
        </w:tc>
        <w:tc>
          <w:tcPr>
            <w:tcW w:w="540" w:type="pct"/>
            <w:tcBorders>
              <w:top w:val="nil"/>
              <w:left w:val="nil"/>
              <w:bottom w:val="nil"/>
              <w:right w:val="nil"/>
            </w:tcBorders>
            <w:shd w:val="clear" w:color="auto" w:fill="BFBFBF" w:themeFill="background1" w:themeFillShade="BF"/>
            <w:noWrap/>
            <w:vAlign w:val="center"/>
            <w:hideMark/>
          </w:tcPr>
          <w:p w14:paraId="1D2F2C00"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99</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989</w:t>
            </w:r>
            <w:r>
              <w:rPr>
                <w:rFonts w:ascii="Calibri" w:eastAsia="Times New Roman" w:hAnsi="Calibri" w:cs="Times New Roman"/>
                <w:color w:val="000000"/>
                <w:sz w:val="20"/>
                <w:szCs w:val="20"/>
                <w:lang w:val="en-GB" w:eastAsia="en-GB"/>
              </w:rPr>
              <w:t xml:space="preserve"> (13.6%)</w:t>
            </w:r>
          </w:p>
        </w:tc>
        <w:tc>
          <w:tcPr>
            <w:tcW w:w="393" w:type="pct"/>
            <w:tcBorders>
              <w:top w:val="nil"/>
              <w:left w:val="nil"/>
              <w:bottom w:val="nil"/>
              <w:right w:val="nil"/>
            </w:tcBorders>
            <w:shd w:val="clear" w:color="auto" w:fill="BFBFBF" w:themeFill="background1" w:themeFillShade="BF"/>
            <w:noWrap/>
            <w:vAlign w:val="center"/>
            <w:hideMark/>
          </w:tcPr>
          <w:p w14:paraId="35B7B1E0"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690</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194</w:t>
            </w:r>
          </w:p>
        </w:tc>
        <w:tc>
          <w:tcPr>
            <w:tcW w:w="540" w:type="pct"/>
            <w:tcBorders>
              <w:top w:val="nil"/>
              <w:left w:val="nil"/>
              <w:bottom w:val="nil"/>
              <w:right w:val="nil"/>
            </w:tcBorders>
            <w:shd w:val="clear" w:color="auto" w:fill="BFBFBF" w:themeFill="background1" w:themeFillShade="BF"/>
            <w:noWrap/>
            <w:vAlign w:val="center"/>
            <w:hideMark/>
          </w:tcPr>
          <w:p w14:paraId="632FA8DA"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111</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088</w:t>
            </w:r>
            <w:r>
              <w:rPr>
                <w:rFonts w:ascii="Calibri" w:eastAsia="Times New Roman" w:hAnsi="Calibri" w:cs="Times New Roman"/>
                <w:color w:val="000000"/>
                <w:sz w:val="20"/>
                <w:szCs w:val="20"/>
                <w:lang w:val="en-GB" w:eastAsia="en-GB"/>
              </w:rPr>
              <w:t xml:space="preserve"> (13.9%)</w:t>
            </w:r>
          </w:p>
        </w:tc>
        <w:tc>
          <w:tcPr>
            <w:tcW w:w="341" w:type="pct"/>
            <w:tcBorders>
              <w:top w:val="nil"/>
              <w:left w:val="nil"/>
              <w:bottom w:val="nil"/>
              <w:right w:val="nil"/>
            </w:tcBorders>
            <w:shd w:val="clear" w:color="auto" w:fill="BFBFBF" w:themeFill="background1" w:themeFillShade="BF"/>
            <w:noWrap/>
            <w:vAlign w:val="center"/>
            <w:hideMark/>
          </w:tcPr>
          <w:p w14:paraId="366DA22A"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217</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762</w:t>
            </w:r>
          </w:p>
        </w:tc>
        <w:tc>
          <w:tcPr>
            <w:tcW w:w="533" w:type="pct"/>
            <w:tcBorders>
              <w:top w:val="nil"/>
              <w:left w:val="nil"/>
              <w:bottom w:val="nil"/>
              <w:right w:val="nil"/>
            </w:tcBorders>
            <w:shd w:val="clear" w:color="auto" w:fill="BFBFBF" w:themeFill="background1" w:themeFillShade="BF"/>
            <w:noWrap/>
            <w:vAlign w:val="center"/>
            <w:hideMark/>
          </w:tcPr>
          <w:p w14:paraId="26F2FF79"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53</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439</w:t>
            </w:r>
            <w:r>
              <w:rPr>
                <w:rFonts w:ascii="Calibri" w:eastAsia="Times New Roman" w:hAnsi="Calibri" w:cs="Times New Roman"/>
                <w:color w:val="000000"/>
                <w:sz w:val="20"/>
                <w:szCs w:val="20"/>
                <w:lang w:val="en-GB" w:eastAsia="en-GB"/>
              </w:rPr>
              <w:t xml:space="preserve"> (19.7%)</w:t>
            </w:r>
          </w:p>
        </w:tc>
        <w:tc>
          <w:tcPr>
            <w:tcW w:w="403" w:type="pct"/>
            <w:tcBorders>
              <w:top w:val="nil"/>
              <w:left w:val="nil"/>
              <w:bottom w:val="nil"/>
              <w:right w:val="nil"/>
            </w:tcBorders>
            <w:shd w:val="clear" w:color="auto" w:fill="BFBFBF" w:themeFill="background1" w:themeFillShade="BF"/>
            <w:noWrap/>
            <w:vAlign w:val="center"/>
            <w:hideMark/>
          </w:tcPr>
          <w:p w14:paraId="533F931B"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201</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695</w:t>
            </w:r>
          </w:p>
        </w:tc>
        <w:tc>
          <w:tcPr>
            <w:tcW w:w="482" w:type="pct"/>
            <w:tcBorders>
              <w:top w:val="nil"/>
              <w:left w:val="nil"/>
              <w:bottom w:val="nil"/>
              <w:right w:val="nil"/>
            </w:tcBorders>
            <w:shd w:val="clear" w:color="auto" w:fill="BFBFBF" w:themeFill="background1" w:themeFillShade="BF"/>
            <w:noWrap/>
            <w:vAlign w:val="center"/>
            <w:hideMark/>
          </w:tcPr>
          <w:p w14:paraId="48FB5DF5"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51</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337</w:t>
            </w:r>
            <w:r>
              <w:rPr>
                <w:rFonts w:ascii="Calibri" w:eastAsia="Times New Roman" w:hAnsi="Calibri" w:cs="Times New Roman"/>
                <w:color w:val="000000"/>
                <w:sz w:val="20"/>
                <w:szCs w:val="20"/>
                <w:lang w:val="en-GB" w:eastAsia="en-GB"/>
              </w:rPr>
              <w:t xml:space="preserve"> (20.3%)</w:t>
            </w:r>
          </w:p>
        </w:tc>
      </w:tr>
      <w:tr w:rsidR="00FD16CC" w:rsidRPr="00741EF7" w14:paraId="1F012924" w14:textId="77777777" w:rsidTr="00886847">
        <w:trPr>
          <w:trHeight w:val="454"/>
        </w:trPr>
        <w:tc>
          <w:tcPr>
            <w:tcW w:w="442" w:type="pct"/>
            <w:tcBorders>
              <w:top w:val="nil"/>
              <w:left w:val="nil"/>
              <w:bottom w:val="nil"/>
              <w:right w:val="nil"/>
            </w:tcBorders>
            <w:shd w:val="clear" w:color="auto" w:fill="auto"/>
            <w:noWrap/>
            <w:vAlign w:val="center"/>
            <w:hideMark/>
          </w:tcPr>
          <w:p w14:paraId="1A1DD5F5" w14:textId="77777777" w:rsidR="00FD16CC" w:rsidRPr="00741EF7" w:rsidRDefault="00FD16CC" w:rsidP="00886847">
            <w:pPr>
              <w:spacing w:after="0" w:line="240" w:lineRule="auto"/>
              <w:rPr>
                <w:rFonts w:ascii="Calibri" w:eastAsia="Times New Roman" w:hAnsi="Calibri" w:cs="Times New Roman"/>
                <w:b/>
                <w:bCs/>
                <w:color w:val="000000"/>
                <w:sz w:val="20"/>
                <w:szCs w:val="20"/>
                <w:lang w:val="en-GB" w:eastAsia="en-GB"/>
              </w:rPr>
            </w:pPr>
            <w:r w:rsidRPr="00741EF7">
              <w:rPr>
                <w:rFonts w:ascii="Calibri" w:eastAsia="Times New Roman" w:hAnsi="Calibri" w:cs="Times New Roman"/>
                <w:b/>
                <w:bCs/>
                <w:color w:val="000000"/>
                <w:sz w:val="20"/>
                <w:szCs w:val="20"/>
                <w:lang w:val="en-GB" w:eastAsia="en-GB"/>
              </w:rPr>
              <w:t>Bugisu</w:t>
            </w:r>
          </w:p>
        </w:tc>
        <w:tc>
          <w:tcPr>
            <w:tcW w:w="393" w:type="pct"/>
            <w:tcBorders>
              <w:top w:val="nil"/>
              <w:left w:val="nil"/>
              <w:bottom w:val="nil"/>
              <w:right w:val="nil"/>
            </w:tcBorders>
            <w:shd w:val="clear" w:color="auto" w:fill="auto"/>
            <w:noWrap/>
            <w:vAlign w:val="center"/>
            <w:hideMark/>
          </w:tcPr>
          <w:p w14:paraId="05A5C9AF"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121</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622</w:t>
            </w:r>
          </w:p>
        </w:tc>
        <w:tc>
          <w:tcPr>
            <w:tcW w:w="540" w:type="pct"/>
            <w:tcBorders>
              <w:top w:val="nil"/>
              <w:left w:val="nil"/>
              <w:bottom w:val="nil"/>
              <w:right w:val="nil"/>
            </w:tcBorders>
            <w:shd w:val="clear" w:color="auto" w:fill="auto"/>
            <w:noWrap/>
            <w:vAlign w:val="center"/>
            <w:hideMark/>
          </w:tcPr>
          <w:p w14:paraId="44370276"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15</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058</w:t>
            </w:r>
            <w:r>
              <w:rPr>
                <w:rFonts w:ascii="Calibri" w:eastAsia="Times New Roman" w:hAnsi="Calibri" w:cs="Times New Roman"/>
                <w:color w:val="000000"/>
                <w:sz w:val="20"/>
                <w:szCs w:val="20"/>
                <w:lang w:val="en-GB" w:eastAsia="en-GB"/>
              </w:rPr>
              <w:t xml:space="preserve"> (11.0%)</w:t>
            </w:r>
          </w:p>
        </w:tc>
        <w:tc>
          <w:tcPr>
            <w:tcW w:w="393" w:type="pct"/>
            <w:tcBorders>
              <w:top w:val="nil"/>
              <w:left w:val="nil"/>
              <w:bottom w:val="nil"/>
              <w:right w:val="nil"/>
            </w:tcBorders>
            <w:shd w:val="clear" w:color="auto" w:fill="auto"/>
            <w:noWrap/>
            <w:vAlign w:val="center"/>
            <w:hideMark/>
          </w:tcPr>
          <w:p w14:paraId="0D663213"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299</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722</w:t>
            </w:r>
          </w:p>
        </w:tc>
        <w:tc>
          <w:tcPr>
            <w:tcW w:w="540" w:type="pct"/>
            <w:tcBorders>
              <w:top w:val="nil"/>
              <w:left w:val="nil"/>
              <w:bottom w:val="nil"/>
              <w:right w:val="nil"/>
            </w:tcBorders>
            <w:shd w:val="clear" w:color="auto" w:fill="auto"/>
            <w:noWrap/>
            <w:vAlign w:val="center"/>
            <w:hideMark/>
          </w:tcPr>
          <w:p w14:paraId="249BC823"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35</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663</w:t>
            </w:r>
            <w:r>
              <w:rPr>
                <w:rFonts w:ascii="Calibri" w:eastAsia="Times New Roman" w:hAnsi="Calibri" w:cs="Times New Roman"/>
                <w:color w:val="000000"/>
                <w:sz w:val="20"/>
                <w:szCs w:val="20"/>
                <w:lang w:val="en-GB" w:eastAsia="en-GB"/>
              </w:rPr>
              <w:t xml:space="preserve"> (10.6%)</w:t>
            </w:r>
          </w:p>
        </w:tc>
        <w:tc>
          <w:tcPr>
            <w:tcW w:w="393" w:type="pct"/>
            <w:tcBorders>
              <w:top w:val="nil"/>
              <w:left w:val="nil"/>
              <w:bottom w:val="nil"/>
              <w:right w:val="nil"/>
            </w:tcBorders>
            <w:shd w:val="clear" w:color="auto" w:fill="auto"/>
            <w:noWrap/>
            <w:vAlign w:val="center"/>
            <w:hideMark/>
          </w:tcPr>
          <w:p w14:paraId="0759BA44"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316</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752</w:t>
            </w:r>
          </w:p>
        </w:tc>
        <w:tc>
          <w:tcPr>
            <w:tcW w:w="540" w:type="pct"/>
            <w:tcBorders>
              <w:top w:val="nil"/>
              <w:left w:val="nil"/>
              <w:bottom w:val="nil"/>
              <w:right w:val="nil"/>
            </w:tcBorders>
            <w:shd w:val="clear" w:color="auto" w:fill="auto"/>
            <w:noWrap/>
            <w:vAlign w:val="center"/>
            <w:hideMark/>
          </w:tcPr>
          <w:p w14:paraId="184B6420"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44</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194</w:t>
            </w:r>
            <w:r>
              <w:rPr>
                <w:rFonts w:ascii="Calibri" w:eastAsia="Times New Roman" w:hAnsi="Calibri" w:cs="Times New Roman"/>
                <w:color w:val="000000"/>
                <w:sz w:val="20"/>
                <w:szCs w:val="20"/>
                <w:lang w:val="en-GB" w:eastAsia="en-GB"/>
              </w:rPr>
              <w:t xml:space="preserve"> (12.2%)</w:t>
            </w:r>
          </w:p>
        </w:tc>
        <w:tc>
          <w:tcPr>
            <w:tcW w:w="341" w:type="pct"/>
            <w:tcBorders>
              <w:top w:val="nil"/>
              <w:left w:val="nil"/>
              <w:bottom w:val="nil"/>
              <w:right w:val="nil"/>
            </w:tcBorders>
            <w:shd w:val="clear" w:color="auto" w:fill="auto"/>
            <w:noWrap/>
            <w:vAlign w:val="center"/>
            <w:hideMark/>
          </w:tcPr>
          <w:p w14:paraId="1F4CD38D"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199</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340</w:t>
            </w:r>
          </w:p>
        </w:tc>
        <w:tc>
          <w:tcPr>
            <w:tcW w:w="533" w:type="pct"/>
            <w:tcBorders>
              <w:top w:val="nil"/>
              <w:left w:val="nil"/>
              <w:bottom w:val="nil"/>
              <w:right w:val="nil"/>
            </w:tcBorders>
            <w:shd w:val="clear" w:color="auto" w:fill="auto"/>
            <w:noWrap/>
            <w:vAlign w:val="center"/>
            <w:hideMark/>
          </w:tcPr>
          <w:p w14:paraId="615C9D57"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35</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895</w:t>
            </w:r>
            <w:r>
              <w:rPr>
                <w:rFonts w:ascii="Calibri" w:eastAsia="Times New Roman" w:hAnsi="Calibri" w:cs="Times New Roman"/>
                <w:color w:val="000000"/>
                <w:sz w:val="20"/>
                <w:szCs w:val="20"/>
                <w:lang w:val="en-GB" w:eastAsia="en-GB"/>
              </w:rPr>
              <w:t xml:space="preserve"> (15.3%)</w:t>
            </w:r>
          </w:p>
        </w:tc>
        <w:tc>
          <w:tcPr>
            <w:tcW w:w="403" w:type="pct"/>
            <w:tcBorders>
              <w:top w:val="nil"/>
              <w:left w:val="nil"/>
              <w:bottom w:val="nil"/>
              <w:right w:val="nil"/>
            </w:tcBorders>
            <w:shd w:val="clear" w:color="auto" w:fill="auto"/>
            <w:noWrap/>
            <w:vAlign w:val="center"/>
            <w:hideMark/>
          </w:tcPr>
          <w:p w14:paraId="390CF9A2"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242</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374</w:t>
            </w:r>
          </w:p>
        </w:tc>
        <w:tc>
          <w:tcPr>
            <w:tcW w:w="482" w:type="pct"/>
            <w:tcBorders>
              <w:top w:val="nil"/>
              <w:left w:val="nil"/>
              <w:bottom w:val="nil"/>
              <w:right w:val="nil"/>
            </w:tcBorders>
            <w:shd w:val="clear" w:color="auto" w:fill="auto"/>
            <w:noWrap/>
            <w:vAlign w:val="center"/>
            <w:hideMark/>
          </w:tcPr>
          <w:p w14:paraId="41D18C53"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42</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895</w:t>
            </w:r>
            <w:r>
              <w:rPr>
                <w:rFonts w:ascii="Calibri" w:eastAsia="Times New Roman" w:hAnsi="Calibri" w:cs="Times New Roman"/>
                <w:color w:val="000000"/>
                <w:sz w:val="20"/>
                <w:szCs w:val="20"/>
                <w:lang w:val="en-GB" w:eastAsia="en-GB"/>
              </w:rPr>
              <w:t xml:space="preserve"> (15.0%)</w:t>
            </w:r>
          </w:p>
        </w:tc>
      </w:tr>
      <w:tr w:rsidR="00FD16CC" w:rsidRPr="00741EF7" w14:paraId="18A6D70D" w14:textId="77777777" w:rsidTr="00886847">
        <w:trPr>
          <w:trHeight w:val="454"/>
        </w:trPr>
        <w:tc>
          <w:tcPr>
            <w:tcW w:w="442" w:type="pct"/>
            <w:tcBorders>
              <w:top w:val="nil"/>
              <w:left w:val="nil"/>
              <w:bottom w:val="nil"/>
              <w:right w:val="nil"/>
            </w:tcBorders>
            <w:shd w:val="clear" w:color="auto" w:fill="BFBFBF" w:themeFill="background1" w:themeFillShade="BF"/>
            <w:noWrap/>
            <w:vAlign w:val="center"/>
            <w:hideMark/>
          </w:tcPr>
          <w:p w14:paraId="0A940D84" w14:textId="77777777" w:rsidR="00FD16CC" w:rsidRPr="00741EF7" w:rsidRDefault="00FD16CC" w:rsidP="00886847">
            <w:pPr>
              <w:spacing w:after="0" w:line="240" w:lineRule="auto"/>
              <w:rPr>
                <w:rFonts w:ascii="Calibri" w:eastAsia="Times New Roman" w:hAnsi="Calibri" w:cs="Times New Roman"/>
                <w:b/>
                <w:bCs/>
                <w:color w:val="000000"/>
                <w:sz w:val="20"/>
                <w:szCs w:val="20"/>
                <w:lang w:val="en-GB" w:eastAsia="en-GB"/>
              </w:rPr>
            </w:pPr>
            <w:r w:rsidRPr="00741EF7">
              <w:rPr>
                <w:rFonts w:ascii="Calibri" w:eastAsia="Times New Roman" w:hAnsi="Calibri" w:cs="Times New Roman"/>
                <w:b/>
                <w:bCs/>
                <w:color w:val="000000"/>
                <w:sz w:val="20"/>
                <w:szCs w:val="20"/>
                <w:lang w:val="en-GB" w:eastAsia="en-GB"/>
              </w:rPr>
              <w:t>Bukedi</w:t>
            </w:r>
          </w:p>
        </w:tc>
        <w:tc>
          <w:tcPr>
            <w:tcW w:w="393" w:type="pct"/>
            <w:tcBorders>
              <w:top w:val="nil"/>
              <w:left w:val="nil"/>
              <w:bottom w:val="nil"/>
              <w:right w:val="nil"/>
            </w:tcBorders>
            <w:shd w:val="clear" w:color="auto" w:fill="BFBFBF" w:themeFill="background1" w:themeFillShade="BF"/>
            <w:noWrap/>
            <w:vAlign w:val="center"/>
            <w:hideMark/>
          </w:tcPr>
          <w:p w14:paraId="6CD746B5"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147</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273</w:t>
            </w:r>
          </w:p>
        </w:tc>
        <w:tc>
          <w:tcPr>
            <w:tcW w:w="540" w:type="pct"/>
            <w:tcBorders>
              <w:top w:val="nil"/>
              <w:left w:val="nil"/>
              <w:bottom w:val="nil"/>
              <w:right w:val="nil"/>
            </w:tcBorders>
            <w:shd w:val="clear" w:color="auto" w:fill="BFBFBF" w:themeFill="background1" w:themeFillShade="BF"/>
            <w:noWrap/>
            <w:vAlign w:val="center"/>
            <w:hideMark/>
          </w:tcPr>
          <w:p w14:paraId="19C09214"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11</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500</w:t>
            </w:r>
            <w:r>
              <w:rPr>
                <w:rFonts w:ascii="Calibri" w:eastAsia="Times New Roman" w:hAnsi="Calibri" w:cs="Times New Roman"/>
                <w:color w:val="000000"/>
                <w:sz w:val="20"/>
                <w:szCs w:val="20"/>
                <w:lang w:val="en-GB" w:eastAsia="en-GB"/>
              </w:rPr>
              <w:t xml:space="preserve"> (7.2%)</w:t>
            </w:r>
          </w:p>
        </w:tc>
        <w:tc>
          <w:tcPr>
            <w:tcW w:w="393" w:type="pct"/>
            <w:tcBorders>
              <w:top w:val="nil"/>
              <w:left w:val="nil"/>
              <w:bottom w:val="nil"/>
              <w:right w:val="nil"/>
            </w:tcBorders>
            <w:shd w:val="clear" w:color="auto" w:fill="BFBFBF" w:themeFill="background1" w:themeFillShade="BF"/>
            <w:noWrap/>
            <w:vAlign w:val="center"/>
            <w:hideMark/>
          </w:tcPr>
          <w:p w14:paraId="0BB0DAB7"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365</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374</w:t>
            </w:r>
          </w:p>
        </w:tc>
        <w:tc>
          <w:tcPr>
            <w:tcW w:w="540" w:type="pct"/>
            <w:tcBorders>
              <w:top w:val="nil"/>
              <w:left w:val="nil"/>
              <w:bottom w:val="nil"/>
              <w:right w:val="nil"/>
            </w:tcBorders>
            <w:shd w:val="clear" w:color="auto" w:fill="BFBFBF" w:themeFill="background1" w:themeFillShade="BF"/>
            <w:noWrap/>
            <w:vAlign w:val="center"/>
            <w:hideMark/>
          </w:tcPr>
          <w:p w14:paraId="1AC362F8"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28</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915</w:t>
            </w:r>
            <w:r>
              <w:rPr>
                <w:rFonts w:ascii="Calibri" w:eastAsia="Times New Roman" w:hAnsi="Calibri" w:cs="Times New Roman"/>
                <w:color w:val="000000"/>
                <w:sz w:val="20"/>
                <w:szCs w:val="20"/>
                <w:lang w:val="en-GB" w:eastAsia="en-GB"/>
              </w:rPr>
              <w:t xml:space="preserve"> (7.3%)</w:t>
            </w:r>
          </w:p>
        </w:tc>
        <w:tc>
          <w:tcPr>
            <w:tcW w:w="393" w:type="pct"/>
            <w:tcBorders>
              <w:top w:val="nil"/>
              <w:left w:val="nil"/>
              <w:bottom w:val="nil"/>
              <w:right w:val="nil"/>
            </w:tcBorders>
            <w:shd w:val="clear" w:color="auto" w:fill="BFBFBF" w:themeFill="background1" w:themeFillShade="BF"/>
            <w:noWrap/>
            <w:vAlign w:val="center"/>
            <w:hideMark/>
          </w:tcPr>
          <w:p w14:paraId="54B87851"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413</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057</w:t>
            </w:r>
          </w:p>
        </w:tc>
        <w:tc>
          <w:tcPr>
            <w:tcW w:w="540" w:type="pct"/>
            <w:tcBorders>
              <w:top w:val="nil"/>
              <w:left w:val="nil"/>
              <w:bottom w:val="nil"/>
              <w:right w:val="nil"/>
            </w:tcBorders>
            <w:shd w:val="clear" w:color="auto" w:fill="BFBFBF" w:themeFill="background1" w:themeFillShade="BF"/>
            <w:noWrap/>
            <w:vAlign w:val="center"/>
            <w:hideMark/>
          </w:tcPr>
          <w:p w14:paraId="43ECAC6B"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35</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863</w:t>
            </w:r>
            <w:r>
              <w:rPr>
                <w:rFonts w:ascii="Calibri" w:eastAsia="Times New Roman" w:hAnsi="Calibri" w:cs="Times New Roman"/>
                <w:color w:val="000000"/>
                <w:sz w:val="20"/>
                <w:szCs w:val="20"/>
                <w:lang w:val="en-GB" w:eastAsia="en-GB"/>
              </w:rPr>
              <w:t xml:space="preserve"> (8.0%)</w:t>
            </w:r>
          </w:p>
        </w:tc>
        <w:tc>
          <w:tcPr>
            <w:tcW w:w="341" w:type="pct"/>
            <w:tcBorders>
              <w:top w:val="nil"/>
              <w:left w:val="nil"/>
              <w:bottom w:val="nil"/>
              <w:right w:val="nil"/>
            </w:tcBorders>
            <w:shd w:val="clear" w:color="auto" w:fill="BFBFBF" w:themeFill="background1" w:themeFillShade="BF"/>
            <w:noWrap/>
            <w:vAlign w:val="center"/>
            <w:hideMark/>
          </w:tcPr>
          <w:p w14:paraId="699F5B69"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255</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022</w:t>
            </w:r>
          </w:p>
        </w:tc>
        <w:tc>
          <w:tcPr>
            <w:tcW w:w="533" w:type="pct"/>
            <w:tcBorders>
              <w:top w:val="nil"/>
              <w:left w:val="nil"/>
              <w:bottom w:val="nil"/>
              <w:right w:val="nil"/>
            </w:tcBorders>
            <w:shd w:val="clear" w:color="auto" w:fill="BFBFBF" w:themeFill="background1" w:themeFillShade="BF"/>
            <w:noWrap/>
            <w:vAlign w:val="center"/>
            <w:hideMark/>
          </w:tcPr>
          <w:p w14:paraId="2182C37B"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22</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221</w:t>
            </w:r>
            <w:r>
              <w:rPr>
                <w:rFonts w:ascii="Calibri" w:eastAsia="Times New Roman" w:hAnsi="Calibri" w:cs="Times New Roman"/>
                <w:color w:val="000000"/>
                <w:sz w:val="20"/>
                <w:szCs w:val="20"/>
                <w:lang w:val="en-GB" w:eastAsia="en-GB"/>
              </w:rPr>
              <w:t xml:space="preserve"> (8.0%)</w:t>
            </w:r>
          </w:p>
        </w:tc>
        <w:tc>
          <w:tcPr>
            <w:tcW w:w="403" w:type="pct"/>
            <w:tcBorders>
              <w:top w:val="nil"/>
              <w:left w:val="nil"/>
              <w:bottom w:val="nil"/>
              <w:right w:val="nil"/>
            </w:tcBorders>
            <w:shd w:val="clear" w:color="auto" w:fill="BFBFBF" w:themeFill="background1" w:themeFillShade="BF"/>
            <w:noWrap/>
            <w:vAlign w:val="center"/>
            <w:hideMark/>
          </w:tcPr>
          <w:p w14:paraId="30921496"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237</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194</w:t>
            </w:r>
          </w:p>
        </w:tc>
        <w:tc>
          <w:tcPr>
            <w:tcW w:w="482" w:type="pct"/>
            <w:tcBorders>
              <w:top w:val="nil"/>
              <w:left w:val="nil"/>
              <w:bottom w:val="nil"/>
              <w:right w:val="nil"/>
            </w:tcBorders>
            <w:shd w:val="clear" w:color="auto" w:fill="BFBFBF" w:themeFill="background1" w:themeFillShade="BF"/>
            <w:noWrap/>
            <w:vAlign w:val="center"/>
            <w:hideMark/>
          </w:tcPr>
          <w:p w14:paraId="6F2C7C3B"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21</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658</w:t>
            </w:r>
            <w:r>
              <w:rPr>
                <w:rFonts w:ascii="Calibri" w:eastAsia="Times New Roman" w:hAnsi="Calibri" w:cs="Times New Roman"/>
                <w:color w:val="000000"/>
                <w:sz w:val="20"/>
                <w:szCs w:val="20"/>
                <w:lang w:val="en-GB" w:eastAsia="en-GB"/>
              </w:rPr>
              <w:t xml:space="preserve"> (8.4%)</w:t>
            </w:r>
          </w:p>
        </w:tc>
      </w:tr>
      <w:tr w:rsidR="00FD16CC" w:rsidRPr="00741EF7" w14:paraId="31263B2E" w14:textId="77777777" w:rsidTr="00886847">
        <w:trPr>
          <w:trHeight w:val="454"/>
        </w:trPr>
        <w:tc>
          <w:tcPr>
            <w:tcW w:w="442" w:type="pct"/>
            <w:tcBorders>
              <w:top w:val="nil"/>
              <w:left w:val="nil"/>
              <w:bottom w:val="nil"/>
              <w:right w:val="nil"/>
            </w:tcBorders>
            <w:shd w:val="clear" w:color="auto" w:fill="auto"/>
            <w:noWrap/>
            <w:vAlign w:val="center"/>
            <w:hideMark/>
          </w:tcPr>
          <w:p w14:paraId="5394CBB0" w14:textId="77777777" w:rsidR="00FD16CC" w:rsidRPr="00741EF7" w:rsidRDefault="00FD16CC" w:rsidP="00886847">
            <w:pPr>
              <w:spacing w:after="0" w:line="240" w:lineRule="auto"/>
              <w:rPr>
                <w:rFonts w:ascii="Calibri" w:eastAsia="Times New Roman" w:hAnsi="Calibri" w:cs="Times New Roman"/>
                <w:b/>
                <w:bCs/>
                <w:color w:val="000000"/>
                <w:sz w:val="20"/>
                <w:szCs w:val="20"/>
                <w:lang w:val="en-GB" w:eastAsia="en-GB"/>
              </w:rPr>
            </w:pPr>
            <w:r w:rsidRPr="00741EF7">
              <w:rPr>
                <w:rFonts w:ascii="Calibri" w:eastAsia="Times New Roman" w:hAnsi="Calibri" w:cs="Times New Roman"/>
                <w:b/>
                <w:bCs/>
                <w:color w:val="000000"/>
                <w:sz w:val="20"/>
                <w:szCs w:val="20"/>
                <w:lang w:val="en-GB" w:eastAsia="en-GB"/>
              </w:rPr>
              <w:t>Bunyoro</w:t>
            </w:r>
          </w:p>
        </w:tc>
        <w:tc>
          <w:tcPr>
            <w:tcW w:w="393" w:type="pct"/>
            <w:tcBorders>
              <w:top w:val="nil"/>
              <w:left w:val="nil"/>
              <w:bottom w:val="nil"/>
              <w:right w:val="nil"/>
            </w:tcBorders>
            <w:shd w:val="clear" w:color="auto" w:fill="auto"/>
            <w:noWrap/>
            <w:vAlign w:val="center"/>
            <w:hideMark/>
          </w:tcPr>
          <w:p w14:paraId="0E570119"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190</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002</w:t>
            </w:r>
          </w:p>
        </w:tc>
        <w:tc>
          <w:tcPr>
            <w:tcW w:w="540" w:type="pct"/>
            <w:tcBorders>
              <w:top w:val="nil"/>
              <w:left w:val="nil"/>
              <w:bottom w:val="nil"/>
              <w:right w:val="nil"/>
            </w:tcBorders>
            <w:shd w:val="clear" w:color="auto" w:fill="auto"/>
            <w:noWrap/>
            <w:vAlign w:val="center"/>
            <w:hideMark/>
          </w:tcPr>
          <w:p w14:paraId="3AD1CD9C"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27</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645</w:t>
            </w:r>
            <w:r>
              <w:rPr>
                <w:rFonts w:ascii="Calibri" w:eastAsia="Times New Roman" w:hAnsi="Calibri" w:cs="Times New Roman"/>
                <w:color w:val="000000"/>
                <w:sz w:val="20"/>
                <w:szCs w:val="20"/>
                <w:lang w:val="en-GB" w:eastAsia="en-GB"/>
              </w:rPr>
              <w:t xml:space="preserve"> (12.7%)</w:t>
            </w:r>
          </w:p>
        </w:tc>
        <w:tc>
          <w:tcPr>
            <w:tcW w:w="393" w:type="pct"/>
            <w:tcBorders>
              <w:top w:val="nil"/>
              <w:left w:val="nil"/>
              <w:bottom w:val="nil"/>
              <w:right w:val="nil"/>
            </w:tcBorders>
            <w:shd w:val="clear" w:color="auto" w:fill="auto"/>
            <w:noWrap/>
            <w:vAlign w:val="center"/>
            <w:hideMark/>
          </w:tcPr>
          <w:p w14:paraId="1DC9B5FC"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485</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290</w:t>
            </w:r>
          </w:p>
        </w:tc>
        <w:tc>
          <w:tcPr>
            <w:tcW w:w="540" w:type="pct"/>
            <w:tcBorders>
              <w:top w:val="nil"/>
              <w:left w:val="nil"/>
              <w:bottom w:val="nil"/>
              <w:right w:val="nil"/>
            </w:tcBorders>
            <w:shd w:val="clear" w:color="auto" w:fill="auto"/>
            <w:noWrap/>
            <w:vAlign w:val="center"/>
            <w:hideMark/>
          </w:tcPr>
          <w:p w14:paraId="5E5755FE"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79</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643</w:t>
            </w:r>
            <w:r>
              <w:rPr>
                <w:rFonts w:ascii="Calibri" w:eastAsia="Times New Roman" w:hAnsi="Calibri" w:cs="Times New Roman"/>
                <w:color w:val="000000"/>
                <w:sz w:val="20"/>
                <w:szCs w:val="20"/>
                <w:lang w:val="en-GB" w:eastAsia="en-GB"/>
              </w:rPr>
              <w:t xml:space="preserve"> (14.1%)</w:t>
            </w:r>
          </w:p>
        </w:tc>
        <w:tc>
          <w:tcPr>
            <w:tcW w:w="393" w:type="pct"/>
            <w:tcBorders>
              <w:top w:val="nil"/>
              <w:left w:val="nil"/>
              <w:bottom w:val="nil"/>
              <w:right w:val="nil"/>
            </w:tcBorders>
            <w:shd w:val="clear" w:color="auto" w:fill="auto"/>
            <w:noWrap/>
            <w:vAlign w:val="center"/>
            <w:hideMark/>
          </w:tcPr>
          <w:p w14:paraId="578ADC1F"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496</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471</w:t>
            </w:r>
          </w:p>
        </w:tc>
        <w:tc>
          <w:tcPr>
            <w:tcW w:w="540" w:type="pct"/>
            <w:tcBorders>
              <w:top w:val="nil"/>
              <w:left w:val="nil"/>
              <w:bottom w:val="nil"/>
              <w:right w:val="nil"/>
            </w:tcBorders>
            <w:shd w:val="clear" w:color="auto" w:fill="auto"/>
            <w:noWrap/>
            <w:vAlign w:val="center"/>
            <w:hideMark/>
          </w:tcPr>
          <w:p w14:paraId="052B6BDB"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70</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328</w:t>
            </w:r>
            <w:r>
              <w:rPr>
                <w:rFonts w:ascii="Calibri" w:eastAsia="Times New Roman" w:hAnsi="Calibri" w:cs="Times New Roman"/>
                <w:color w:val="000000"/>
                <w:sz w:val="20"/>
                <w:szCs w:val="20"/>
                <w:lang w:val="en-GB" w:eastAsia="en-GB"/>
              </w:rPr>
              <w:t xml:space="preserve"> (12.4%)</w:t>
            </w:r>
          </w:p>
        </w:tc>
        <w:tc>
          <w:tcPr>
            <w:tcW w:w="341" w:type="pct"/>
            <w:tcBorders>
              <w:top w:val="nil"/>
              <w:left w:val="nil"/>
              <w:bottom w:val="nil"/>
              <w:right w:val="nil"/>
            </w:tcBorders>
            <w:shd w:val="clear" w:color="auto" w:fill="auto"/>
            <w:noWrap/>
            <w:vAlign w:val="center"/>
            <w:hideMark/>
          </w:tcPr>
          <w:p w14:paraId="6DD554D2"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298</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454</w:t>
            </w:r>
          </w:p>
        </w:tc>
        <w:tc>
          <w:tcPr>
            <w:tcW w:w="533" w:type="pct"/>
            <w:tcBorders>
              <w:top w:val="nil"/>
              <w:left w:val="nil"/>
              <w:bottom w:val="nil"/>
              <w:right w:val="nil"/>
            </w:tcBorders>
            <w:shd w:val="clear" w:color="auto" w:fill="auto"/>
            <w:noWrap/>
            <w:vAlign w:val="center"/>
            <w:hideMark/>
          </w:tcPr>
          <w:p w14:paraId="2C23F932"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48</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038</w:t>
            </w:r>
            <w:r>
              <w:rPr>
                <w:rFonts w:ascii="Calibri" w:eastAsia="Times New Roman" w:hAnsi="Calibri" w:cs="Times New Roman"/>
                <w:color w:val="000000"/>
                <w:sz w:val="20"/>
                <w:szCs w:val="20"/>
                <w:lang w:val="en-GB" w:eastAsia="en-GB"/>
              </w:rPr>
              <w:t xml:space="preserve"> (13.9%)</w:t>
            </w:r>
          </w:p>
        </w:tc>
        <w:tc>
          <w:tcPr>
            <w:tcW w:w="403" w:type="pct"/>
            <w:tcBorders>
              <w:top w:val="nil"/>
              <w:left w:val="nil"/>
              <w:bottom w:val="nil"/>
              <w:right w:val="nil"/>
            </w:tcBorders>
            <w:shd w:val="clear" w:color="auto" w:fill="auto"/>
            <w:noWrap/>
            <w:vAlign w:val="center"/>
            <w:hideMark/>
          </w:tcPr>
          <w:p w14:paraId="7B1BC535"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460</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368</w:t>
            </w:r>
          </w:p>
        </w:tc>
        <w:tc>
          <w:tcPr>
            <w:tcW w:w="482" w:type="pct"/>
            <w:tcBorders>
              <w:top w:val="nil"/>
              <w:left w:val="nil"/>
              <w:bottom w:val="nil"/>
              <w:right w:val="nil"/>
            </w:tcBorders>
            <w:shd w:val="clear" w:color="auto" w:fill="auto"/>
            <w:noWrap/>
            <w:vAlign w:val="center"/>
            <w:hideMark/>
          </w:tcPr>
          <w:p w14:paraId="73697E7B"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67</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734</w:t>
            </w:r>
            <w:r>
              <w:rPr>
                <w:rFonts w:ascii="Calibri" w:eastAsia="Times New Roman" w:hAnsi="Calibri" w:cs="Times New Roman"/>
                <w:color w:val="000000"/>
                <w:sz w:val="20"/>
                <w:szCs w:val="20"/>
                <w:lang w:val="en-GB" w:eastAsia="en-GB"/>
              </w:rPr>
              <w:t xml:space="preserve"> (12.8%)</w:t>
            </w:r>
          </w:p>
        </w:tc>
      </w:tr>
      <w:tr w:rsidR="00FD16CC" w:rsidRPr="00741EF7" w14:paraId="3E96AF6B" w14:textId="77777777" w:rsidTr="00886847">
        <w:trPr>
          <w:trHeight w:val="454"/>
        </w:trPr>
        <w:tc>
          <w:tcPr>
            <w:tcW w:w="442" w:type="pct"/>
            <w:tcBorders>
              <w:top w:val="nil"/>
              <w:left w:val="nil"/>
              <w:bottom w:val="nil"/>
              <w:right w:val="nil"/>
            </w:tcBorders>
            <w:shd w:val="clear" w:color="auto" w:fill="BFBFBF" w:themeFill="background1" w:themeFillShade="BF"/>
            <w:noWrap/>
            <w:vAlign w:val="center"/>
            <w:hideMark/>
          </w:tcPr>
          <w:p w14:paraId="22B92F5A" w14:textId="77777777" w:rsidR="00FD16CC" w:rsidRPr="00741EF7" w:rsidRDefault="00FD16CC" w:rsidP="00886847">
            <w:pPr>
              <w:spacing w:after="0" w:line="240" w:lineRule="auto"/>
              <w:rPr>
                <w:rFonts w:ascii="Calibri" w:eastAsia="Times New Roman" w:hAnsi="Calibri" w:cs="Times New Roman"/>
                <w:b/>
                <w:bCs/>
                <w:color w:val="000000"/>
                <w:sz w:val="20"/>
                <w:szCs w:val="20"/>
                <w:lang w:val="en-GB" w:eastAsia="en-GB"/>
              </w:rPr>
            </w:pPr>
            <w:r w:rsidRPr="00741EF7">
              <w:rPr>
                <w:rFonts w:ascii="Calibri" w:eastAsia="Times New Roman" w:hAnsi="Calibri" w:cs="Times New Roman"/>
                <w:b/>
                <w:bCs/>
                <w:color w:val="000000"/>
                <w:sz w:val="20"/>
                <w:szCs w:val="20"/>
                <w:lang w:val="en-GB" w:eastAsia="en-GB"/>
              </w:rPr>
              <w:t>East Central Busoga</w:t>
            </w:r>
          </w:p>
        </w:tc>
        <w:tc>
          <w:tcPr>
            <w:tcW w:w="393" w:type="pct"/>
            <w:tcBorders>
              <w:top w:val="nil"/>
              <w:left w:val="nil"/>
              <w:bottom w:val="nil"/>
              <w:right w:val="nil"/>
            </w:tcBorders>
            <w:shd w:val="clear" w:color="auto" w:fill="BFBFBF" w:themeFill="background1" w:themeFillShade="BF"/>
            <w:noWrap/>
            <w:vAlign w:val="center"/>
            <w:hideMark/>
          </w:tcPr>
          <w:p w14:paraId="355A48CB" w14:textId="504EDAF8"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459</w:t>
            </w:r>
            <w:r>
              <w:rPr>
                <w:rFonts w:ascii="Calibri" w:eastAsia="Times New Roman" w:hAnsi="Calibri" w:cs="Times New Roman"/>
                <w:color w:val="000000"/>
                <w:sz w:val="20"/>
                <w:szCs w:val="20"/>
                <w:lang w:val="en-GB" w:eastAsia="en-GB"/>
              </w:rPr>
              <w:t>,</w:t>
            </w:r>
            <w:r w:rsidR="00E80C32">
              <w:rPr>
                <w:rFonts w:ascii="Calibri" w:eastAsia="Times New Roman" w:hAnsi="Calibri" w:cs="Times New Roman"/>
                <w:color w:val="000000"/>
                <w:sz w:val="20"/>
                <w:szCs w:val="20"/>
                <w:lang w:val="en-GB" w:eastAsia="en-GB"/>
              </w:rPr>
              <w:t>733</w:t>
            </w:r>
          </w:p>
        </w:tc>
        <w:tc>
          <w:tcPr>
            <w:tcW w:w="540" w:type="pct"/>
            <w:tcBorders>
              <w:top w:val="nil"/>
              <w:left w:val="nil"/>
              <w:bottom w:val="nil"/>
              <w:right w:val="nil"/>
            </w:tcBorders>
            <w:shd w:val="clear" w:color="auto" w:fill="BFBFBF" w:themeFill="background1" w:themeFillShade="BF"/>
            <w:noWrap/>
            <w:vAlign w:val="center"/>
            <w:hideMark/>
          </w:tcPr>
          <w:p w14:paraId="63A756F4" w14:textId="45AC9316"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58</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858</w:t>
            </w:r>
            <w:r>
              <w:rPr>
                <w:rFonts w:ascii="Calibri" w:eastAsia="Times New Roman" w:hAnsi="Calibri" w:cs="Times New Roman"/>
                <w:color w:val="000000"/>
                <w:sz w:val="20"/>
                <w:szCs w:val="20"/>
                <w:lang w:val="en-GB" w:eastAsia="en-GB"/>
              </w:rPr>
              <w:t xml:space="preserve"> (1</w:t>
            </w:r>
            <w:r w:rsidR="00E80C32">
              <w:rPr>
                <w:rFonts w:ascii="Calibri" w:eastAsia="Times New Roman" w:hAnsi="Calibri" w:cs="Times New Roman"/>
                <w:color w:val="000000"/>
                <w:sz w:val="20"/>
                <w:szCs w:val="20"/>
                <w:lang w:val="en-GB" w:eastAsia="en-GB"/>
              </w:rPr>
              <w:t>1</w:t>
            </w:r>
            <w:r>
              <w:rPr>
                <w:rFonts w:ascii="Calibri" w:eastAsia="Times New Roman" w:hAnsi="Calibri" w:cs="Times New Roman"/>
                <w:color w:val="000000"/>
                <w:sz w:val="20"/>
                <w:szCs w:val="20"/>
                <w:lang w:val="en-GB" w:eastAsia="en-GB"/>
              </w:rPr>
              <w:t>.</w:t>
            </w:r>
            <w:r w:rsidR="00E80C32">
              <w:rPr>
                <w:rFonts w:ascii="Calibri" w:eastAsia="Times New Roman" w:hAnsi="Calibri" w:cs="Times New Roman"/>
                <w:color w:val="000000"/>
                <w:sz w:val="20"/>
                <w:szCs w:val="20"/>
                <w:lang w:val="en-GB" w:eastAsia="en-GB"/>
              </w:rPr>
              <w:t>3</w:t>
            </w:r>
            <w:r>
              <w:rPr>
                <w:rFonts w:ascii="Calibri" w:eastAsia="Times New Roman" w:hAnsi="Calibri" w:cs="Times New Roman"/>
                <w:color w:val="000000"/>
                <w:sz w:val="20"/>
                <w:szCs w:val="20"/>
                <w:lang w:val="en-GB" w:eastAsia="en-GB"/>
              </w:rPr>
              <w:t>%)</w:t>
            </w:r>
          </w:p>
        </w:tc>
        <w:tc>
          <w:tcPr>
            <w:tcW w:w="393" w:type="pct"/>
            <w:tcBorders>
              <w:top w:val="nil"/>
              <w:left w:val="nil"/>
              <w:bottom w:val="nil"/>
              <w:right w:val="nil"/>
            </w:tcBorders>
            <w:shd w:val="clear" w:color="auto" w:fill="BFBFBF" w:themeFill="background1" w:themeFillShade="BF"/>
            <w:noWrap/>
            <w:vAlign w:val="center"/>
            <w:hideMark/>
          </w:tcPr>
          <w:p w14:paraId="25BFCC39" w14:textId="3B32EA45" w:rsidR="00FD16CC" w:rsidRPr="00741EF7" w:rsidRDefault="00F221B9" w:rsidP="00886847">
            <w:pPr>
              <w:spacing w:after="0" w:line="240" w:lineRule="auto"/>
              <w:jc w:val="center"/>
              <w:rPr>
                <w:rFonts w:ascii="Calibri" w:eastAsia="Times New Roman" w:hAnsi="Calibri" w:cs="Times New Roman"/>
                <w:color w:val="000000"/>
                <w:sz w:val="20"/>
                <w:szCs w:val="20"/>
                <w:lang w:val="en-GB" w:eastAsia="en-GB"/>
              </w:rPr>
            </w:pPr>
            <w:r>
              <w:rPr>
                <w:rFonts w:ascii="Calibri" w:eastAsia="Times New Roman" w:hAnsi="Calibri" w:cs="Times New Roman"/>
                <w:color w:val="000000"/>
                <w:sz w:val="20"/>
                <w:szCs w:val="20"/>
                <w:lang w:val="en-GB" w:eastAsia="en-GB"/>
              </w:rPr>
              <w:t>1</w:t>
            </w:r>
            <w:r w:rsidR="00FD16CC">
              <w:rPr>
                <w:rFonts w:ascii="Calibri" w:eastAsia="Times New Roman" w:hAnsi="Calibri" w:cs="Times New Roman"/>
                <w:color w:val="000000"/>
                <w:sz w:val="20"/>
                <w:szCs w:val="20"/>
                <w:lang w:val="en-GB" w:eastAsia="en-GB"/>
              </w:rPr>
              <w:t>,</w:t>
            </w:r>
            <w:r>
              <w:rPr>
                <w:rFonts w:ascii="Calibri" w:eastAsia="Times New Roman" w:hAnsi="Calibri" w:cs="Times New Roman"/>
                <w:color w:val="000000"/>
                <w:sz w:val="20"/>
                <w:szCs w:val="20"/>
                <w:lang w:val="en-GB" w:eastAsia="en-GB"/>
              </w:rPr>
              <w:t>315</w:t>
            </w:r>
            <w:r w:rsidR="00FD16CC">
              <w:rPr>
                <w:rFonts w:ascii="Calibri" w:eastAsia="Times New Roman" w:hAnsi="Calibri" w:cs="Times New Roman"/>
                <w:color w:val="000000"/>
                <w:sz w:val="20"/>
                <w:szCs w:val="20"/>
                <w:lang w:val="en-GB" w:eastAsia="en-GB"/>
              </w:rPr>
              <w:t>,</w:t>
            </w:r>
            <w:r>
              <w:rPr>
                <w:rFonts w:ascii="Calibri" w:eastAsia="Times New Roman" w:hAnsi="Calibri" w:cs="Times New Roman"/>
                <w:color w:val="000000"/>
                <w:sz w:val="20"/>
                <w:szCs w:val="20"/>
                <w:lang w:val="en-GB" w:eastAsia="en-GB"/>
              </w:rPr>
              <w:t>082</w:t>
            </w:r>
          </w:p>
        </w:tc>
        <w:tc>
          <w:tcPr>
            <w:tcW w:w="540" w:type="pct"/>
            <w:tcBorders>
              <w:top w:val="nil"/>
              <w:left w:val="nil"/>
              <w:bottom w:val="nil"/>
              <w:right w:val="nil"/>
            </w:tcBorders>
            <w:shd w:val="clear" w:color="auto" w:fill="BFBFBF" w:themeFill="background1" w:themeFillShade="BF"/>
            <w:noWrap/>
            <w:vAlign w:val="center"/>
            <w:hideMark/>
          </w:tcPr>
          <w:p w14:paraId="4A0A6AAB" w14:textId="1FAB2219"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159</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976</w:t>
            </w:r>
            <w:r>
              <w:rPr>
                <w:rFonts w:ascii="Calibri" w:eastAsia="Times New Roman" w:hAnsi="Calibri" w:cs="Times New Roman"/>
                <w:color w:val="000000"/>
                <w:sz w:val="20"/>
                <w:szCs w:val="20"/>
                <w:lang w:val="en-GB" w:eastAsia="en-GB"/>
              </w:rPr>
              <w:t xml:space="preserve"> (</w:t>
            </w:r>
            <w:r w:rsidR="00F221B9">
              <w:rPr>
                <w:rFonts w:ascii="Calibri" w:eastAsia="Times New Roman" w:hAnsi="Calibri" w:cs="Times New Roman"/>
                <w:color w:val="000000"/>
                <w:sz w:val="20"/>
                <w:szCs w:val="20"/>
                <w:lang w:val="en-GB" w:eastAsia="en-GB"/>
              </w:rPr>
              <w:t>10</w:t>
            </w:r>
            <w:r>
              <w:rPr>
                <w:rFonts w:ascii="Calibri" w:eastAsia="Times New Roman" w:hAnsi="Calibri" w:cs="Times New Roman"/>
                <w:color w:val="000000"/>
                <w:sz w:val="20"/>
                <w:szCs w:val="20"/>
                <w:lang w:val="en-GB" w:eastAsia="en-GB"/>
              </w:rPr>
              <w:t>.</w:t>
            </w:r>
            <w:r w:rsidR="00F221B9">
              <w:rPr>
                <w:rFonts w:ascii="Calibri" w:eastAsia="Times New Roman" w:hAnsi="Calibri" w:cs="Times New Roman"/>
                <w:color w:val="000000"/>
                <w:sz w:val="20"/>
                <w:szCs w:val="20"/>
                <w:lang w:val="en-GB" w:eastAsia="en-GB"/>
              </w:rPr>
              <w:t>8</w:t>
            </w:r>
            <w:r>
              <w:rPr>
                <w:rFonts w:ascii="Calibri" w:eastAsia="Times New Roman" w:hAnsi="Calibri" w:cs="Times New Roman"/>
                <w:color w:val="000000"/>
                <w:sz w:val="20"/>
                <w:szCs w:val="20"/>
                <w:lang w:val="en-GB" w:eastAsia="en-GB"/>
              </w:rPr>
              <w:t>%)</w:t>
            </w:r>
          </w:p>
        </w:tc>
        <w:tc>
          <w:tcPr>
            <w:tcW w:w="393" w:type="pct"/>
            <w:tcBorders>
              <w:top w:val="nil"/>
              <w:left w:val="nil"/>
              <w:bottom w:val="nil"/>
              <w:right w:val="nil"/>
            </w:tcBorders>
            <w:shd w:val="clear" w:color="auto" w:fill="BFBFBF" w:themeFill="background1" w:themeFillShade="BF"/>
            <w:noWrap/>
            <w:vAlign w:val="center"/>
            <w:hideMark/>
          </w:tcPr>
          <w:p w14:paraId="0CAAF24C"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102</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382</w:t>
            </w:r>
          </w:p>
        </w:tc>
        <w:tc>
          <w:tcPr>
            <w:tcW w:w="540" w:type="pct"/>
            <w:tcBorders>
              <w:top w:val="nil"/>
              <w:left w:val="nil"/>
              <w:bottom w:val="nil"/>
              <w:right w:val="nil"/>
            </w:tcBorders>
            <w:shd w:val="clear" w:color="auto" w:fill="BFBFBF" w:themeFill="background1" w:themeFillShade="BF"/>
            <w:noWrap/>
            <w:vAlign w:val="center"/>
            <w:hideMark/>
          </w:tcPr>
          <w:p w14:paraId="151E0EBA"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172</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844</w:t>
            </w:r>
            <w:r>
              <w:rPr>
                <w:rFonts w:ascii="Calibri" w:eastAsia="Times New Roman" w:hAnsi="Calibri" w:cs="Times New Roman"/>
                <w:color w:val="000000"/>
                <w:sz w:val="20"/>
                <w:szCs w:val="20"/>
                <w:lang w:val="en-GB" w:eastAsia="en-GB"/>
              </w:rPr>
              <w:t xml:space="preserve"> (13.6%)</w:t>
            </w:r>
          </w:p>
        </w:tc>
        <w:tc>
          <w:tcPr>
            <w:tcW w:w="341" w:type="pct"/>
            <w:tcBorders>
              <w:top w:val="nil"/>
              <w:left w:val="nil"/>
              <w:bottom w:val="nil"/>
              <w:right w:val="nil"/>
            </w:tcBorders>
            <w:shd w:val="clear" w:color="auto" w:fill="BFBFBF" w:themeFill="background1" w:themeFillShade="BF"/>
            <w:noWrap/>
            <w:vAlign w:val="center"/>
            <w:hideMark/>
          </w:tcPr>
          <w:p w14:paraId="3D27A321"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936</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740</w:t>
            </w:r>
          </w:p>
        </w:tc>
        <w:tc>
          <w:tcPr>
            <w:tcW w:w="533" w:type="pct"/>
            <w:tcBorders>
              <w:top w:val="nil"/>
              <w:left w:val="nil"/>
              <w:bottom w:val="nil"/>
              <w:right w:val="nil"/>
            </w:tcBorders>
            <w:shd w:val="clear" w:color="auto" w:fill="BFBFBF" w:themeFill="background1" w:themeFillShade="BF"/>
            <w:noWrap/>
            <w:vAlign w:val="center"/>
            <w:hideMark/>
          </w:tcPr>
          <w:p w14:paraId="34A9ED40"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147</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221</w:t>
            </w:r>
            <w:r>
              <w:rPr>
                <w:rFonts w:ascii="Calibri" w:eastAsia="Times New Roman" w:hAnsi="Calibri" w:cs="Times New Roman"/>
                <w:color w:val="000000"/>
                <w:sz w:val="20"/>
                <w:szCs w:val="20"/>
                <w:lang w:val="en-GB" w:eastAsia="en-GB"/>
              </w:rPr>
              <w:t xml:space="preserve"> (13.6%)</w:t>
            </w:r>
          </w:p>
        </w:tc>
        <w:tc>
          <w:tcPr>
            <w:tcW w:w="403" w:type="pct"/>
            <w:tcBorders>
              <w:top w:val="nil"/>
              <w:left w:val="nil"/>
              <w:bottom w:val="nil"/>
              <w:right w:val="nil"/>
            </w:tcBorders>
            <w:shd w:val="clear" w:color="auto" w:fill="BFBFBF" w:themeFill="background1" w:themeFillShade="BF"/>
            <w:noWrap/>
            <w:vAlign w:val="center"/>
            <w:hideMark/>
          </w:tcPr>
          <w:p w14:paraId="75FF75EE"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946</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492</w:t>
            </w:r>
          </w:p>
        </w:tc>
        <w:tc>
          <w:tcPr>
            <w:tcW w:w="482" w:type="pct"/>
            <w:tcBorders>
              <w:top w:val="nil"/>
              <w:left w:val="nil"/>
              <w:bottom w:val="nil"/>
              <w:right w:val="nil"/>
            </w:tcBorders>
            <w:shd w:val="clear" w:color="auto" w:fill="BFBFBF" w:themeFill="background1" w:themeFillShade="BF"/>
            <w:noWrap/>
            <w:vAlign w:val="center"/>
            <w:hideMark/>
          </w:tcPr>
          <w:p w14:paraId="645C28D0"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133</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679</w:t>
            </w:r>
            <w:r>
              <w:rPr>
                <w:rFonts w:ascii="Calibri" w:eastAsia="Times New Roman" w:hAnsi="Calibri" w:cs="Times New Roman"/>
                <w:color w:val="000000"/>
                <w:sz w:val="20"/>
                <w:szCs w:val="20"/>
                <w:lang w:val="en-GB" w:eastAsia="en-GB"/>
              </w:rPr>
              <w:t xml:space="preserve"> (12.4%)</w:t>
            </w:r>
          </w:p>
        </w:tc>
      </w:tr>
      <w:tr w:rsidR="00FD16CC" w:rsidRPr="00741EF7" w14:paraId="7A04E151" w14:textId="77777777" w:rsidTr="00886847">
        <w:trPr>
          <w:trHeight w:val="454"/>
        </w:trPr>
        <w:tc>
          <w:tcPr>
            <w:tcW w:w="442" w:type="pct"/>
            <w:tcBorders>
              <w:top w:val="nil"/>
              <w:left w:val="nil"/>
              <w:bottom w:val="nil"/>
              <w:right w:val="nil"/>
            </w:tcBorders>
            <w:shd w:val="clear" w:color="auto" w:fill="auto"/>
            <w:noWrap/>
            <w:vAlign w:val="center"/>
            <w:hideMark/>
          </w:tcPr>
          <w:p w14:paraId="35D47F60" w14:textId="6B0396DE" w:rsidR="00FD16CC" w:rsidRPr="00741EF7" w:rsidRDefault="00FD16CC" w:rsidP="00886847">
            <w:pPr>
              <w:spacing w:after="0" w:line="240" w:lineRule="auto"/>
              <w:rPr>
                <w:rFonts w:ascii="Calibri" w:eastAsia="Times New Roman" w:hAnsi="Calibri" w:cs="Times New Roman"/>
                <w:b/>
                <w:bCs/>
                <w:color w:val="000000"/>
                <w:sz w:val="20"/>
                <w:szCs w:val="20"/>
                <w:lang w:val="en-GB" w:eastAsia="en-GB"/>
              </w:rPr>
            </w:pPr>
            <w:r w:rsidRPr="00741EF7">
              <w:rPr>
                <w:rFonts w:ascii="Calibri" w:eastAsia="Times New Roman" w:hAnsi="Calibri" w:cs="Times New Roman"/>
                <w:b/>
                <w:bCs/>
                <w:color w:val="000000"/>
                <w:sz w:val="20"/>
                <w:szCs w:val="20"/>
                <w:lang w:val="en-GB" w:eastAsia="en-GB"/>
              </w:rPr>
              <w:t>Kampala</w:t>
            </w:r>
            <w:r w:rsidR="00886847" w:rsidRPr="00886847">
              <w:rPr>
                <w:rFonts w:ascii="Calibri" w:eastAsia="Times New Roman" w:hAnsi="Calibri" w:cs="Times New Roman"/>
                <w:b/>
                <w:bCs/>
                <w:color w:val="000000"/>
                <w:sz w:val="20"/>
                <w:szCs w:val="20"/>
                <w:vertAlign w:val="superscript"/>
                <w:lang w:val="en-GB" w:eastAsia="en-GB"/>
              </w:rPr>
              <w:t>#</w:t>
            </w:r>
          </w:p>
        </w:tc>
        <w:tc>
          <w:tcPr>
            <w:tcW w:w="393" w:type="pct"/>
            <w:tcBorders>
              <w:top w:val="nil"/>
              <w:left w:val="nil"/>
              <w:bottom w:val="nil"/>
              <w:right w:val="nil"/>
            </w:tcBorders>
            <w:shd w:val="clear" w:color="auto" w:fill="auto"/>
            <w:noWrap/>
            <w:vAlign w:val="center"/>
            <w:hideMark/>
          </w:tcPr>
          <w:p w14:paraId="3427681B"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39</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321</w:t>
            </w:r>
          </w:p>
        </w:tc>
        <w:tc>
          <w:tcPr>
            <w:tcW w:w="540" w:type="pct"/>
            <w:tcBorders>
              <w:top w:val="nil"/>
              <w:left w:val="nil"/>
              <w:bottom w:val="nil"/>
              <w:right w:val="nil"/>
            </w:tcBorders>
            <w:shd w:val="clear" w:color="auto" w:fill="auto"/>
            <w:noWrap/>
            <w:vAlign w:val="center"/>
            <w:hideMark/>
          </w:tcPr>
          <w:p w14:paraId="66D1B2AA"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63</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481</w:t>
            </w:r>
            <w:r>
              <w:rPr>
                <w:rFonts w:ascii="Calibri" w:eastAsia="Times New Roman" w:hAnsi="Calibri" w:cs="Times New Roman"/>
                <w:color w:val="000000"/>
                <w:sz w:val="20"/>
                <w:szCs w:val="20"/>
                <w:lang w:val="en-GB" w:eastAsia="en-GB"/>
              </w:rPr>
              <w:t xml:space="preserve"> (61.8%)</w:t>
            </w:r>
          </w:p>
        </w:tc>
        <w:tc>
          <w:tcPr>
            <w:tcW w:w="393" w:type="pct"/>
            <w:tcBorders>
              <w:top w:val="nil"/>
              <w:left w:val="nil"/>
              <w:bottom w:val="nil"/>
              <w:right w:val="nil"/>
            </w:tcBorders>
            <w:shd w:val="clear" w:color="auto" w:fill="auto"/>
            <w:noWrap/>
            <w:vAlign w:val="center"/>
            <w:hideMark/>
          </w:tcPr>
          <w:p w14:paraId="15C02251"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65</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791</w:t>
            </w:r>
          </w:p>
        </w:tc>
        <w:tc>
          <w:tcPr>
            <w:tcW w:w="540" w:type="pct"/>
            <w:tcBorders>
              <w:top w:val="nil"/>
              <w:left w:val="nil"/>
              <w:bottom w:val="nil"/>
              <w:right w:val="nil"/>
            </w:tcBorders>
            <w:shd w:val="clear" w:color="auto" w:fill="auto"/>
            <w:noWrap/>
            <w:vAlign w:val="center"/>
            <w:hideMark/>
          </w:tcPr>
          <w:p w14:paraId="06F128E3"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118</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693</w:t>
            </w:r>
            <w:r>
              <w:rPr>
                <w:rFonts w:ascii="Calibri" w:eastAsia="Times New Roman" w:hAnsi="Calibri" w:cs="Times New Roman"/>
                <w:color w:val="000000"/>
                <w:sz w:val="20"/>
                <w:szCs w:val="20"/>
                <w:lang w:val="en-GB" w:eastAsia="en-GB"/>
              </w:rPr>
              <w:t xml:space="preserve"> (64.3%)</w:t>
            </w:r>
          </w:p>
        </w:tc>
        <w:tc>
          <w:tcPr>
            <w:tcW w:w="393" w:type="pct"/>
            <w:tcBorders>
              <w:top w:val="nil"/>
              <w:left w:val="nil"/>
              <w:bottom w:val="nil"/>
              <w:right w:val="nil"/>
            </w:tcBorders>
            <w:shd w:val="clear" w:color="auto" w:fill="auto"/>
            <w:noWrap/>
            <w:vAlign w:val="center"/>
            <w:hideMark/>
          </w:tcPr>
          <w:p w14:paraId="6CBA4D6D"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44</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852</w:t>
            </w:r>
          </w:p>
        </w:tc>
        <w:tc>
          <w:tcPr>
            <w:tcW w:w="540" w:type="pct"/>
            <w:tcBorders>
              <w:top w:val="nil"/>
              <w:left w:val="nil"/>
              <w:bottom w:val="nil"/>
              <w:right w:val="nil"/>
            </w:tcBorders>
            <w:shd w:val="clear" w:color="auto" w:fill="auto"/>
            <w:noWrap/>
            <w:vAlign w:val="center"/>
            <w:hideMark/>
          </w:tcPr>
          <w:p w14:paraId="42393AF2"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107</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817</w:t>
            </w:r>
            <w:r>
              <w:rPr>
                <w:rFonts w:ascii="Calibri" w:eastAsia="Times New Roman" w:hAnsi="Calibri" w:cs="Times New Roman"/>
                <w:color w:val="000000"/>
                <w:sz w:val="20"/>
                <w:szCs w:val="20"/>
                <w:lang w:val="en-GB" w:eastAsia="en-GB"/>
              </w:rPr>
              <w:t xml:space="preserve"> (70.6%)</w:t>
            </w:r>
          </w:p>
        </w:tc>
        <w:tc>
          <w:tcPr>
            <w:tcW w:w="341" w:type="pct"/>
            <w:tcBorders>
              <w:top w:val="nil"/>
              <w:left w:val="nil"/>
              <w:bottom w:val="nil"/>
              <w:right w:val="nil"/>
            </w:tcBorders>
            <w:shd w:val="clear" w:color="auto" w:fill="auto"/>
            <w:noWrap/>
            <w:vAlign w:val="center"/>
            <w:hideMark/>
          </w:tcPr>
          <w:p w14:paraId="28972291"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25</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245</w:t>
            </w:r>
          </w:p>
        </w:tc>
        <w:tc>
          <w:tcPr>
            <w:tcW w:w="533" w:type="pct"/>
            <w:tcBorders>
              <w:top w:val="nil"/>
              <w:left w:val="nil"/>
              <w:bottom w:val="nil"/>
              <w:right w:val="nil"/>
            </w:tcBorders>
            <w:shd w:val="clear" w:color="auto" w:fill="auto"/>
            <w:noWrap/>
            <w:vAlign w:val="center"/>
            <w:hideMark/>
          </w:tcPr>
          <w:p w14:paraId="4915E78C"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107</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912</w:t>
            </w:r>
            <w:r>
              <w:rPr>
                <w:rFonts w:ascii="Calibri" w:eastAsia="Times New Roman" w:hAnsi="Calibri" w:cs="Times New Roman"/>
                <w:color w:val="000000"/>
                <w:sz w:val="20"/>
                <w:szCs w:val="20"/>
                <w:lang w:val="en-GB" w:eastAsia="en-GB"/>
              </w:rPr>
              <w:t xml:space="preserve"> (81.0%)</w:t>
            </w:r>
          </w:p>
        </w:tc>
        <w:tc>
          <w:tcPr>
            <w:tcW w:w="403" w:type="pct"/>
            <w:tcBorders>
              <w:top w:val="nil"/>
              <w:left w:val="nil"/>
              <w:bottom w:val="nil"/>
              <w:right w:val="nil"/>
            </w:tcBorders>
            <w:shd w:val="clear" w:color="auto" w:fill="auto"/>
            <w:noWrap/>
            <w:vAlign w:val="center"/>
            <w:hideMark/>
          </w:tcPr>
          <w:p w14:paraId="6860BBA6"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29</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196</w:t>
            </w:r>
          </w:p>
        </w:tc>
        <w:tc>
          <w:tcPr>
            <w:tcW w:w="482" w:type="pct"/>
            <w:tcBorders>
              <w:top w:val="nil"/>
              <w:left w:val="nil"/>
              <w:bottom w:val="nil"/>
              <w:right w:val="nil"/>
            </w:tcBorders>
            <w:shd w:val="clear" w:color="auto" w:fill="auto"/>
            <w:noWrap/>
            <w:vAlign w:val="center"/>
            <w:hideMark/>
          </w:tcPr>
          <w:p w14:paraId="620BCEAE"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96</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983</w:t>
            </w:r>
            <w:r>
              <w:rPr>
                <w:rFonts w:ascii="Calibri" w:eastAsia="Times New Roman" w:hAnsi="Calibri" w:cs="Times New Roman"/>
                <w:color w:val="000000"/>
                <w:sz w:val="20"/>
                <w:szCs w:val="20"/>
                <w:lang w:val="en-GB" w:eastAsia="en-GB"/>
              </w:rPr>
              <w:t xml:space="preserve"> (76.9%)</w:t>
            </w:r>
          </w:p>
        </w:tc>
      </w:tr>
      <w:tr w:rsidR="00FD16CC" w:rsidRPr="00741EF7" w14:paraId="4CD650BD" w14:textId="77777777" w:rsidTr="00886847">
        <w:trPr>
          <w:trHeight w:val="454"/>
        </w:trPr>
        <w:tc>
          <w:tcPr>
            <w:tcW w:w="442" w:type="pct"/>
            <w:tcBorders>
              <w:top w:val="nil"/>
              <w:left w:val="nil"/>
              <w:bottom w:val="nil"/>
              <w:right w:val="nil"/>
            </w:tcBorders>
            <w:shd w:val="clear" w:color="auto" w:fill="BFBFBF" w:themeFill="background1" w:themeFillShade="BF"/>
            <w:noWrap/>
            <w:vAlign w:val="center"/>
            <w:hideMark/>
          </w:tcPr>
          <w:p w14:paraId="2844E726" w14:textId="77777777" w:rsidR="00FD16CC" w:rsidRPr="00741EF7" w:rsidRDefault="00FD16CC" w:rsidP="00886847">
            <w:pPr>
              <w:spacing w:after="0" w:line="240" w:lineRule="auto"/>
              <w:rPr>
                <w:rFonts w:ascii="Calibri" w:eastAsia="Times New Roman" w:hAnsi="Calibri" w:cs="Times New Roman"/>
                <w:b/>
                <w:bCs/>
                <w:color w:val="000000"/>
                <w:sz w:val="20"/>
                <w:szCs w:val="20"/>
                <w:lang w:val="en-GB" w:eastAsia="en-GB"/>
              </w:rPr>
            </w:pPr>
            <w:r w:rsidRPr="00741EF7">
              <w:rPr>
                <w:rFonts w:ascii="Calibri" w:eastAsia="Times New Roman" w:hAnsi="Calibri" w:cs="Times New Roman"/>
                <w:b/>
                <w:bCs/>
                <w:color w:val="000000"/>
                <w:sz w:val="20"/>
                <w:szCs w:val="20"/>
                <w:lang w:val="en-GB" w:eastAsia="en-GB"/>
              </w:rPr>
              <w:t>Karamoja</w:t>
            </w:r>
          </w:p>
        </w:tc>
        <w:tc>
          <w:tcPr>
            <w:tcW w:w="393" w:type="pct"/>
            <w:tcBorders>
              <w:top w:val="nil"/>
              <w:left w:val="nil"/>
              <w:bottom w:val="nil"/>
              <w:right w:val="nil"/>
            </w:tcBorders>
            <w:shd w:val="clear" w:color="auto" w:fill="BFBFBF" w:themeFill="background1" w:themeFillShade="BF"/>
            <w:noWrap/>
            <w:vAlign w:val="center"/>
            <w:hideMark/>
          </w:tcPr>
          <w:p w14:paraId="7664670E"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123</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951</w:t>
            </w:r>
          </w:p>
        </w:tc>
        <w:tc>
          <w:tcPr>
            <w:tcW w:w="540" w:type="pct"/>
            <w:tcBorders>
              <w:top w:val="nil"/>
              <w:left w:val="nil"/>
              <w:bottom w:val="nil"/>
              <w:right w:val="nil"/>
            </w:tcBorders>
            <w:shd w:val="clear" w:color="auto" w:fill="BFBFBF" w:themeFill="background1" w:themeFillShade="BF"/>
            <w:noWrap/>
            <w:vAlign w:val="center"/>
            <w:hideMark/>
          </w:tcPr>
          <w:p w14:paraId="04D28484"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5</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676</w:t>
            </w:r>
            <w:r>
              <w:rPr>
                <w:rFonts w:ascii="Calibri" w:eastAsia="Times New Roman" w:hAnsi="Calibri" w:cs="Times New Roman"/>
                <w:color w:val="000000"/>
                <w:sz w:val="20"/>
                <w:szCs w:val="20"/>
                <w:lang w:val="en-GB" w:eastAsia="en-GB"/>
              </w:rPr>
              <w:t xml:space="preserve"> (4.4%)</w:t>
            </w:r>
          </w:p>
        </w:tc>
        <w:tc>
          <w:tcPr>
            <w:tcW w:w="393" w:type="pct"/>
            <w:tcBorders>
              <w:top w:val="nil"/>
              <w:left w:val="nil"/>
              <w:bottom w:val="nil"/>
              <w:right w:val="nil"/>
            </w:tcBorders>
            <w:shd w:val="clear" w:color="auto" w:fill="BFBFBF" w:themeFill="background1" w:themeFillShade="BF"/>
            <w:noWrap/>
            <w:vAlign w:val="center"/>
            <w:hideMark/>
          </w:tcPr>
          <w:p w14:paraId="1B327C52"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228</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299</w:t>
            </w:r>
          </w:p>
        </w:tc>
        <w:tc>
          <w:tcPr>
            <w:tcW w:w="540" w:type="pct"/>
            <w:tcBorders>
              <w:top w:val="nil"/>
              <w:left w:val="nil"/>
              <w:bottom w:val="nil"/>
              <w:right w:val="nil"/>
            </w:tcBorders>
            <w:shd w:val="clear" w:color="auto" w:fill="BFBFBF" w:themeFill="background1" w:themeFillShade="BF"/>
            <w:noWrap/>
            <w:vAlign w:val="center"/>
            <w:hideMark/>
          </w:tcPr>
          <w:p w14:paraId="7AD80A63"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11</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836</w:t>
            </w:r>
            <w:r>
              <w:rPr>
                <w:rFonts w:ascii="Calibri" w:eastAsia="Times New Roman" w:hAnsi="Calibri" w:cs="Times New Roman"/>
                <w:color w:val="000000"/>
                <w:sz w:val="20"/>
                <w:szCs w:val="20"/>
                <w:lang w:val="en-GB" w:eastAsia="en-GB"/>
              </w:rPr>
              <w:t xml:space="preserve"> (4.9%)</w:t>
            </w:r>
          </w:p>
        </w:tc>
        <w:tc>
          <w:tcPr>
            <w:tcW w:w="393" w:type="pct"/>
            <w:tcBorders>
              <w:top w:val="nil"/>
              <w:left w:val="nil"/>
              <w:bottom w:val="nil"/>
              <w:right w:val="nil"/>
            </w:tcBorders>
            <w:shd w:val="clear" w:color="auto" w:fill="BFBFBF" w:themeFill="background1" w:themeFillShade="BF"/>
            <w:noWrap/>
            <w:vAlign w:val="center"/>
            <w:hideMark/>
          </w:tcPr>
          <w:p w14:paraId="4D13656F"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261</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321</w:t>
            </w:r>
          </w:p>
        </w:tc>
        <w:tc>
          <w:tcPr>
            <w:tcW w:w="540" w:type="pct"/>
            <w:tcBorders>
              <w:top w:val="nil"/>
              <w:left w:val="nil"/>
              <w:bottom w:val="nil"/>
              <w:right w:val="nil"/>
            </w:tcBorders>
            <w:shd w:val="clear" w:color="auto" w:fill="BFBFBF" w:themeFill="background1" w:themeFillShade="BF"/>
            <w:noWrap/>
            <w:vAlign w:val="center"/>
            <w:hideMark/>
          </w:tcPr>
          <w:p w14:paraId="7C273BB2"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14</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978</w:t>
            </w:r>
            <w:r>
              <w:rPr>
                <w:rFonts w:ascii="Calibri" w:eastAsia="Times New Roman" w:hAnsi="Calibri" w:cs="Times New Roman"/>
                <w:color w:val="000000"/>
                <w:sz w:val="20"/>
                <w:szCs w:val="20"/>
                <w:lang w:val="en-GB" w:eastAsia="en-GB"/>
              </w:rPr>
              <w:t xml:space="preserve"> (5.4%)</w:t>
            </w:r>
          </w:p>
        </w:tc>
        <w:tc>
          <w:tcPr>
            <w:tcW w:w="341" w:type="pct"/>
            <w:tcBorders>
              <w:top w:val="nil"/>
              <w:left w:val="nil"/>
              <w:bottom w:val="nil"/>
              <w:right w:val="nil"/>
            </w:tcBorders>
            <w:shd w:val="clear" w:color="auto" w:fill="BFBFBF" w:themeFill="background1" w:themeFillShade="BF"/>
            <w:noWrap/>
            <w:vAlign w:val="center"/>
            <w:hideMark/>
          </w:tcPr>
          <w:p w14:paraId="082A1CD8"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309</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448</w:t>
            </w:r>
          </w:p>
        </w:tc>
        <w:tc>
          <w:tcPr>
            <w:tcW w:w="533" w:type="pct"/>
            <w:tcBorders>
              <w:top w:val="nil"/>
              <w:left w:val="nil"/>
              <w:bottom w:val="nil"/>
              <w:right w:val="nil"/>
            </w:tcBorders>
            <w:shd w:val="clear" w:color="auto" w:fill="BFBFBF" w:themeFill="background1" w:themeFillShade="BF"/>
            <w:noWrap/>
            <w:vAlign w:val="center"/>
            <w:hideMark/>
          </w:tcPr>
          <w:p w14:paraId="52A143A3"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14</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427</w:t>
            </w:r>
            <w:r>
              <w:rPr>
                <w:rFonts w:ascii="Calibri" w:eastAsia="Times New Roman" w:hAnsi="Calibri" w:cs="Times New Roman"/>
                <w:color w:val="000000"/>
                <w:sz w:val="20"/>
                <w:szCs w:val="20"/>
                <w:lang w:val="en-GB" w:eastAsia="en-GB"/>
              </w:rPr>
              <w:t xml:space="preserve"> (4.5%)</w:t>
            </w:r>
          </w:p>
        </w:tc>
        <w:tc>
          <w:tcPr>
            <w:tcW w:w="403" w:type="pct"/>
            <w:tcBorders>
              <w:top w:val="nil"/>
              <w:left w:val="nil"/>
              <w:bottom w:val="nil"/>
              <w:right w:val="nil"/>
            </w:tcBorders>
            <w:shd w:val="clear" w:color="auto" w:fill="BFBFBF" w:themeFill="background1" w:themeFillShade="BF"/>
            <w:noWrap/>
            <w:vAlign w:val="center"/>
            <w:hideMark/>
          </w:tcPr>
          <w:p w14:paraId="0FACB4C3"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300</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314</w:t>
            </w:r>
          </w:p>
        </w:tc>
        <w:tc>
          <w:tcPr>
            <w:tcW w:w="482" w:type="pct"/>
            <w:tcBorders>
              <w:top w:val="nil"/>
              <w:left w:val="nil"/>
              <w:bottom w:val="nil"/>
              <w:right w:val="nil"/>
            </w:tcBorders>
            <w:shd w:val="clear" w:color="auto" w:fill="BFBFBF" w:themeFill="background1" w:themeFillShade="BF"/>
            <w:noWrap/>
            <w:vAlign w:val="center"/>
            <w:hideMark/>
          </w:tcPr>
          <w:p w14:paraId="6F9F4992"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23</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727</w:t>
            </w:r>
            <w:r>
              <w:rPr>
                <w:rFonts w:ascii="Calibri" w:eastAsia="Times New Roman" w:hAnsi="Calibri" w:cs="Times New Roman"/>
                <w:color w:val="000000"/>
                <w:sz w:val="20"/>
                <w:szCs w:val="20"/>
                <w:lang w:val="en-GB" w:eastAsia="en-GB"/>
              </w:rPr>
              <w:t xml:space="preserve"> (7.3%)</w:t>
            </w:r>
          </w:p>
        </w:tc>
      </w:tr>
      <w:tr w:rsidR="00FD16CC" w:rsidRPr="00741EF7" w14:paraId="29D92A17" w14:textId="77777777" w:rsidTr="00886847">
        <w:trPr>
          <w:trHeight w:val="454"/>
        </w:trPr>
        <w:tc>
          <w:tcPr>
            <w:tcW w:w="442" w:type="pct"/>
            <w:tcBorders>
              <w:top w:val="nil"/>
              <w:left w:val="nil"/>
              <w:bottom w:val="nil"/>
              <w:right w:val="nil"/>
            </w:tcBorders>
            <w:shd w:val="clear" w:color="auto" w:fill="auto"/>
            <w:noWrap/>
            <w:vAlign w:val="center"/>
            <w:hideMark/>
          </w:tcPr>
          <w:p w14:paraId="54E42F50" w14:textId="77777777" w:rsidR="00FD16CC" w:rsidRPr="00741EF7" w:rsidRDefault="00FD16CC" w:rsidP="00886847">
            <w:pPr>
              <w:spacing w:after="0" w:line="240" w:lineRule="auto"/>
              <w:rPr>
                <w:rFonts w:ascii="Calibri" w:eastAsia="Times New Roman" w:hAnsi="Calibri" w:cs="Times New Roman"/>
                <w:b/>
                <w:bCs/>
                <w:color w:val="000000"/>
                <w:sz w:val="20"/>
                <w:szCs w:val="20"/>
                <w:lang w:val="en-GB" w:eastAsia="en-GB"/>
              </w:rPr>
            </w:pPr>
            <w:r w:rsidRPr="00741EF7">
              <w:rPr>
                <w:rFonts w:ascii="Calibri" w:eastAsia="Times New Roman" w:hAnsi="Calibri" w:cs="Times New Roman"/>
                <w:b/>
                <w:bCs/>
                <w:color w:val="000000"/>
                <w:sz w:val="20"/>
                <w:szCs w:val="20"/>
                <w:lang w:val="en-GB" w:eastAsia="en-GB"/>
              </w:rPr>
              <w:t>Kigezi</w:t>
            </w:r>
          </w:p>
        </w:tc>
        <w:tc>
          <w:tcPr>
            <w:tcW w:w="393" w:type="pct"/>
            <w:tcBorders>
              <w:top w:val="nil"/>
              <w:left w:val="nil"/>
              <w:bottom w:val="nil"/>
              <w:right w:val="nil"/>
            </w:tcBorders>
            <w:shd w:val="clear" w:color="auto" w:fill="auto"/>
            <w:noWrap/>
            <w:vAlign w:val="center"/>
            <w:hideMark/>
          </w:tcPr>
          <w:p w14:paraId="50F7E2EF"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63</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218</w:t>
            </w:r>
          </w:p>
        </w:tc>
        <w:tc>
          <w:tcPr>
            <w:tcW w:w="540" w:type="pct"/>
            <w:tcBorders>
              <w:top w:val="nil"/>
              <w:left w:val="nil"/>
              <w:bottom w:val="nil"/>
              <w:right w:val="nil"/>
            </w:tcBorders>
            <w:shd w:val="clear" w:color="auto" w:fill="auto"/>
            <w:noWrap/>
            <w:vAlign w:val="center"/>
            <w:hideMark/>
          </w:tcPr>
          <w:p w14:paraId="50C9C09E"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4</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790</w:t>
            </w:r>
            <w:r>
              <w:rPr>
                <w:rFonts w:ascii="Calibri" w:eastAsia="Times New Roman" w:hAnsi="Calibri" w:cs="Times New Roman"/>
                <w:color w:val="000000"/>
                <w:sz w:val="20"/>
                <w:szCs w:val="20"/>
                <w:lang w:val="en-GB" w:eastAsia="en-GB"/>
              </w:rPr>
              <w:t xml:space="preserve"> (7.0%)</w:t>
            </w:r>
          </w:p>
        </w:tc>
        <w:tc>
          <w:tcPr>
            <w:tcW w:w="393" w:type="pct"/>
            <w:tcBorders>
              <w:top w:val="nil"/>
              <w:left w:val="nil"/>
              <w:bottom w:val="nil"/>
              <w:right w:val="nil"/>
            </w:tcBorders>
            <w:shd w:val="clear" w:color="auto" w:fill="auto"/>
            <w:noWrap/>
            <w:vAlign w:val="center"/>
            <w:hideMark/>
          </w:tcPr>
          <w:p w14:paraId="66EF4669"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151</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663</w:t>
            </w:r>
          </w:p>
        </w:tc>
        <w:tc>
          <w:tcPr>
            <w:tcW w:w="540" w:type="pct"/>
            <w:tcBorders>
              <w:top w:val="nil"/>
              <w:left w:val="nil"/>
              <w:bottom w:val="nil"/>
              <w:right w:val="nil"/>
            </w:tcBorders>
            <w:shd w:val="clear" w:color="auto" w:fill="auto"/>
            <w:noWrap/>
            <w:vAlign w:val="center"/>
            <w:hideMark/>
          </w:tcPr>
          <w:p w14:paraId="046D2242"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19</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676</w:t>
            </w:r>
            <w:r>
              <w:rPr>
                <w:rFonts w:ascii="Calibri" w:eastAsia="Times New Roman" w:hAnsi="Calibri" w:cs="Times New Roman"/>
                <w:color w:val="000000"/>
                <w:sz w:val="20"/>
                <w:szCs w:val="20"/>
                <w:lang w:val="en-GB" w:eastAsia="en-GB"/>
              </w:rPr>
              <w:t xml:space="preserve"> (11.5%)</w:t>
            </w:r>
          </w:p>
        </w:tc>
        <w:tc>
          <w:tcPr>
            <w:tcW w:w="393" w:type="pct"/>
            <w:tcBorders>
              <w:top w:val="nil"/>
              <w:left w:val="nil"/>
              <w:bottom w:val="nil"/>
              <w:right w:val="nil"/>
            </w:tcBorders>
            <w:shd w:val="clear" w:color="auto" w:fill="auto"/>
            <w:noWrap/>
            <w:vAlign w:val="center"/>
            <w:hideMark/>
          </w:tcPr>
          <w:p w14:paraId="69C7F7F8"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160</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423</w:t>
            </w:r>
          </w:p>
        </w:tc>
        <w:tc>
          <w:tcPr>
            <w:tcW w:w="540" w:type="pct"/>
            <w:tcBorders>
              <w:top w:val="nil"/>
              <w:left w:val="nil"/>
              <w:bottom w:val="nil"/>
              <w:right w:val="nil"/>
            </w:tcBorders>
            <w:shd w:val="clear" w:color="auto" w:fill="auto"/>
            <w:noWrap/>
            <w:vAlign w:val="center"/>
            <w:hideMark/>
          </w:tcPr>
          <w:p w14:paraId="3780D590"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21</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471</w:t>
            </w:r>
            <w:r>
              <w:rPr>
                <w:rFonts w:ascii="Calibri" w:eastAsia="Times New Roman" w:hAnsi="Calibri" w:cs="Times New Roman"/>
                <w:color w:val="000000"/>
                <w:sz w:val="20"/>
                <w:szCs w:val="20"/>
                <w:lang w:val="en-GB" w:eastAsia="en-GB"/>
              </w:rPr>
              <w:t xml:space="preserve"> (11.8%)</w:t>
            </w:r>
          </w:p>
        </w:tc>
        <w:tc>
          <w:tcPr>
            <w:tcW w:w="341" w:type="pct"/>
            <w:tcBorders>
              <w:top w:val="nil"/>
              <w:left w:val="nil"/>
              <w:bottom w:val="nil"/>
              <w:right w:val="nil"/>
            </w:tcBorders>
            <w:shd w:val="clear" w:color="auto" w:fill="auto"/>
            <w:noWrap/>
            <w:vAlign w:val="center"/>
            <w:hideMark/>
          </w:tcPr>
          <w:p w14:paraId="648DC170"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80</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466</w:t>
            </w:r>
          </w:p>
        </w:tc>
        <w:tc>
          <w:tcPr>
            <w:tcW w:w="533" w:type="pct"/>
            <w:tcBorders>
              <w:top w:val="nil"/>
              <w:left w:val="nil"/>
              <w:bottom w:val="nil"/>
              <w:right w:val="nil"/>
            </w:tcBorders>
            <w:shd w:val="clear" w:color="auto" w:fill="auto"/>
            <w:noWrap/>
            <w:vAlign w:val="center"/>
            <w:hideMark/>
          </w:tcPr>
          <w:p w14:paraId="2D42D482"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11</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094</w:t>
            </w:r>
            <w:r>
              <w:rPr>
                <w:rFonts w:ascii="Calibri" w:eastAsia="Times New Roman" w:hAnsi="Calibri" w:cs="Times New Roman"/>
                <w:color w:val="000000"/>
                <w:sz w:val="20"/>
                <w:szCs w:val="20"/>
                <w:lang w:val="en-GB" w:eastAsia="en-GB"/>
              </w:rPr>
              <w:t xml:space="preserve"> (12.1%)</w:t>
            </w:r>
          </w:p>
        </w:tc>
        <w:tc>
          <w:tcPr>
            <w:tcW w:w="403" w:type="pct"/>
            <w:tcBorders>
              <w:top w:val="nil"/>
              <w:left w:val="nil"/>
              <w:bottom w:val="nil"/>
              <w:right w:val="nil"/>
            </w:tcBorders>
            <w:shd w:val="clear" w:color="auto" w:fill="auto"/>
            <w:noWrap/>
            <w:vAlign w:val="center"/>
            <w:hideMark/>
          </w:tcPr>
          <w:p w14:paraId="77DF4B80"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94</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855</w:t>
            </w:r>
          </w:p>
        </w:tc>
        <w:tc>
          <w:tcPr>
            <w:tcW w:w="482" w:type="pct"/>
            <w:tcBorders>
              <w:top w:val="nil"/>
              <w:left w:val="nil"/>
              <w:bottom w:val="nil"/>
              <w:right w:val="nil"/>
            </w:tcBorders>
            <w:shd w:val="clear" w:color="auto" w:fill="auto"/>
            <w:noWrap/>
            <w:vAlign w:val="center"/>
            <w:hideMark/>
          </w:tcPr>
          <w:p w14:paraId="4C606A41"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7</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795</w:t>
            </w:r>
            <w:r>
              <w:rPr>
                <w:rFonts w:ascii="Calibri" w:eastAsia="Times New Roman" w:hAnsi="Calibri" w:cs="Times New Roman"/>
                <w:color w:val="000000"/>
                <w:sz w:val="20"/>
                <w:szCs w:val="20"/>
                <w:lang w:val="en-GB" w:eastAsia="en-GB"/>
              </w:rPr>
              <w:t xml:space="preserve"> (7.6%)</w:t>
            </w:r>
          </w:p>
        </w:tc>
      </w:tr>
      <w:tr w:rsidR="00FD16CC" w:rsidRPr="00741EF7" w14:paraId="6C20AF38" w14:textId="77777777" w:rsidTr="00886847">
        <w:trPr>
          <w:trHeight w:val="454"/>
        </w:trPr>
        <w:tc>
          <w:tcPr>
            <w:tcW w:w="442" w:type="pct"/>
            <w:tcBorders>
              <w:top w:val="nil"/>
              <w:left w:val="nil"/>
              <w:bottom w:val="nil"/>
              <w:right w:val="nil"/>
            </w:tcBorders>
            <w:shd w:val="clear" w:color="auto" w:fill="BFBFBF" w:themeFill="background1" w:themeFillShade="BF"/>
            <w:noWrap/>
            <w:vAlign w:val="center"/>
            <w:hideMark/>
          </w:tcPr>
          <w:p w14:paraId="0B306C1B" w14:textId="77777777" w:rsidR="00FD16CC" w:rsidRPr="00741EF7" w:rsidRDefault="00FD16CC" w:rsidP="00886847">
            <w:pPr>
              <w:spacing w:after="0" w:line="240" w:lineRule="auto"/>
              <w:rPr>
                <w:rFonts w:ascii="Calibri" w:eastAsia="Times New Roman" w:hAnsi="Calibri" w:cs="Times New Roman"/>
                <w:b/>
                <w:bCs/>
                <w:color w:val="000000"/>
                <w:sz w:val="20"/>
                <w:szCs w:val="20"/>
                <w:lang w:val="en-GB" w:eastAsia="en-GB"/>
              </w:rPr>
            </w:pPr>
            <w:r w:rsidRPr="00741EF7">
              <w:rPr>
                <w:rFonts w:ascii="Calibri" w:eastAsia="Times New Roman" w:hAnsi="Calibri" w:cs="Times New Roman"/>
                <w:b/>
                <w:bCs/>
                <w:color w:val="000000"/>
                <w:sz w:val="20"/>
                <w:szCs w:val="20"/>
                <w:lang w:val="en-GB" w:eastAsia="en-GB"/>
              </w:rPr>
              <w:t>Lango</w:t>
            </w:r>
          </w:p>
        </w:tc>
        <w:tc>
          <w:tcPr>
            <w:tcW w:w="393" w:type="pct"/>
            <w:tcBorders>
              <w:top w:val="nil"/>
              <w:left w:val="nil"/>
              <w:bottom w:val="nil"/>
              <w:right w:val="nil"/>
            </w:tcBorders>
            <w:shd w:val="clear" w:color="auto" w:fill="BFBFBF" w:themeFill="background1" w:themeFillShade="BF"/>
            <w:noWrap/>
            <w:vAlign w:val="center"/>
            <w:hideMark/>
          </w:tcPr>
          <w:p w14:paraId="5BB000AE"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274</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980</w:t>
            </w:r>
          </w:p>
        </w:tc>
        <w:tc>
          <w:tcPr>
            <w:tcW w:w="540" w:type="pct"/>
            <w:tcBorders>
              <w:top w:val="nil"/>
              <w:left w:val="nil"/>
              <w:bottom w:val="nil"/>
              <w:right w:val="nil"/>
            </w:tcBorders>
            <w:shd w:val="clear" w:color="auto" w:fill="BFBFBF" w:themeFill="background1" w:themeFillShade="BF"/>
            <w:noWrap/>
            <w:vAlign w:val="center"/>
            <w:hideMark/>
          </w:tcPr>
          <w:p w14:paraId="0A16E7E2"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20</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689</w:t>
            </w:r>
            <w:r>
              <w:rPr>
                <w:rFonts w:ascii="Calibri" w:eastAsia="Times New Roman" w:hAnsi="Calibri" w:cs="Times New Roman"/>
                <w:color w:val="000000"/>
                <w:sz w:val="20"/>
                <w:szCs w:val="20"/>
                <w:lang w:val="en-GB" w:eastAsia="en-GB"/>
              </w:rPr>
              <w:t xml:space="preserve"> (7.0%)</w:t>
            </w:r>
          </w:p>
        </w:tc>
        <w:tc>
          <w:tcPr>
            <w:tcW w:w="393" w:type="pct"/>
            <w:tcBorders>
              <w:top w:val="nil"/>
              <w:left w:val="nil"/>
              <w:bottom w:val="nil"/>
              <w:right w:val="nil"/>
            </w:tcBorders>
            <w:shd w:val="clear" w:color="auto" w:fill="BFBFBF" w:themeFill="background1" w:themeFillShade="BF"/>
            <w:noWrap/>
            <w:vAlign w:val="center"/>
            <w:hideMark/>
          </w:tcPr>
          <w:p w14:paraId="2BCA8652"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649</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071</w:t>
            </w:r>
          </w:p>
        </w:tc>
        <w:tc>
          <w:tcPr>
            <w:tcW w:w="540" w:type="pct"/>
            <w:tcBorders>
              <w:top w:val="nil"/>
              <w:left w:val="nil"/>
              <w:bottom w:val="nil"/>
              <w:right w:val="nil"/>
            </w:tcBorders>
            <w:shd w:val="clear" w:color="auto" w:fill="BFBFBF" w:themeFill="background1" w:themeFillShade="BF"/>
            <w:noWrap/>
            <w:vAlign w:val="center"/>
            <w:hideMark/>
          </w:tcPr>
          <w:p w14:paraId="138FBAA1"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57</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531</w:t>
            </w:r>
            <w:r>
              <w:rPr>
                <w:rFonts w:ascii="Calibri" w:eastAsia="Times New Roman" w:hAnsi="Calibri" w:cs="Times New Roman"/>
                <w:color w:val="000000"/>
                <w:sz w:val="20"/>
                <w:szCs w:val="20"/>
                <w:lang w:val="en-GB" w:eastAsia="en-GB"/>
              </w:rPr>
              <w:t xml:space="preserve"> (8.1%)</w:t>
            </w:r>
          </w:p>
        </w:tc>
        <w:tc>
          <w:tcPr>
            <w:tcW w:w="393" w:type="pct"/>
            <w:tcBorders>
              <w:top w:val="nil"/>
              <w:left w:val="nil"/>
              <w:bottom w:val="nil"/>
              <w:right w:val="nil"/>
            </w:tcBorders>
            <w:shd w:val="clear" w:color="auto" w:fill="BFBFBF" w:themeFill="background1" w:themeFillShade="BF"/>
            <w:noWrap/>
            <w:vAlign w:val="center"/>
            <w:hideMark/>
          </w:tcPr>
          <w:p w14:paraId="0BF766DE"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364</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469</w:t>
            </w:r>
          </w:p>
        </w:tc>
        <w:tc>
          <w:tcPr>
            <w:tcW w:w="540" w:type="pct"/>
            <w:tcBorders>
              <w:top w:val="nil"/>
              <w:left w:val="nil"/>
              <w:bottom w:val="nil"/>
              <w:right w:val="nil"/>
            </w:tcBorders>
            <w:shd w:val="clear" w:color="auto" w:fill="BFBFBF" w:themeFill="background1" w:themeFillShade="BF"/>
            <w:noWrap/>
            <w:vAlign w:val="center"/>
            <w:hideMark/>
          </w:tcPr>
          <w:p w14:paraId="2D3204DA"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41</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071</w:t>
            </w:r>
            <w:r>
              <w:rPr>
                <w:rFonts w:ascii="Calibri" w:eastAsia="Times New Roman" w:hAnsi="Calibri" w:cs="Times New Roman"/>
                <w:color w:val="000000"/>
                <w:sz w:val="20"/>
                <w:szCs w:val="20"/>
                <w:lang w:val="en-GB" w:eastAsia="en-GB"/>
              </w:rPr>
              <w:t xml:space="preserve"> (10.1%)</w:t>
            </w:r>
          </w:p>
        </w:tc>
        <w:tc>
          <w:tcPr>
            <w:tcW w:w="341" w:type="pct"/>
            <w:tcBorders>
              <w:top w:val="nil"/>
              <w:left w:val="nil"/>
              <w:bottom w:val="nil"/>
              <w:right w:val="nil"/>
            </w:tcBorders>
            <w:shd w:val="clear" w:color="auto" w:fill="BFBFBF" w:themeFill="background1" w:themeFillShade="BF"/>
            <w:noWrap/>
            <w:vAlign w:val="center"/>
            <w:hideMark/>
          </w:tcPr>
          <w:p w14:paraId="72F0ED7E"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245</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398</w:t>
            </w:r>
          </w:p>
        </w:tc>
        <w:tc>
          <w:tcPr>
            <w:tcW w:w="533" w:type="pct"/>
            <w:tcBorders>
              <w:top w:val="nil"/>
              <w:left w:val="nil"/>
              <w:bottom w:val="nil"/>
              <w:right w:val="nil"/>
            </w:tcBorders>
            <w:shd w:val="clear" w:color="auto" w:fill="BFBFBF" w:themeFill="background1" w:themeFillShade="BF"/>
            <w:noWrap/>
            <w:vAlign w:val="center"/>
            <w:hideMark/>
          </w:tcPr>
          <w:p w14:paraId="1FD3F3DC"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34</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690</w:t>
            </w:r>
            <w:r>
              <w:rPr>
                <w:rFonts w:ascii="Calibri" w:eastAsia="Times New Roman" w:hAnsi="Calibri" w:cs="Times New Roman"/>
                <w:color w:val="000000"/>
                <w:sz w:val="20"/>
                <w:szCs w:val="20"/>
                <w:lang w:val="en-GB" w:eastAsia="en-GB"/>
              </w:rPr>
              <w:t xml:space="preserve"> (12.4%)</w:t>
            </w:r>
          </w:p>
        </w:tc>
        <w:tc>
          <w:tcPr>
            <w:tcW w:w="403" w:type="pct"/>
            <w:tcBorders>
              <w:top w:val="nil"/>
              <w:left w:val="nil"/>
              <w:bottom w:val="nil"/>
              <w:right w:val="nil"/>
            </w:tcBorders>
            <w:shd w:val="clear" w:color="auto" w:fill="BFBFBF" w:themeFill="background1" w:themeFillShade="BF"/>
            <w:noWrap/>
            <w:vAlign w:val="center"/>
            <w:hideMark/>
          </w:tcPr>
          <w:p w14:paraId="213F06C8"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515</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354</w:t>
            </w:r>
          </w:p>
        </w:tc>
        <w:tc>
          <w:tcPr>
            <w:tcW w:w="482" w:type="pct"/>
            <w:tcBorders>
              <w:top w:val="nil"/>
              <w:left w:val="nil"/>
              <w:bottom w:val="nil"/>
              <w:right w:val="nil"/>
            </w:tcBorders>
            <w:shd w:val="clear" w:color="auto" w:fill="BFBFBF" w:themeFill="background1" w:themeFillShade="BF"/>
            <w:noWrap/>
            <w:vAlign w:val="center"/>
            <w:hideMark/>
          </w:tcPr>
          <w:p w14:paraId="09F3E18E"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57</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704</w:t>
            </w:r>
            <w:r>
              <w:rPr>
                <w:rFonts w:ascii="Calibri" w:eastAsia="Times New Roman" w:hAnsi="Calibri" w:cs="Times New Roman"/>
                <w:color w:val="000000"/>
                <w:sz w:val="20"/>
                <w:szCs w:val="20"/>
                <w:lang w:val="en-GB" w:eastAsia="en-GB"/>
              </w:rPr>
              <w:t xml:space="preserve"> (10.1%)</w:t>
            </w:r>
          </w:p>
        </w:tc>
      </w:tr>
      <w:tr w:rsidR="00FD16CC" w:rsidRPr="00741EF7" w14:paraId="417BBEBB" w14:textId="77777777" w:rsidTr="00886847">
        <w:trPr>
          <w:trHeight w:val="454"/>
        </w:trPr>
        <w:tc>
          <w:tcPr>
            <w:tcW w:w="442" w:type="pct"/>
            <w:tcBorders>
              <w:top w:val="nil"/>
              <w:left w:val="nil"/>
              <w:bottom w:val="nil"/>
              <w:right w:val="nil"/>
            </w:tcBorders>
            <w:shd w:val="clear" w:color="auto" w:fill="auto"/>
            <w:noWrap/>
            <w:vAlign w:val="center"/>
            <w:hideMark/>
          </w:tcPr>
          <w:p w14:paraId="3CEEDEBF" w14:textId="77777777" w:rsidR="00FD16CC" w:rsidRPr="00741EF7" w:rsidRDefault="00FD16CC" w:rsidP="00886847">
            <w:pPr>
              <w:spacing w:after="0" w:line="240" w:lineRule="auto"/>
              <w:rPr>
                <w:rFonts w:ascii="Calibri" w:eastAsia="Times New Roman" w:hAnsi="Calibri" w:cs="Times New Roman"/>
                <w:b/>
                <w:bCs/>
                <w:color w:val="000000"/>
                <w:sz w:val="20"/>
                <w:szCs w:val="20"/>
                <w:lang w:val="en-GB" w:eastAsia="en-GB"/>
              </w:rPr>
            </w:pPr>
            <w:r w:rsidRPr="00741EF7">
              <w:rPr>
                <w:rFonts w:ascii="Calibri" w:eastAsia="Times New Roman" w:hAnsi="Calibri" w:cs="Times New Roman"/>
                <w:b/>
                <w:bCs/>
                <w:color w:val="000000"/>
                <w:sz w:val="20"/>
                <w:szCs w:val="20"/>
                <w:lang w:val="en-GB" w:eastAsia="en-GB"/>
              </w:rPr>
              <w:t>North Buganda</w:t>
            </w:r>
          </w:p>
        </w:tc>
        <w:tc>
          <w:tcPr>
            <w:tcW w:w="393" w:type="pct"/>
            <w:tcBorders>
              <w:top w:val="nil"/>
              <w:left w:val="nil"/>
              <w:bottom w:val="nil"/>
              <w:right w:val="nil"/>
            </w:tcBorders>
            <w:shd w:val="clear" w:color="auto" w:fill="auto"/>
            <w:noWrap/>
            <w:vAlign w:val="center"/>
            <w:hideMark/>
          </w:tcPr>
          <w:p w14:paraId="32E41257"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359</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740</w:t>
            </w:r>
          </w:p>
        </w:tc>
        <w:tc>
          <w:tcPr>
            <w:tcW w:w="540" w:type="pct"/>
            <w:tcBorders>
              <w:top w:val="nil"/>
              <w:left w:val="nil"/>
              <w:bottom w:val="nil"/>
              <w:right w:val="nil"/>
            </w:tcBorders>
            <w:shd w:val="clear" w:color="auto" w:fill="auto"/>
            <w:noWrap/>
            <w:vAlign w:val="center"/>
            <w:hideMark/>
          </w:tcPr>
          <w:p w14:paraId="72A05BFC"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37</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244</w:t>
            </w:r>
            <w:r>
              <w:rPr>
                <w:rFonts w:ascii="Calibri" w:eastAsia="Times New Roman" w:hAnsi="Calibri" w:cs="Times New Roman"/>
                <w:color w:val="000000"/>
                <w:sz w:val="20"/>
                <w:szCs w:val="20"/>
                <w:lang w:val="en-GB" w:eastAsia="en-GB"/>
              </w:rPr>
              <w:t xml:space="preserve"> (9.4%)</w:t>
            </w:r>
          </w:p>
        </w:tc>
        <w:tc>
          <w:tcPr>
            <w:tcW w:w="393" w:type="pct"/>
            <w:tcBorders>
              <w:top w:val="nil"/>
              <w:left w:val="nil"/>
              <w:bottom w:val="nil"/>
              <w:right w:val="nil"/>
            </w:tcBorders>
            <w:shd w:val="clear" w:color="auto" w:fill="auto"/>
            <w:noWrap/>
            <w:vAlign w:val="center"/>
            <w:hideMark/>
          </w:tcPr>
          <w:p w14:paraId="0CF5BE39"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899</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172</w:t>
            </w:r>
          </w:p>
        </w:tc>
        <w:tc>
          <w:tcPr>
            <w:tcW w:w="540" w:type="pct"/>
            <w:tcBorders>
              <w:top w:val="nil"/>
              <w:left w:val="nil"/>
              <w:bottom w:val="nil"/>
              <w:right w:val="nil"/>
            </w:tcBorders>
            <w:shd w:val="clear" w:color="auto" w:fill="auto"/>
            <w:noWrap/>
            <w:vAlign w:val="center"/>
            <w:hideMark/>
          </w:tcPr>
          <w:p w14:paraId="4A8F44EF"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104</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118</w:t>
            </w:r>
            <w:r>
              <w:rPr>
                <w:rFonts w:ascii="Calibri" w:eastAsia="Times New Roman" w:hAnsi="Calibri" w:cs="Times New Roman"/>
                <w:color w:val="000000"/>
                <w:sz w:val="20"/>
                <w:szCs w:val="20"/>
                <w:lang w:val="en-GB" w:eastAsia="en-GB"/>
              </w:rPr>
              <w:t xml:space="preserve"> (10.4%)</w:t>
            </w:r>
          </w:p>
        </w:tc>
        <w:tc>
          <w:tcPr>
            <w:tcW w:w="393" w:type="pct"/>
            <w:tcBorders>
              <w:top w:val="nil"/>
              <w:left w:val="nil"/>
              <w:bottom w:val="nil"/>
              <w:right w:val="nil"/>
            </w:tcBorders>
            <w:shd w:val="clear" w:color="auto" w:fill="auto"/>
            <w:noWrap/>
            <w:vAlign w:val="center"/>
            <w:hideMark/>
          </w:tcPr>
          <w:p w14:paraId="75544F73"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075</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636</w:t>
            </w:r>
          </w:p>
        </w:tc>
        <w:tc>
          <w:tcPr>
            <w:tcW w:w="540" w:type="pct"/>
            <w:tcBorders>
              <w:top w:val="nil"/>
              <w:left w:val="nil"/>
              <w:bottom w:val="nil"/>
              <w:right w:val="nil"/>
            </w:tcBorders>
            <w:shd w:val="clear" w:color="auto" w:fill="auto"/>
            <w:noWrap/>
            <w:vAlign w:val="center"/>
            <w:hideMark/>
          </w:tcPr>
          <w:p w14:paraId="3E78EBAF"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126</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180</w:t>
            </w:r>
            <w:r>
              <w:rPr>
                <w:rFonts w:ascii="Calibri" w:eastAsia="Times New Roman" w:hAnsi="Calibri" w:cs="Times New Roman"/>
                <w:color w:val="000000"/>
                <w:sz w:val="20"/>
                <w:szCs w:val="20"/>
                <w:lang w:val="en-GB" w:eastAsia="en-GB"/>
              </w:rPr>
              <w:t xml:space="preserve"> (10.5%)</w:t>
            </w:r>
          </w:p>
        </w:tc>
        <w:tc>
          <w:tcPr>
            <w:tcW w:w="341" w:type="pct"/>
            <w:tcBorders>
              <w:top w:val="nil"/>
              <w:left w:val="nil"/>
              <w:bottom w:val="nil"/>
              <w:right w:val="nil"/>
            </w:tcBorders>
            <w:shd w:val="clear" w:color="auto" w:fill="auto"/>
            <w:noWrap/>
            <w:vAlign w:val="center"/>
            <w:hideMark/>
          </w:tcPr>
          <w:p w14:paraId="3FF66A9F"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598</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192</w:t>
            </w:r>
          </w:p>
        </w:tc>
        <w:tc>
          <w:tcPr>
            <w:tcW w:w="533" w:type="pct"/>
            <w:tcBorders>
              <w:top w:val="nil"/>
              <w:left w:val="nil"/>
              <w:bottom w:val="nil"/>
              <w:right w:val="nil"/>
            </w:tcBorders>
            <w:shd w:val="clear" w:color="auto" w:fill="auto"/>
            <w:noWrap/>
            <w:vAlign w:val="center"/>
            <w:hideMark/>
          </w:tcPr>
          <w:p w14:paraId="6B652BA1"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80</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623</w:t>
            </w:r>
            <w:r>
              <w:rPr>
                <w:rFonts w:ascii="Calibri" w:eastAsia="Times New Roman" w:hAnsi="Calibri" w:cs="Times New Roman"/>
                <w:color w:val="000000"/>
                <w:sz w:val="20"/>
                <w:szCs w:val="20"/>
                <w:lang w:val="en-GB" w:eastAsia="en-GB"/>
              </w:rPr>
              <w:t xml:space="preserve"> (11.9%)</w:t>
            </w:r>
          </w:p>
        </w:tc>
        <w:tc>
          <w:tcPr>
            <w:tcW w:w="403" w:type="pct"/>
            <w:tcBorders>
              <w:top w:val="nil"/>
              <w:left w:val="nil"/>
              <w:bottom w:val="nil"/>
              <w:right w:val="nil"/>
            </w:tcBorders>
            <w:shd w:val="clear" w:color="auto" w:fill="auto"/>
            <w:noWrap/>
            <w:vAlign w:val="center"/>
            <w:hideMark/>
          </w:tcPr>
          <w:p w14:paraId="23479F79"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806</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892</w:t>
            </w:r>
          </w:p>
        </w:tc>
        <w:tc>
          <w:tcPr>
            <w:tcW w:w="482" w:type="pct"/>
            <w:tcBorders>
              <w:top w:val="nil"/>
              <w:left w:val="nil"/>
              <w:bottom w:val="nil"/>
              <w:right w:val="nil"/>
            </w:tcBorders>
            <w:shd w:val="clear" w:color="auto" w:fill="auto"/>
            <w:noWrap/>
            <w:vAlign w:val="center"/>
            <w:hideMark/>
          </w:tcPr>
          <w:p w14:paraId="0DBDB2A9"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104</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170</w:t>
            </w:r>
            <w:r>
              <w:rPr>
                <w:rFonts w:ascii="Calibri" w:eastAsia="Times New Roman" w:hAnsi="Calibri" w:cs="Times New Roman"/>
                <w:color w:val="000000"/>
                <w:sz w:val="20"/>
                <w:szCs w:val="20"/>
                <w:lang w:val="en-GB" w:eastAsia="en-GB"/>
              </w:rPr>
              <w:t xml:space="preserve"> (11.4%)</w:t>
            </w:r>
          </w:p>
        </w:tc>
      </w:tr>
      <w:tr w:rsidR="00FD16CC" w:rsidRPr="00741EF7" w14:paraId="726F683B" w14:textId="77777777" w:rsidTr="00886847">
        <w:trPr>
          <w:trHeight w:val="454"/>
        </w:trPr>
        <w:tc>
          <w:tcPr>
            <w:tcW w:w="442" w:type="pct"/>
            <w:tcBorders>
              <w:top w:val="nil"/>
              <w:left w:val="nil"/>
              <w:bottom w:val="nil"/>
              <w:right w:val="nil"/>
            </w:tcBorders>
            <w:shd w:val="clear" w:color="auto" w:fill="BFBFBF" w:themeFill="background1" w:themeFillShade="BF"/>
            <w:noWrap/>
            <w:vAlign w:val="center"/>
            <w:hideMark/>
          </w:tcPr>
          <w:p w14:paraId="4350F4C2" w14:textId="77777777" w:rsidR="00FD16CC" w:rsidRPr="00741EF7" w:rsidRDefault="00FD16CC" w:rsidP="00886847">
            <w:pPr>
              <w:spacing w:after="0" w:line="240" w:lineRule="auto"/>
              <w:rPr>
                <w:rFonts w:ascii="Calibri" w:eastAsia="Times New Roman" w:hAnsi="Calibri" w:cs="Times New Roman"/>
                <w:b/>
                <w:bCs/>
                <w:color w:val="000000"/>
                <w:sz w:val="20"/>
                <w:szCs w:val="20"/>
                <w:lang w:val="en-GB" w:eastAsia="en-GB"/>
              </w:rPr>
            </w:pPr>
            <w:r w:rsidRPr="00741EF7">
              <w:rPr>
                <w:rFonts w:ascii="Calibri" w:eastAsia="Times New Roman" w:hAnsi="Calibri" w:cs="Times New Roman"/>
                <w:b/>
                <w:bCs/>
                <w:color w:val="000000"/>
                <w:sz w:val="20"/>
                <w:szCs w:val="20"/>
                <w:lang w:val="en-GB" w:eastAsia="en-GB"/>
              </w:rPr>
              <w:t>South Buganda</w:t>
            </w:r>
          </w:p>
        </w:tc>
        <w:tc>
          <w:tcPr>
            <w:tcW w:w="393" w:type="pct"/>
            <w:tcBorders>
              <w:top w:val="nil"/>
              <w:left w:val="nil"/>
              <w:bottom w:val="nil"/>
              <w:right w:val="nil"/>
            </w:tcBorders>
            <w:shd w:val="clear" w:color="auto" w:fill="BFBFBF" w:themeFill="background1" w:themeFillShade="BF"/>
            <w:noWrap/>
            <w:vAlign w:val="center"/>
            <w:hideMark/>
          </w:tcPr>
          <w:p w14:paraId="13CA94BD"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339</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566</w:t>
            </w:r>
          </w:p>
        </w:tc>
        <w:tc>
          <w:tcPr>
            <w:tcW w:w="540" w:type="pct"/>
            <w:tcBorders>
              <w:top w:val="nil"/>
              <w:left w:val="nil"/>
              <w:bottom w:val="nil"/>
              <w:right w:val="nil"/>
            </w:tcBorders>
            <w:shd w:val="clear" w:color="auto" w:fill="BFBFBF" w:themeFill="background1" w:themeFillShade="BF"/>
            <w:noWrap/>
            <w:vAlign w:val="center"/>
            <w:hideMark/>
          </w:tcPr>
          <w:p w14:paraId="5DB8DD77"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50</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641</w:t>
            </w:r>
            <w:r>
              <w:rPr>
                <w:rFonts w:ascii="Calibri" w:eastAsia="Times New Roman" w:hAnsi="Calibri" w:cs="Times New Roman"/>
                <w:color w:val="000000"/>
                <w:sz w:val="20"/>
                <w:szCs w:val="20"/>
                <w:lang w:val="en-GB" w:eastAsia="en-GB"/>
              </w:rPr>
              <w:t xml:space="preserve"> (13.0%)</w:t>
            </w:r>
          </w:p>
        </w:tc>
        <w:tc>
          <w:tcPr>
            <w:tcW w:w="393" w:type="pct"/>
            <w:tcBorders>
              <w:top w:val="nil"/>
              <w:left w:val="nil"/>
              <w:bottom w:val="nil"/>
              <w:right w:val="nil"/>
            </w:tcBorders>
            <w:shd w:val="clear" w:color="auto" w:fill="BFBFBF" w:themeFill="background1" w:themeFillShade="BF"/>
            <w:noWrap/>
            <w:vAlign w:val="center"/>
            <w:hideMark/>
          </w:tcPr>
          <w:p w14:paraId="18151106"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857</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379</w:t>
            </w:r>
          </w:p>
        </w:tc>
        <w:tc>
          <w:tcPr>
            <w:tcW w:w="540" w:type="pct"/>
            <w:tcBorders>
              <w:top w:val="nil"/>
              <w:left w:val="nil"/>
              <w:bottom w:val="nil"/>
              <w:right w:val="nil"/>
            </w:tcBorders>
            <w:shd w:val="clear" w:color="auto" w:fill="BFBFBF" w:themeFill="background1" w:themeFillShade="BF"/>
            <w:noWrap/>
            <w:vAlign w:val="center"/>
            <w:hideMark/>
          </w:tcPr>
          <w:p w14:paraId="7B3AD124"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132</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875</w:t>
            </w:r>
            <w:r>
              <w:rPr>
                <w:rFonts w:ascii="Calibri" w:eastAsia="Times New Roman" w:hAnsi="Calibri" w:cs="Times New Roman"/>
                <w:color w:val="000000"/>
                <w:sz w:val="20"/>
                <w:szCs w:val="20"/>
                <w:lang w:val="en-GB" w:eastAsia="en-GB"/>
              </w:rPr>
              <w:t xml:space="preserve"> (13.4%)</w:t>
            </w:r>
          </w:p>
        </w:tc>
        <w:tc>
          <w:tcPr>
            <w:tcW w:w="393" w:type="pct"/>
            <w:tcBorders>
              <w:top w:val="nil"/>
              <w:left w:val="nil"/>
              <w:bottom w:val="nil"/>
              <w:right w:val="nil"/>
            </w:tcBorders>
            <w:shd w:val="clear" w:color="auto" w:fill="BFBFBF" w:themeFill="background1" w:themeFillShade="BF"/>
            <w:noWrap/>
            <w:vAlign w:val="center"/>
            <w:hideMark/>
          </w:tcPr>
          <w:p w14:paraId="1A765A9A"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924</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703</w:t>
            </w:r>
          </w:p>
        </w:tc>
        <w:tc>
          <w:tcPr>
            <w:tcW w:w="540" w:type="pct"/>
            <w:tcBorders>
              <w:top w:val="nil"/>
              <w:left w:val="nil"/>
              <w:bottom w:val="nil"/>
              <w:right w:val="nil"/>
            </w:tcBorders>
            <w:shd w:val="clear" w:color="auto" w:fill="BFBFBF" w:themeFill="background1" w:themeFillShade="BF"/>
            <w:noWrap/>
            <w:vAlign w:val="center"/>
            <w:hideMark/>
          </w:tcPr>
          <w:p w14:paraId="497E779F"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180</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585</w:t>
            </w:r>
            <w:r>
              <w:rPr>
                <w:rFonts w:ascii="Calibri" w:eastAsia="Times New Roman" w:hAnsi="Calibri" w:cs="Times New Roman"/>
                <w:color w:val="000000"/>
                <w:sz w:val="20"/>
                <w:szCs w:val="20"/>
                <w:lang w:val="en-GB" w:eastAsia="en-GB"/>
              </w:rPr>
              <w:t xml:space="preserve"> (16.3%)</w:t>
            </w:r>
          </w:p>
        </w:tc>
        <w:tc>
          <w:tcPr>
            <w:tcW w:w="341" w:type="pct"/>
            <w:tcBorders>
              <w:top w:val="nil"/>
              <w:left w:val="nil"/>
              <w:bottom w:val="nil"/>
              <w:right w:val="nil"/>
            </w:tcBorders>
            <w:shd w:val="clear" w:color="auto" w:fill="BFBFBF" w:themeFill="background1" w:themeFillShade="BF"/>
            <w:noWrap/>
            <w:vAlign w:val="center"/>
            <w:hideMark/>
          </w:tcPr>
          <w:p w14:paraId="13BFF903"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446</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711</w:t>
            </w:r>
          </w:p>
        </w:tc>
        <w:tc>
          <w:tcPr>
            <w:tcW w:w="533" w:type="pct"/>
            <w:tcBorders>
              <w:top w:val="nil"/>
              <w:left w:val="nil"/>
              <w:bottom w:val="nil"/>
              <w:right w:val="nil"/>
            </w:tcBorders>
            <w:shd w:val="clear" w:color="auto" w:fill="BFBFBF" w:themeFill="background1" w:themeFillShade="BF"/>
            <w:noWrap/>
            <w:vAlign w:val="center"/>
            <w:hideMark/>
          </w:tcPr>
          <w:p w14:paraId="46C0B14B"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124</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387</w:t>
            </w:r>
            <w:r>
              <w:rPr>
                <w:rFonts w:ascii="Calibri" w:eastAsia="Times New Roman" w:hAnsi="Calibri" w:cs="Times New Roman"/>
                <w:color w:val="000000"/>
                <w:sz w:val="20"/>
                <w:szCs w:val="20"/>
                <w:lang w:val="en-GB" w:eastAsia="en-GB"/>
              </w:rPr>
              <w:t xml:space="preserve"> (21.8%)</w:t>
            </w:r>
          </w:p>
        </w:tc>
        <w:tc>
          <w:tcPr>
            <w:tcW w:w="403" w:type="pct"/>
            <w:tcBorders>
              <w:top w:val="nil"/>
              <w:left w:val="nil"/>
              <w:bottom w:val="nil"/>
              <w:right w:val="nil"/>
            </w:tcBorders>
            <w:shd w:val="clear" w:color="auto" w:fill="BFBFBF" w:themeFill="background1" w:themeFillShade="BF"/>
            <w:noWrap/>
            <w:vAlign w:val="center"/>
            <w:hideMark/>
          </w:tcPr>
          <w:p w14:paraId="695E75D7"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511</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241</w:t>
            </w:r>
          </w:p>
        </w:tc>
        <w:tc>
          <w:tcPr>
            <w:tcW w:w="482" w:type="pct"/>
            <w:tcBorders>
              <w:top w:val="nil"/>
              <w:left w:val="nil"/>
              <w:bottom w:val="nil"/>
              <w:right w:val="nil"/>
            </w:tcBorders>
            <w:shd w:val="clear" w:color="auto" w:fill="BFBFBF" w:themeFill="background1" w:themeFillShade="BF"/>
            <w:noWrap/>
            <w:vAlign w:val="center"/>
            <w:hideMark/>
          </w:tcPr>
          <w:p w14:paraId="67DBB303"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114</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152</w:t>
            </w:r>
            <w:r>
              <w:rPr>
                <w:rFonts w:ascii="Calibri" w:eastAsia="Times New Roman" w:hAnsi="Calibri" w:cs="Times New Roman"/>
                <w:color w:val="000000"/>
                <w:sz w:val="20"/>
                <w:szCs w:val="20"/>
                <w:lang w:val="en-GB" w:eastAsia="en-GB"/>
              </w:rPr>
              <w:t xml:space="preserve"> (18.3%)</w:t>
            </w:r>
          </w:p>
        </w:tc>
      </w:tr>
      <w:tr w:rsidR="00FD16CC" w:rsidRPr="00741EF7" w14:paraId="37339FC4" w14:textId="77777777" w:rsidTr="00886847">
        <w:trPr>
          <w:trHeight w:val="454"/>
        </w:trPr>
        <w:tc>
          <w:tcPr>
            <w:tcW w:w="442" w:type="pct"/>
            <w:tcBorders>
              <w:top w:val="nil"/>
              <w:left w:val="nil"/>
              <w:bottom w:val="nil"/>
              <w:right w:val="nil"/>
            </w:tcBorders>
            <w:shd w:val="clear" w:color="auto" w:fill="auto"/>
            <w:noWrap/>
            <w:vAlign w:val="center"/>
            <w:hideMark/>
          </w:tcPr>
          <w:p w14:paraId="36FEA016" w14:textId="77777777" w:rsidR="00FD16CC" w:rsidRPr="00741EF7" w:rsidRDefault="00FD16CC" w:rsidP="00886847">
            <w:pPr>
              <w:spacing w:after="0" w:line="240" w:lineRule="auto"/>
              <w:rPr>
                <w:rFonts w:ascii="Calibri" w:eastAsia="Times New Roman" w:hAnsi="Calibri" w:cs="Times New Roman"/>
                <w:b/>
                <w:bCs/>
                <w:color w:val="000000"/>
                <w:sz w:val="20"/>
                <w:szCs w:val="20"/>
                <w:lang w:val="en-GB" w:eastAsia="en-GB"/>
              </w:rPr>
            </w:pPr>
            <w:r w:rsidRPr="00741EF7">
              <w:rPr>
                <w:rFonts w:ascii="Calibri" w:eastAsia="Times New Roman" w:hAnsi="Calibri" w:cs="Times New Roman"/>
                <w:b/>
                <w:bCs/>
                <w:color w:val="000000"/>
                <w:sz w:val="20"/>
                <w:szCs w:val="20"/>
                <w:lang w:val="en-GB" w:eastAsia="en-GB"/>
              </w:rPr>
              <w:t>Teso</w:t>
            </w:r>
          </w:p>
        </w:tc>
        <w:tc>
          <w:tcPr>
            <w:tcW w:w="393" w:type="pct"/>
            <w:tcBorders>
              <w:top w:val="nil"/>
              <w:left w:val="nil"/>
              <w:bottom w:val="nil"/>
              <w:right w:val="nil"/>
            </w:tcBorders>
            <w:shd w:val="clear" w:color="auto" w:fill="auto"/>
            <w:noWrap/>
            <w:vAlign w:val="center"/>
            <w:hideMark/>
          </w:tcPr>
          <w:p w14:paraId="6150412F"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250</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834</w:t>
            </w:r>
          </w:p>
        </w:tc>
        <w:tc>
          <w:tcPr>
            <w:tcW w:w="540" w:type="pct"/>
            <w:tcBorders>
              <w:top w:val="nil"/>
              <w:left w:val="nil"/>
              <w:bottom w:val="nil"/>
              <w:right w:val="nil"/>
            </w:tcBorders>
            <w:shd w:val="clear" w:color="auto" w:fill="auto"/>
            <w:noWrap/>
            <w:vAlign w:val="center"/>
            <w:hideMark/>
          </w:tcPr>
          <w:p w14:paraId="5EE19611"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27</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289</w:t>
            </w:r>
            <w:r>
              <w:rPr>
                <w:rFonts w:ascii="Calibri" w:eastAsia="Times New Roman" w:hAnsi="Calibri" w:cs="Times New Roman"/>
                <w:color w:val="000000"/>
                <w:sz w:val="20"/>
                <w:szCs w:val="20"/>
                <w:lang w:val="en-GB" w:eastAsia="en-GB"/>
              </w:rPr>
              <w:t xml:space="preserve"> (9.8%)</w:t>
            </w:r>
          </w:p>
        </w:tc>
        <w:tc>
          <w:tcPr>
            <w:tcW w:w="393" w:type="pct"/>
            <w:tcBorders>
              <w:top w:val="nil"/>
              <w:left w:val="nil"/>
              <w:bottom w:val="nil"/>
              <w:right w:val="nil"/>
            </w:tcBorders>
            <w:shd w:val="clear" w:color="auto" w:fill="auto"/>
            <w:noWrap/>
            <w:vAlign w:val="center"/>
            <w:hideMark/>
          </w:tcPr>
          <w:p w14:paraId="0F46FCE5" w14:textId="5027C0DA"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6</w:t>
            </w:r>
            <w:r w:rsidR="00E80C32">
              <w:rPr>
                <w:rFonts w:ascii="Calibri" w:eastAsia="Times New Roman" w:hAnsi="Calibri" w:cs="Times New Roman"/>
                <w:color w:val="000000"/>
                <w:sz w:val="20"/>
                <w:szCs w:val="20"/>
                <w:lang w:val="en-GB" w:eastAsia="en-GB"/>
              </w:rPr>
              <w:t>10</w:t>
            </w:r>
            <w:r>
              <w:rPr>
                <w:rFonts w:ascii="Calibri" w:eastAsia="Times New Roman" w:hAnsi="Calibri" w:cs="Times New Roman"/>
                <w:color w:val="000000"/>
                <w:sz w:val="20"/>
                <w:szCs w:val="20"/>
                <w:lang w:val="en-GB" w:eastAsia="en-GB"/>
              </w:rPr>
              <w:t>,</w:t>
            </w:r>
            <w:r w:rsidR="00E80C32">
              <w:rPr>
                <w:rFonts w:ascii="Calibri" w:eastAsia="Times New Roman" w:hAnsi="Calibri" w:cs="Times New Roman"/>
                <w:color w:val="000000"/>
                <w:sz w:val="20"/>
                <w:szCs w:val="20"/>
                <w:lang w:val="en-GB" w:eastAsia="en-GB"/>
              </w:rPr>
              <w:t>964</w:t>
            </w:r>
          </w:p>
        </w:tc>
        <w:tc>
          <w:tcPr>
            <w:tcW w:w="540" w:type="pct"/>
            <w:tcBorders>
              <w:top w:val="nil"/>
              <w:left w:val="nil"/>
              <w:bottom w:val="nil"/>
              <w:right w:val="nil"/>
            </w:tcBorders>
            <w:shd w:val="clear" w:color="auto" w:fill="auto"/>
            <w:noWrap/>
            <w:vAlign w:val="center"/>
            <w:hideMark/>
          </w:tcPr>
          <w:p w14:paraId="31609431" w14:textId="3EE90FF0"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58</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393</w:t>
            </w:r>
            <w:r>
              <w:rPr>
                <w:rFonts w:ascii="Calibri" w:eastAsia="Times New Roman" w:hAnsi="Calibri" w:cs="Times New Roman"/>
                <w:color w:val="000000"/>
                <w:sz w:val="20"/>
                <w:szCs w:val="20"/>
                <w:lang w:val="en-GB" w:eastAsia="en-GB"/>
              </w:rPr>
              <w:t xml:space="preserve"> (</w:t>
            </w:r>
            <w:r w:rsidR="00E80C32">
              <w:rPr>
                <w:rFonts w:ascii="Calibri" w:eastAsia="Times New Roman" w:hAnsi="Calibri" w:cs="Times New Roman"/>
                <w:color w:val="000000"/>
                <w:sz w:val="20"/>
                <w:szCs w:val="20"/>
                <w:lang w:val="en-GB" w:eastAsia="en-GB"/>
              </w:rPr>
              <w:t>8</w:t>
            </w:r>
            <w:r>
              <w:rPr>
                <w:rFonts w:ascii="Calibri" w:eastAsia="Times New Roman" w:hAnsi="Calibri" w:cs="Times New Roman"/>
                <w:color w:val="000000"/>
                <w:sz w:val="20"/>
                <w:szCs w:val="20"/>
                <w:lang w:val="en-GB" w:eastAsia="en-GB"/>
              </w:rPr>
              <w:t>.</w:t>
            </w:r>
            <w:r w:rsidR="00E80C32">
              <w:rPr>
                <w:rFonts w:ascii="Calibri" w:eastAsia="Times New Roman" w:hAnsi="Calibri" w:cs="Times New Roman"/>
                <w:color w:val="000000"/>
                <w:sz w:val="20"/>
                <w:szCs w:val="20"/>
                <w:lang w:val="en-GB" w:eastAsia="en-GB"/>
              </w:rPr>
              <w:t>7</w:t>
            </w:r>
            <w:r>
              <w:rPr>
                <w:rFonts w:ascii="Calibri" w:eastAsia="Times New Roman" w:hAnsi="Calibri" w:cs="Times New Roman"/>
                <w:color w:val="000000"/>
                <w:sz w:val="20"/>
                <w:szCs w:val="20"/>
                <w:lang w:val="en-GB" w:eastAsia="en-GB"/>
              </w:rPr>
              <w:t>%)</w:t>
            </w:r>
          </w:p>
        </w:tc>
        <w:tc>
          <w:tcPr>
            <w:tcW w:w="393" w:type="pct"/>
            <w:tcBorders>
              <w:top w:val="nil"/>
              <w:left w:val="nil"/>
              <w:bottom w:val="nil"/>
              <w:right w:val="nil"/>
            </w:tcBorders>
            <w:shd w:val="clear" w:color="auto" w:fill="auto"/>
            <w:noWrap/>
            <w:vAlign w:val="center"/>
            <w:hideMark/>
          </w:tcPr>
          <w:p w14:paraId="6121DBB7"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406</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337</w:t>
            </w:r>
          </w:p>
        </w:tc>
        <w:tc>
          <w:tcPr>
            <w:tcW w:w="540" w:type="pct"/>
            <w:tcBorders>
              <w:top w:val="nil"/>
              <w:left w:val="nil"/>
              <w:bottom w:val="nil"/>
              <w:right w:val="nil"/>
            </w:tcBorders>
            <w:shd w:val="clear" w:color="auto" w:fill="auto"/>
            <w:noWrap/>
            <w:vAlign w:val="center"/>
            <w:hideMark/>
          </w:tcPr>
          <w:p w14:paraId="6AF6D2FF"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53</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759</w:t>
            </w:r>
            <w:r>
              <w:rPr>
                <w:rFonts w:ascii="Calibri" w:eastAsia="Times New Roman" w:hAnsi="Calibri" w:cs="Times New Roman"/>
                <w:color w:val="000000"/>
                <w:sz w:val="20"/>
                <w:szCs w:val="20"/>
                <w:lang w:val="en-GB" w:eastAsia="en-GB"/>
              </w:rPr>
              <w:t xml:space="preserve"> (11.7%)</w:t>
            </w:r>
          </w:p>
        </w:tc>
        <w:tc>
          <w:tcPr>
            <w:tcW w:w="341" w:type="pct"/>
            <w:tcBorders>
              <w:top w:val="nil"/>
              <w:left w:val="nil"/>
              <w:bottom w:val="nil"/>
              <w:right w:val="nil"/>
            </w:tcBorders>
            <w:shd w:val="clear" w:color="auto" w:fill="auto"/>
            <w:noWrap/>
            <w:vAlign w:val="center"/>
            <w:hideMark/>
          </w:tcPr>
          <w:p w14:paraId="1A096079"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478</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098</w:t>
            </w:r>
          </w:p>
        </w:tc>
        <w:tc>
          <w:tcPr>
            <w:tcW w:w="533" w:type="pct"/>
            <w:tcBorders>
              <w:top w:val="nil"/>
              <w:left w:val="nil"/>
              <w:bottom w:val="nil"/>
              <w:right w:val="nil"/>
            </w:tcBorders>
            <w:shd w:val="clear" w:color="auto" w:fill="auto"/>
            <w:noWrap/>
            <w:vAlign w:val="center"/>
            <w:hideMark/>
          </w:tcPr>
          <w:p w14:paraId="74C6C1B8"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57</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421</w:t>
            </w:r>
            <w:r>
              <w:rPr>
                <w:rFonts w:ascii="Calibri" w:eastAsia="Times New Roman" w:hAnsi="Calibri" w:cs="Times New Roman"/>
                <w:color w:val="000000"/>
                <w:sz w:val="20"/>
                <w:szCs w:val="20"/>
                <w:lang w:val="en-GB" w:eastAsia="en-GB"/>
              </w:rPr>
              <w:t xml:space="preserve"> (10.7%)</w:t>
            </w:r>
          </w:p>
        </w:tc>
        <w:tc>
          <w:tcPr>
            <w:tcW w:w="403" w:type="pct"/>
            <w:tcBorders>
              <w:top w:val="nil"/>
              <w:left w:val="nil"/>
              <w:bottom w:val="nil"/>
              <w:right w:val="nil"/>
            </w:tcBorders>
            <w:shd w:val="clear" w:color="auto" w:fill="auto"/>
            <w:noWrap/>
            <w:vAlign w:val="center"/>
            <w:hideMark/>
          </w:tcPr>
          <w:p w14:paraId="08029FCA"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495</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778</w:t>
            </w:r>
          </w:p>
        </w:tc>
        <w:tc>
          <w:tcPr>
            <w:tcW w:w="482" w:type="pct"/>
            <w:tcBorders>
              <w:top w:val="nil"/>
              <w:left w:val="nil"/>
              <w:bottom w:val="nil"/>
              <w:right w:val="nil"/>
            </w:tcBorders>
            <w:shd w:val="clear" w:color="auto" w:fill="auto"/>
            <w:noWrap/>
            <w:vAlign w:val="center"/>
            <w:hideMark/>
          </w:tcPr>
          <w:p w14:paraId="67B8CA3E"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57</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500</w:t>
            </w:r>
            <w:r>
              <w:rPr>
                <w:rFonts w:ascii="Calibri" w:eastAsia="Times New Roman" w:hAnsi="Calibri" w:cs="Times New Roman"/>
                <w:color w:val="000000"/>
                <w:sz w:val="20"/>
                <w:szCs w:val="20"/>
                <w:lang w:val="en-GB" w:eastAsia="en-GB"/>
              </w:rPr>
              <w:t xml:space="preserve"> (10.4%)</w:t>
            </w:r>
          </w:p>
        </w:tc>
      </w:tr>
      <w:tr w:rsidR="00FD16CC" w:rsidRPr="00741EF7" w14:paraId="5B265482" w14:textId="77777777" w:rsidTr="00886847">
        <w:trPr>
          <w:trHeight w:val="454"/>
        </w:trPr>
        <w:tc>
          <w:tcPr>
            <w:tcW w:w="442" w:type="pct"/>
            <w:tcBorders>
              <w:top w:val="nil"/>
              <w:left w:val="nil"/>
              <w:bottom w:val="nil"/>
              <w:right w:val="nil"/>
            </w:tcBorders>
            <w:shd w:val="clear" w:color="auto" w:fill="BFBFBF" w:themeFill="background1" w:themeFillShade="BF"/>
            <w:noWrap/>
            <w:vAlign w:val="center"/>
            <w:hideMark/>
          </w:tcPr>
          <w:p w14:paraId="5284E39D" w14:textId="77777777" w:rsidR="00FD16CC" w:rsidRPr="00741EF7" w:rsidRDefault="00FD16CC" w:rsidP="00886847">
            <w:pPr>
              <w:spacing w:after="0" w:line="240" w:lineRule="auto"/>
              <w:rPr>
                <w:rFonts w:ascii="Calibri" w:eastAsia="Times New Roman" w:hAnsi="Calibri" w:cs="Times New Roman"/>
                <w:b/>
                <w:bCs/>
                <w:color w:val="000000"/>
                <w:sz w:val="20"/>
                <w:szCs w:val="20"/>
                <w:lang w:val="en-GB" w:eastAsia="en-GB"/>
              </w:rPr>
            </w:pPr>
            <w:r w:rsidRPr="00741EF7">
              <w:rPr>
                <w:rFonts w:ascii="Calibri" w:eastAsia="Times New Roman" w:hAnsi="Calibri" w:cs="Times New Roman"/>
                <w:b/>
                <w:bCs/>
                <w:color w:val="000000"/>
                <w:sz w:val="20"/>
                <w:szCs w:val="20"/>
                <w:lang w:val="en-GB" w:eastAsia="en-GB"/>
              </w:rPr>
              <w:t>Tooro</w:t>
            </w:r>
          </w:p>
        </w:tc>
        <w:tc>
          <w:tcPr>
            <w:tcW w:w="393" w:type="pct"/>
            <w:tcBorders>
              <w:top w:val="nil"/>
              <w:left w:val="nil"/>
              <w:bottom w:val="nil"/>
              <w:right w:val="nil"/>
            </w:tcBorders>
            <w:shd w:val="clear" w:color="auto" w:fill="BFBFBF" w:themeFill="background1" w:themeFillShade="BF"/>
            <w:noWrap/>
            <w:vAlign w:val="center"/>
            <w:hideMark/>
          </w:tcPr>
          <w:p w14:paraId="4F1CEDD4"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256</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001</w:t>
            </w:r>
          </w:p>
        </w:tc>
        <w:tc>
          <w:tcPr>
            <w:tcW w:w="540" w:type="pct"/>
            <w:tcBorders>
              <w:top w:val="nil"/>
              <w:left w:val="nil"/>
              <w:bottom w:val="nil"/>
              <w:right w:val="nil"/>
            </w:tcBorders>
            <w:shd w:val="clear" w:color="auto" w:fill="BFBFBF" w:themeFill="background1" w:themeFillShade="BF"/>
            <w:noWrap/>
            <w:vAlign w:val="center"/>
            <w:hideMark/>
          </w:tcPr>
          <w:p w14:paraId="23DCB828"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33</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934</w:t>
            </w:r>
            <w:r>
              <w:rPr>
                <w:rFonts w:ascii="Calibri" w:eastAsia="Times New Roman" w:hAnsi="Calibri" w:cs="Times New Roman"/>
                <w:color w:val="000000"/>
                <w:sz w:val="20"/>
                <w:szCs w:val="20"/>
                <w:lang w:val="en-GB" w:eastAsia="en-GB"/>
              </w:rPr>
              <w:t xml:space="preserve"> (11.7%)</w:t>
            </w:r>
          </w:p>
        </w:tc>
        <w:tc>
          <w:tcPr>
            <w:tcW w:w="393" w:type="pct"/>
            <w:tcBorders>
              <w:top w:val="nil"/>
              <w:left w:val="nil"/>
              <w:bottom w:val="nil"/>
              <w:right w:val="nil"/>
            </w:tcBorders>
            <w:shd w:val="clear" w:color="auto" w:fill="BFBFBF" w:themeFill="background1" w:themeFillShade="BF"/>
            <w:noWrap/>
            <w:vAlign w:val="center"/>
            <w:hideMark/>
          </w:tcPr>
          <w:p w14:paraId="65919DB6"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610</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964</w:t>
            </w:r>
          </w:p>
        </w:tc>
        <w:tc>
          <w:tcPr>
            <w:tcW w:w="540" w:type="pct"/>
            <w:tcBorders>
              <w:top w:val="nil"/>
              <w:left w:val="nil"/>
              <w:bottom w:val="nil"/>
              <w:right w:val="nil"/>
            </w:tcBorders>
            <w:shd w:val="clear" w:color="auto" w:fill="BFBFBF" w:themeFill="background1" w:themeFillShade="BF"/>
            <w:noWrap/>
            <w:vAlign w:val="center"/>
            <w:hideMark/>
          </w:tcPr>
          <w:p w14:paraId="1E5C3E63"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95</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187</w:t>
            </w:r>
            <w:r>
              <w:rPr>
                <w:rFonts w:ascii="Calibri" w:eastAsia="Times New Roman" w:hAnsi="Calibri" w:cs="Times New Roman"/>
                <w:color w:val="000000"/>
                <w:sz w:val="20"/>
                <w:szCs w:val="20"/>
                <w:lang w:val="en-GB" w:eastAsia="en-GB"/>
              </w:rPr>
              <w:t xml:space="preserve"> (13.5%)</w:t>
            </w:r>
          </w:p>
        </w:tc>
        <w:tc>
          <w:tcPr>
            <w:tcW w:w="393" w:type="pct"/>
            <w:tcBorders>
              <w:top w:val="nil"/>
              <w:left w:val="nil"/>
              <w:bottom w:val="nil"/>
              <w:right w:val="nil"/>
            </w:tcBorders>
            <w:shd w:val="clear" w:color="auto" w:fill="BFBFBF" w:themeFill="background1" w:themeFillShade="BF"/>
            <w:noWrap/>
            <w:vAlign w:val="center"/>
            <w:hideMark/>
          </w:tcPr>
          <w:p w14:paraId="53D22BB0"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613</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590</w:t>
            </w:r>
          </w:p>
        </w:tc>
        <w:tc>
          <w:tcPr>
            <w:tcW w:w="540" w:type="pct"/>
            <w:tcBorders>
              <w:top w:val="nil"/>
              <w:left w:val="nil"/>
              <w:bottom w:val="nil"/>
              <w:right w:val="nil"/>
            </w:tcBorders>
            <w:shd w:val="clear" w:color="auto" w:fill="BFBFBF" w:themeFill="background1" w:themeFillShade="BF"/>
            <w:noWrap/>
            <w:vAlign w:val="center"/>
            <w:hideMark/>
          </w:tcPr>
          <w:p w14:paraId="40E2E2F8"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84</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107</w:t>
            </w:r>
            <w:r>
              <w:rPr>
                <w:rFonts w:ascii="Calibri" w:eastAsia="Times New Roman" w:hAnsi="Calibri" w:cs="Times New Roman"/>
                <w:color w:val="000000"/>
                <w:sz w:val="20"/>
                <w:szCs w:val="20"/>
                <w:lang w:val="en-GB" w:eastAsia="en-GB"/>
              </w:rPr>
              <w:t xml:space="preserve"> (12.1%)</w:t>
            </w:r>
          </w:p>
        </w:tc>
        <w:tc>
          <w:tcPr>
            <w:tcW w:w="341" w:type="pct"/>
            <w:tcBorders>
              <w:top w:val="nil"/>
              <w:left w:val="nil"/>
              <w:bottom w:val="nil"/>
              <w:right w:val="nil"/>
            </w:tcBorders>
            <w:shd w:val="clear" w:color="auto" w:fill="BFBFBF" w:themeFill="background1" w:themeFillShade="BF"/>
            <w:noWrap/>
            <w:vAlign w:val="center"/>
            <w:hideMark/>
          </w:tcPr>
          <w:p w14:paraId="5B2A0A60"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304</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932</w:t>
            </w:r>
          </w:p>
        </w:tc>
        <w:tc>
          <w:tcPr>
            <w:tcW w:w="533" w:type="pct"/>
            <w:tcBorders>
              <w:top w:val="nil"/>
              <w:left w:val="nil"/>
              <w:bottom w:val="nil"/>
              <w:right w:val="nil"/>
            </w:tcBorders>
            <w:shd w:val="clear" w:color="auto" w:fill="BFBFBF" w:themeFill="background1" w:themeFillShade="BF"/>
            <w:noWrap/>
            <w:vAlign w:val="center"/>
            <w:hideMark/>
          </w:tcPr>
          <w:p w14:paraId="76DCED3F"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122</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434</w:t>
            </w:r>
            <w:r>
              <w:rPr>
                <w:rFonts w:ascii="Calibri" w:eastAsia="Times New Roman" w:hAnsi="Calibri" w:cs="Times New Roman"/>
                <w:color w:val="000000"/>
                <w:sz w:val="20"/>
                <w:szCs w:val="20"/>
                <w:lang w:val="en-GB" w:eastAsia="en-GB"/>
              </w:rPr>
              <w:t xml:space="preserve"> (28.7%)</w:t>
            </w:r>
          </w:p>
        </w:tc>
        <w:tc>
          <w:tcPr>
            <w:tcW w:w="403" w:type="pct"/>
            <w:tcBorders>
              <w:top w:val="nil"/>
              <w:left w:val="nil"/>
              <w:bottom w:val="nil"/>
              <w:right w:val="nil"/>
            </w:tcBorders>
            <w:shd w:val="clear" w:color="auto" w:fill="BFBFBF" w:themeFill="background1" w:themeFillShade="BF"/>
            <w:noWrap/>
            <w:vAlign w:val="center"/>
            <w:hideMark/>
          </w:tcPr>
          <w:p w14:paraId="14868B11"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379</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662</w:t>
            </w:r>
          </w:p>
        </w:tc>
        <w:tc>
          <w:tcPr>
            <w:tcW w:w="482" w:type="pct"/>
            <w:tcBorders>
              <w:top w:val="nil"/>
              <w:left w:val="nil"/>
              <w:bottom w:val="nil"/>
              <w:right w:val="nil"/>
            </w:tcBorders>
            <w:shd w:val="clear" w:color="auto" w:fill="BFBFBF" w:themeFill="background1" w:themeFillShade="BF"/>
            <w:noWrap/>
            <w:vAlign w:val="center"/>
            <w:hideMark/>
          </w:tcPr>
          <w:p w14:paraId="0891C45A" w14:textId="77777777" w:rsidR="00FD16CC" w:rsidRPr="00741EF7" w:rsidRDefault="00FD16CC" w:rsidP="00886847">
            <w:pPr>
              <w:spacing w:after="0" w:line="240" w:lineRule="auto"/>
              <w:jc w:val="center"/>
              <w:rPr>
                <w:rFonts w:ascii="Calibri" w:eastAsia="Times New Roman" w:hAnsi="Calibri" w:cs="Times New Roman"/>
                <w:color w:val="000000"/>
                <w:sz w:val="20"/>
                <w:szCs w:val="20"/>
                <w:lang w:val="en-GB" w:eastAsia="en-GB"/>
              </w:rPr>
            </w:pPr>
            <w:r w:rsidRPr="00741EF7">
              <w:rPr>
                <w:rFonts w:ascii="Calibri" w:eastAsia="Times New Roman" w:hAnsi="Calibri" w:cs="Times New Roman"/>
                <w:color w:val="000000"/>
                <w:sz w:val="20"/>
                <w:szCs w:val="20"/>
                <w:lang w:val="en-GB" w:eastAsia="en-GB"/>
              </w:rPr>
              <w:t>186</w:t>
            </w:r>
            <w:r>
              <w:rPr>
                <w:rFonts w:ascii="Calibri" w:eastAsia="Times New Roman" w:hAnsi="Calibri" w:cs="Times New Roman"/>
                <w:color w:val="000000"/>
                <w:sz w:val="20"/>
                <w:szCs w:val="20"/>
                <w:lang w:val="en-GB" w:eastAsia="en-GB"/>
              </w:rPr>
              <w:t>,</w:t>
            </w:r>
            <w:r w:rsidRPr="00741EF7">
              <w:rPr>
                <w:rFonts w:ascii="Calibri" w:eastAsia="Times New Roman" w:hAnsi="Calibri" w:cs="Times New Roman"/>
                <w:color w:val="000000"/>
                <w:sz w:val="20"/>
                <w:szCs w:val="20"/>
                <w:lang w:val="en-GB" w:eastAsia="en-GB"/>
              </w:rPr>
              <w:t>336</w:t>
            </w:r>
            <w:r>
              <w:rPr>
                <w:rFonts w:ascii="Calibri" w:eastAsia="Times New Roman" w:hAnsi="Calibri" w:cs="Times New Roman"/>
                <w:color w:val="000000"/>
                <w:sz w:val="20"/>
                <w:szCs w:val="20"/>
                <w:lang w:val="en-GB" w:eastAsia="en-GB"/>
              </w:rPr>
              <w:t xml:space="preserve"> (32.9%)</w:t>
            </w:r>
          </w:p>
        </w:tc>
      </w:tr>
      <w:tr w:rsidR="00FD16CC" w:rsidRPr="00741EF7" w14:paraId="7248F1B1" w14:textId="77777777" w:rsidTr="00886847">
        <w:trPr>
          <w:trHeight w:val="454"/>
        </w:trPr>
        <w:tc>
          <w:tcPr>
            <w:tcW w:w="442" w:type="pct"/>
            <w:tcBorders>
              <w:top w:val="nil"/>
              <w:left w:val="nil"/>
              <w:bottom w:val="single" w:sz="2" w:space="0" w:color="auto"/>
              <w:right w:val="nil"/>
            </w:tcBorders>
            <w:shd w:val="clear" w:color="auto" w:fill="auto"/>
            <w:noWrap/>
            <w:vAlign w:val="center"/>
            <w:hideMark/>
          </w:tcPr>
          <w:p w14:paraId="6884F8AF" w14:textId="77777777" w:rsidR="00FD16CC" w:rsidRPr="00741EF7" w:rsidRDefault="00FD16CC" w:rsidP="00886847">
            <w:pPr>
              <w:spacing w:after="0" w:line="240" w:lineRule="auto"/>
              <w:rPr>
                <w:rFonts w:ascii="Calibri" w:eastAsia="Times New Roman" w:hAnsi="Calibri" w:cs="Times New Roman"/>
                <w:b/>
                <w:bCs/>
                <w:color w:val="000000"/>
                <w:sz w:val="18"/>
                <w:szCs w:val="18"/>
                <w:lang w:val="en-GB" w:eastAsia="en-GB"/>
              </w:rPr>
            </w:pPr>
            <w:r w:rsidRPr="00741EF7">
              <w:rPr>
                <w:rFonts w:ascii="Calibri" w:eastAsia="Times New Roman" w:hAnsi="Calibri" w:cs="Times New Roman"/>
                <w:b/>
                <w:bCs/>
                <w:color w:val="000000"/>
                <w:sz w:val="18"/>
                <w:szCs w:val="18"/>
                <w:lang w:val="en-GB" w:eastAsia="en-GB"/>
              </w:rPr>
              <w:t>West Nile</w:t>
            </w:r>
          </w:p>
        </w:tc>
        <w:tc>
          <w:tcPr>
            <w:tcW w:w="393" w:type="pct"/>
            <w:tcBorders>
              <w:top w:val="nil"/>
              <w:left w:val="nil"/>
              <w:bottom w:val="single" w:sz="2" w:space="0" w:color="auto"/>
              <w:right w:val="nil"/>
            </w:tcBorders>
            <w:shd w:val="clear" w:color="auto" w:fill="auto"/>
            <w:noWrap/>
            <w:vAlign w:val="center"/>
            <w:hideMark/>
          </w:tcPr>
          <w:p w14:paraId="50453C45" w14:textId="77777777" w:rsidR="00FD16CC" w:rsidRPr="00741EF7" w:rsidRDefault="00FD16CC" w:rsidP="00886847">
            <w:pPr>
              <w:spacing w:after="0" w:line="240" w:lineRule="auto"/>
              <w:jc w:val="center"/>
              <w:rPr>
                <w:rFonts w:ascii="Calibri" w:eastAsia="Times New Roman" w:hAnsi="Calibri" w:cs="Times New Roman"/>
                <w:color w:val="000000"/>
                <w:sz w:val="18"/>
                <w:szCs w:val="18"/>
                <w:lang w:val="en-GB" w:eastAsia="en-GB"/>
              </w:rPr>
            </w:pPr>
            <w:r w:rsidRPr="00741EF7">
              <w:rPr>
                <w:rFonts w:ascii="Calibri" w:eastAsia="Times New Roman" w:hAnsi="Calibri" w:cs="Times New Roman"/>
                <w:color w:val="000000"/>
                <w:sz w:val="18"/>
                <w:szCs w:val="18"/>
                <w:lang w:val="en-GB" w:eastAsia="en-GB"/>
              </w:rPr>
              <w:t>479</w:t>
            </w:r>
            <w:r w:rsidRPr="00F41240">
              <w:rPr>
                <w:rFonts w:ascii="Calibri" w:eastAsia="Times New Roman" w:hAnsi="Calibri" w:cs="Times New Roman"/>
                <w:color w:val="000000"/>
                <w:sz w:val="18"/>
                <w:szCs w:val="18"/>
                <w:lang w:val="en-GB" w:eastAsia="en-GB"/>
              </w:rPr>
              <w:t>,</w:t>
            </w:r>
            <w:r w:rsidRPr="00741EF7">
              <w:rPr>
                <w:rFonts w:ascii="Calibri" w:eastAsia="Times New Roman" w:hAnsi="Calibri" w:cs="Times New Roman"/>
                <w:color w:val="000000"/>
                <w:sz w:val="18"/>
                <w:szCs w:val="18"/>
                <w:lang w:val="en-GB" w:eastAsia="en-GB"/>
              </w:rPr>
              <w:t>283</w:t>
            </w:r>
          </w:p>
        </w:tc>
        <w:tc>
          <w:tcPr>
            <w:tcW w:w="540" w:type="pct"/>
            <w:tcBorders>
              <w:top w:val="nil"/>
              <w:left w:val="nil"/>
              <w:bottom w:val="single" w:sz="2" w:space="0" w:color="auto"/>
              <w:right w:val="nil"/>
            </w:tcBorders>
            <w:shd w:val="clear" w:color="auto" w:fill="auto"/>
            <w:noWrap/>
            <w:vAlign w:val="center"/>
            <w:hideMark/>
          </w:tcPr>
          <w:p w14:paraId="0B261616" w14:textId="77777777" w:rsidR="00FD16CC" w:rsidRPr="00741EF7" w:rsidRDefault="00FD16CC" w:rsidP="00886847">
            <w:pPr>
              <w:spacing w:after="0" w:line="240" w:lineRule="auto"/>
              <w:jc w:val="center"/>
              <w:rPr>
                <w:rFonts w:ascii="Calibri" w:eastAsia="Times New Roman" w:hAnsi="Calibri" w:cs="Times New Roman"/>
                <w:color w:val="000000"/>
                <w:sz w:val="18"/>
                <w:szCs w:val="18"/>
                <w:lang w:val="en-GB" w:eastAsia="en-GB"/>
              </w:rPr>
            </w:pPr>
            <w:r w:rsidRPr="00741EF7">
              <w:rPr>
                <w:rFonts w:ascii="Calibri" w:eastAsia="Times New Roman" w:hAnsi="Calibri" w:cs="Times New Roman"/>
                <w:color w:val="000000"/>
                <w:sz w:val="18"/>
                <w:szCs w:val="18"/>
                <w:lang w:val="en-GB" w:eastAsia="en-GB"/>
              </w:rPr>
              <w:t>17</w:t>
            </w:r>
            <w:r w:rsidRPr="00F41240">
              <w:rPr>
                <w:rFonts w:ascii="Calibri" w:eastAsia="Times New Roman" w:hAnsi="Calibri" w:cs="Times New Roman"/>
                <w:color w:val="000000"/>
                <w:sz w:val="18"/>
                <w:szCs w:val="18"/>
                <w:lang w:val="en-GB" w:eastAsia="en-GB"/>
              </w:rPr>
              <w:t>,</w:t>
            </w:r>
            <w:r w:rsidRPr="00741EF7">
              <w:rPr>
                <w:rFonts w:ascii="Calibri" w:eastAsia="Times New Roman" w:hAnsi="Calibri" w:cs="Times New Roman"/>
                <w:color w:val="000000"/>
                <w:sz w:val="18"/>
                <w:szCs w:val="18"/>
                <w:lang w:val="en-GB" w:eastAsia="en-GB"/>
              </w:rPr>
              <w:t>873</w:t>
            </w:r>
            <w:r w:rsidRPr="00F41240">
              <w:rPr>
                <w:rFonts w:ascii="Calibri" w:eastAsia="Times New Roman" w:hAnsi="Calibri" w:cs="Times New Roman"/>
                <w:color w:val="000000"/>
                <w:sz w:val="18"/>
                <w:szCs w:val="18"/>
                <w:lang w:val="en-GB" w:eastAsia="en-GB"/>
              </w:rPr>
              <w:t xml:space="preserve"> (3.6%)</w:t>
            </w:r>
          </w:p>
        </w:tc>
        <w:tc>
          <w:tcPr>
            <w:tcW w:w="393" w:type="pct"/>
            <w:tcBorders>
              <w:top w:val="nil"/>
              <w:left w:val="nil"/>
              <w:bottom w:val="single" w:sz="2" w:space="0" w:color="auto"/>
              <w:right w:val="nil"/>
            </w:tcBorders>
            <w:shd w:val="clear" w:color="auto" w:fill="auto"/>
            <w:noWrap/>
            <w:vAlign w:val="center"/>
            <w:hideMark/>
          </w:tcPr>
          <w:p w14:paraId="4F29F680" w14:textId="1E3A356C" w:rsidR="00FD16CC" w:rsidRPr="00741EF7" w:rsidRDefault="00F221B9" w:rsidP="00886847">
            <w:pPr>
              <w:spacing w:after="0" w:line="240" w:lineRule="auto"/>
              <w:jc w:val="center"/>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1</w:t>
            </w:r>
            <w:r w:rsidR="00FD16CC" w:rsidRPr="00F41240">
              <w:rPr>
                <w:rFonts w:ascii="Calibri" w:eastAsia="Times New Roman" w:hAnsi="Calibri" w:cs="Times New Roman"/>
                <w:color w:val="000000"/>
                <w:sz w:val="18"/>
                <w:szCs w:val="18"/>
                <w:lang w:val="en-GB" w:eastAsia="en-GB"/>
              </w:rPr>
              <w:t>,</w:t>
            </w:r>
            <w:r>
              <w:rPr>
                <w:rFonts w:ascii="Calibri" w:eastAsia="Times New Roman" w:hAnsi="Calibri" w:cs="Times New Roman"/>
                <w:color w:val="000000"/>
                <w:sz w:val="18"/>
                <w:szCs w:val="18"/>
                <w:lang w:val="en-GB" w:eastAsia="en-GB"/>
              </w:rPr>
              <w:t>185</w:t>
            </w:r>
            <w:r w:rsidR="00FD16CC" w:rsidRPr="00F41240">
              <w:rPr>
                <w:rFonts w:ascii="Calibri" w:eastAsia="Times New Roman" w:hAnsi="Calibri" w:cs="Times New Roman"/>
                <w:color w:val="000000"/>
                <w:sz w:val="18"/>
                <w:szCs w:val="18"/>
                <w:lang w:val="en-GB" w:eastAsia="en-GB"/>
              </w:rPr>
              <w:t>,</w:t>
            </w:r>
            <w:r>
              <w:rPr>
                <w:rFonts w:ascii="Calibri" w:eastAsia="Times New Roman" w:hAnsi="Calibri" w:cs="Times New Roman"/>
                <w:color w:val="000000"/>
                <w:sz w:val="18"/>
                <w:szCs w:val="18"/>
                <w:lang w:val="en-GB" w:eastAsia="en-GB"/>
              </w:rPr>
              <w:t>521</w:t>
            </w:r>
          </w:p>
        </w:tc>
        <w:tc>
          <w:tcPr>
            <w:tcW w:w="540" w:type="pct"/>
            <w:tcBorders>
              <w:top w:val="nil"/>
              <w:left w:val="nil"/>
              <w:bottom w:val="single" w:sz="2" w:space="0" w:color="auto"/>
              <w:right w:val="nil"/>
            </w:tcBorders>
            <w:shd w:val="clear" w:color="auto" w:fill="auto"/>
            <w:noWrap/>
            <w:vAlign w:val="center"/>
            <w:hideMark/>
          </w:tcPr>
          <w:p w14:paraId="17E2624C" w14:textId="4ACD3316" w:rsidR="00FD16CC" w:rsidRPr="00741EF7" w:rsidRDefault="00FD16CC" w:rsidP="00886847">
            <w:pPr>
              <w:spacing w:after="0" w:line="240" w:lineRule="auto"/>
              <w:jc w:val="center"/>
              <w:rPr>
                <w:rFonts w:ascii="Calibri" w:eastAsia="Times New Roman" w:hAnsi="Calibri" w:cs="Times New Roman"/>
                <w:color w:val="000000"/>
                <w:sz w:val="18"/>
                <w:szCs w:val="18"/>
                <w:lang w:val="en-GB" w:eastAsia="en-GB"/>
              </w:rPr>
            </w:pPr>
            <w:r w:rsidRPr="00741EF7">
              <w:rPr>
                <w:rFonts w:ascii="Calibri" w:eastAsia="Times New Roman" w:hAnsi="Calibri" w:cs="Times New Roman"/>
                <w:color w:val="000000"/>
                <w:sz w:val="18"/>
                <w:szCs w:val="18"/>
                <w:lang w:val="en-GB" w:eastAsia="en-GB"/>
              </w:rPr>
              <w:t>66</w:t>
            </w:r>
            <w:r w:rsidRPr="00F41240">
              <w:rPr>
                <w:rFonts w:ascii="Calibri" w:eastAsia="Times New Roman" w:hAnsi="Calibri" w:cs="Times New Roman"/>
                <w:color w:val="000000"/>
                <w:sz w:val="18"/>
                <w:szCs w:val="18"/>
                <w:lang w:val="en-GB" w:eastAsia="en-GB"/>
              </w:rPr>
              <w:t>,</w:t>
            </w:r>
            <w:r w:rsidRPr="00741EF7">
              <w:rPr>
                <w:rFonts w:ascii="Calibri" w:eastAsia="Times New Roman" w:hAnsi="Calibri" w:cs="Times New Roman"/>
                <w:color w:val="000000"/>
                <w:sz w:val="18"/>
                <w:szCs w:val="18"/>
                <w:lang w:val="en-GB" w:eastAsia="en-GB"/>
              </w:rPr>
              <w:t>045</w:t>
            </w:r>
            <w:r w:rsidRPr="00F41240">
              <w:rPr>
                <w:rFonts w:ascii="Calibri" w:eastAsia="Times New Roman" w:hAnsi="Calibri" w:cs="Times New Roman"/>
                <w:color w:val="000000"/>
                <w:sz w:val="18"/>
                <w:szCs w:val="18"/>
                <w:lang w:val="en-GB" w:eastAsia="en-GB"/>
              </w:rPr>
              <w:t xml:space="preserve"> (</w:t>
            </w:r>
            <w:r w:rsidR="00F221B9">
              <w:rPr>
                <w:rFonts w:ascii="Calibri" w:eastAsia="Times New Roman" w:hAnsi="Calibri" w:cs="Times New Roman"/>
                <w:color w:val="000000"/>
                <w:sz w:val="18"/>
                <w:szCs w:val="18"/>
                <w:lang w:val="en-GB" w:eastAsia="en-GB"/>
              </w:rPr>
              <w:t>5</w:t>
            </w:r>
            <w:r w:rsidRPr="00F41240">
              <w:rPr>
                <w:rFonts w:ascii="Calibri" w:eastAsia="Times New Roman" w:hAnsi="Calibri" w:cs="Times New Roman"/>
                <w:color w:val="000000"/>
                <w:sz w:val="18"/>
                <w:szCs w:val="18"/>
                <w:lang w:val="en-GB" w:eastAsia="en-GB"/>
              </w:rPr>
              <w:t>.3%)</w:t>
            </w:r>
          </w:p>
        </w:tc>
        <w:tc>
          <w:tcPr>
            <w:tcW w:w="393" w:type="pct"/>
            <w:tcBorders>
              <w:top w:val="nil"/>
              <w:left w:val="nil"/>
              <w:bottom w:val="single" w:sz="2" w:space="0" w:color="auto"/>
              <w:right w:val="nil"/>
            </w:tcBorders>
            <w:shd w:val="clear" w:color="auto" w:fill="auto"/>
            <w:noWrap/>
            <w:vAlign w:val="center"/>
            <w:hideMark/>
          </w:tcPr>
          <w:p w14:paraId="62E1B042" w14:textId="77777777" w:rsidR="00FD16CC" w:rsidRPr="00741EF7" w:rsidRDefault="00FD16CC" w:rsidP="00886847">
            <w:pPr>
              <w:spacing w:after="0" w:line="240" w:lineRule="auto"/>
              <w:jc w:val="center"/>
              <w:rPr>
                <w:rFonts w:ascii="Calibri" w:eastAsia="Times New Roman" w:hAnsi="Calibri" w:cs="Times New Roman"/>
                <w:color w:val="000000"/>
                <w:sz w:val="18"/>
                <w:szCs w:val="18"/>
                <w:lang w:val="en-GB" w:eastAsia="en-GB"/>
              </w:rPr>
            </w:pPr>
            <w:r w:rsidRPr="00741EF7">
              <w:rPr>
                <w:rFonts w:ascii="Calibri" w:eastAsia="Times New Roman" w:hAnsi="Calibri" w:cs="Times New Roman"/>
                <w:color w:val="000000"/>
                <w:sz w:val="18"/>
                <w:szCs w:val="18"/>
                <w:lang w:val="en-GB" w:eastAsia="en-GB"/>
              </w:rPr>
              <w:t>1</w:t>
            </w:r>
            <w:r w:rsidRPr="00F41240">
              <w:rPr>
                <w:rFonts w:ascii="Calibri" w:eastAsia="Times New Roman" w:hAnsi="Calibri" w:cs="Times New Roman"/>
                <w:color w:val="000000"/>
                <w:sz w:val="18"/>
                <w:szCs w:val="18"/>
                <w:lang w:val="en-GB" w:eastAsia="en-GB"/>
              </w:rPr>
              <w:t>,</w:t>
            </w:r>
            <w:r w:rsidRPr="00741EF7">
              <w:rPr>
                <w:rFonts w:ascii="Calibri" w:eastAsia="Times New Roman" w:hAnsi="Calibri" w:cs="Times New Roman"/>
                <w:color w:val="000000"/>
                <w:sz w:val="18"/>
                <w:szCs w:val="18"/>
                <w:lang w:val="en-GB" w:eastAsia="en-GB"/>
              </w:rPr>
              <w:t>367</w:t>
            </w:r>
            <w:r w:rsidRPr="00F41240">
              <w:rPr>
                <w:rFonts w:ascii="Calibri" w:eastAsia="Times New Roman" w:hAnsi="Calibri" w:cs="Times New Roman"/>
                <w:color w:val="000000"/>
                <w:sz w:val="18"/>
                <w:szCs w:val="18"/>
                <w:lang w:val="en-GB" w:eastAsia="en-GB"/>
              </w:rPr>
              <w:t>,</w:t>
            </w:r>
            <w:r w:rsidRPr="00741EF7">
              <w:rPr>
                <w:rFonts w:ascii="Calibri" w:eastAsia="Times New Roman" w:hAnsi="Calibri" w:cs="Times New Roman"/>
                <w:color w:val="000000"/>
                <w:sz w:val="18"/>
                <w:szCs w:val="18"/>
                <w:lang w:val="en-GB" w:eastAsia="en-GB"/>
              </w:rPr>
              <w:t>089</w:t>
            </w:r>
          </w:p>
        </w:tc>
        <w:tc>
          <w:tcPr>
            <w:tcW w:w="540" w:type="pct"/>
            <w:tcBorders>
              <w:top w:val="nil"/>
              <w:left w:val="nil"/>
              <w:bottom w:val="single" w:sz="2" w:space="0" w:color="auto"/>
              <w:right w:val="nil"/>
            </w:tcBorders>
            <w:shd w:val="clear" w:color="auto" w:fill="auto"/>
            <w:noWrap/>
            <w:vAlign w:val="center"/>
            <w:hideMark/>
          </w:tcPr>
          <w:p w14:paraId="0733CC17" w14:textId="77777777" w:rsidR="00FD16CC" w:rsidRPr="00741EF7" w:rsidRDefault="00FD16CC" w:rsidP="00886847">
            <w:pPr>
              <w:spacing w:after="0" w:line="240" w:lineRule="auto"/>
              <w:jc w:val="center"/>
              <w:rPr>
                <w:rFonts w:ascii="Calibri" w:eastAsia="Times New Roman" w:hAnsi="Calibri" w:cs="Times New Roman"/>
                <w:color w:val="000000"/>
                <w:sz w:val="18"/>
                <w:szCs w:val="18"/>
                <w:lang w:val="en-GB" w:eastAsia="en-GB"/>
              </w:rPr>
            </w:pPr>
            <w:r w:rsidRPr="00741EF7">
              <w:rPr>
                <w:rFonts w:ascii="Calibri" w:eastAsia="Times New Roman" w:hAnsi="Calibri" w:cs="Times New Roman"/>
                <w:color w:val="000000"/>
                <w:sz w:val="18"/>
                <w:szCs w:val="18"/>
                <w:lang w:val="en-GB" w:eastAsia="en-GB"/>
              </w:rPr>
              <w:t>132</w:t>
            </w:r>
            <w:r w:rsidRPr="00F41240">
              <w:rPr>
                <w:rFonts w:ascii="Calibri" w:eastAsia="Times New Roman" w:hAnsi="Calibri" w:cs="Times New Roman"/>
                <w:color w:val="000000"/>
                <w:sz w:val="18"/>
                <w:szCs w:val="18"/>
                <w:lang w:val="en-GB" w:eastAsia="en-GB"/>
              </w:rPr>
              <w:t>,</w:t>
            </w:r>
            <w:r w:rsidRPr="00741EF7">
              <w:rPr>
                <w:rFonts w:ascii="Calibri" w:eastAsia="Times New Roman" w:hAnsi="Calibri" w:cs="Times New Roman"/>
                <w:color w:val="000000"/>
                <w:sz w:val="18"/>
                <w:szCs w:val="18"/>
                <w:lang w:val="en-GB" w:eastAsia="en-GB"/>
              </w:rPr>
              <w:t>152</w:t>
            </w:r>
            <w:r w:rsidRPr="00F41240">
              <w:rPr>
                <w:rFonts w:ascii="Calibri" w:eastAsia="Times New Roman" w:hAnsi="Calibri" w:cs="Times New Roman"/>
                <w:color w:val="000000"/>
                <w:sz w:val="18"/>
                <w:szCs w:val="18"/>
                <w:lang w:val="en-GB" w:eastAsia="en-GB"/>
              </w:rPr>
              <w:t xml:space="preserve"> (8.8%)</w:t>
            </w:r>
          </w:p>
        </w:tc>
        <w:tc>
          <w:tcPr>
            <w:tcW w:w="341" w:type="pct"/>
            <w:tcBorders>
              <w:top w:val="nil"/>
              <w:left w:val="nil"/>
              <w:bottom w:val="single" w:sz="2" w:space="0" w:color="auto"/>
              <w:right w:val="nil"/>
            </w:tcBorders>
            <w:shd w:val="clear" w:color="auto" w:fill="auto"/>
            <w:noWrap/>
            <w:vAlign w:val="center"/>
            <w:hideMark/>
          </w:tcPr>
          <w:p w14:paraId="69294859" w14:textId="77777777" w:rsidR="00FD16CC" w:rsidRPr="00741EF7" w:rsidRDefault="00FD16CC" w:rsidP="00886847">
            <w:pPr>
              <w:spacing w:after="0" w:line="240" w:lineRule="auto"/>
              <w:jc w:val="center"/>
              <w:rPr>
                <w:rFonts w:ascii="Calibri" w:eastAsia="Times New Roman" w:hAnsi="Calibri" w:cs="Times New Roman"/>
                <w:color w:val="000000"/>
                <w:sz w:val="18"/>
                <w:szCs w:val="18"/>
                <w:lang w:val="en-GB" w:eastAsia="en-GB"/>
              </w:rPr>
            </w:pPr>
            <w:r w:rsidRPr="00741EF7">
              <w:rPr>
                <w:rFonts w:ascii="Calibri" w:eastAsia="Times New Roman" w:hAnsi="Calibri" w:cs="Times New Roman"/>
                <w:color w:val="000000"/>
                <w:sz w:val="18"/>
                <w:szCs w:val="18"/>
                <w:lang w:val="en-GB" w:eastAsia="en-GB"/>
              </w:rPr>
              <w:t>1</w:t>
            </w:r>
            <w:r w:rsidRPr="00F41240">
              <w:rPr>
                <w:rFonts w:ascii="Calibri" w:eastAsia="Times New Roman" w:hAnsi="Calibri" w:cs="Times New Roman"/>
                <w:color w:val="000000"/>
                <w:sz w:val="18"/>
                <w:szCs w:val="18"/>
                <w:lang w:val="en-GB" w:eastAsia="en-GB"/>
              </w:rPr>
              <w:t>,</w:t>
            </w:r>
            <w:r w:rsidRPr="00741EF7">
              <w:rPr>
                <w:rFonts w:ascii="Calibri" w:eastAsia="Times New Roman" w:hAnsi="Calibri" w:cs="Times New Roman"/>
                <w:color w:val="000000"/>
                <w:sz w:val="18"/>
                <w:szCs w:val="18"/>
                <w:lang w:val="en-GB" w:eastAsia="en-GB"/>
              </w:rPr>
              <w:t>486</w:t>
            </w:r>
            <w:r w:rsidRPr="00F41240">
              <w:rPr>
                <w:rFonts w:ascii="Calibri" w:eastAsia="Times New Roman" w:hAnsi="Calibri" w:cs="Times New Roman"/>
                <w:color w:val="000000"/>
                <w:sz w:val="18"/>
                <w:szCs w:val="18"/>
                <w:lang w:val="en-GB" w:eastAsia="en-GB"/>
              </w:rPr>
              <w:t>,</w:t>
            </w:r>
            <w:r w:rsidRPr="00741EF7">
              <w:rPr>
                <w:rFonts w:ascii="Calibri" w:eastAsia="Times New Roman" w:hAnsi="Calibri" w:cs="Times New Roman"/>
                <w:color w:val="000000"/>
                <w:sz w:val="18"/>
                <w:szCs w:val="18"/>
                <w:lang w:val="en-GB" w:eastAsia="en-GB"/>
              </w:rPr>
              <w:t>110</w:t>
            </w:r>
          </w:p>
        </w:tc>
        <w:tc>
          <w:tcPr>
            <w:tcW w:w="533" w:type="pct"/>
            <w:tcBorders>
              <w:top w:val="nil"/>
              <w:left w:val="nil"/>
              <w:bottom w:val="single" w:sz="2" w:space="0" w:color="auto"/>
              <w:right w:val="nil"/>
            </w:tcBorders>
            <w:shd w:val="clear" w:color="auto" w:fill="auto"/>
            <w:noWrap/>
            <w:vAlign w:val="center"/>
            <w:hideMark/>
          </w:tcPr>
          <w:p w14:paraId="6FC96ECC" w14:textId="77777777" w:rsidR="00FD16CC" w:rsidRPr="00741EF7" w:rsidRDefault="00FD16CC" w:rsidP="00886847">
            <w:pPr>
              <w:spacing w:after="0" w:line="240" w:lineRule="auto"/>
              <w:jc w:val="center"/>
              <w:rPr>
                <w:rFonts w:ascii="Calibri" w:eastAsia="Times New Roman" w:hAnsi="Calibri" w:cs="Times New Roman"/>
                <w:color w:val="000000"/>
                <w:sz w:val="18"/>
                <w:szCs w:val="18"/>
                <w:lang w:val="en-GB" w:eastAsia="en-GB"/>
              </w:rPr>
            </w:pPr>
            <w:r w:rsidRPr="00741EF7">
              <w:rPr>
                <w:rFonts w:ascii="Calibri" w:eastAsia="Times New Roman" w:hAnsi="Calibri" w:cs="Times New Roman"/>
                <w:color w:val="000000"/>
                <w:sz w:val="18"/>
                <w:szCs w:val="18"/>
                <w:lang w:val="en-GB" w:eastAsia="en-GB"/>
              </w:rPr>
              <w:t>140</w:t>
            </w:r>
            <w:r w:rsidRPr="00F41240">
              <w:rPr>
                <w:rFonts w:ascii="Calibri" w:eastAsia="Times New Roman" w:hAnsi="Calibri" w:cs="Times New Roman"/>
                <w:color w:val="000000"/>
                <w:sz w:val="18"/>
                <w:szCs w:val="18"/>
                <w:lang w:val="en-GB" w:eastAsia="en-GB"/>
              </w:rPr>
              <w:t>,</w:t>
            </w:r>
            <w:r w:rsidRPr="00741EF7">
              <w:rPr>
                <w:rFonts w:ascii="Calibri" w:eastAsia="Times New Roman" w:hAnsi="Calibri" w:cs="Times New Roman"/>
                <w:color w:val="000000"/>
                <w:sz w:val="18"/>
                <w:szCs w:val="18"/>
                <w:lang w:val="en-GB" w:eastAsia="en-GB"/>
              </w:rPr>
              <w:t>520</w:t>
            </w:r>
            <w:r w:rsidRPr="00F41240">
              <w:rPr>
                <w:rFonts w:ascii="Calibri" w:eastAsia="Times New Roman" w:hAnsi="Calibri" w:cs="Times New Roman"/>
                <w:color w:val="000000"/>
                <w:sz w:val="18"/>
                <w:szCs w:val="18"/>
                <w:lang w:val="en-GB" w:eastAsia="en-GB"/>
              </w:rPr>
              <w:t xml:space="preserve"> (8.6%)</w:t>
            </w:r>
          </w:p>
        </w:tc>
        <w:tc>
          <w:tcPr>
            <w:tcW w:w="403" w:type="pct"/>
            <w:tcBorders>
              <w:top w:val="nil"/>
              <w:left w:val="nil"/>
              <w:bottom w:val="single" w:sz="2" w:space="0" w:color="auto"/>
              <w:right w:val="nil"/>
            </w:tcBorders>
            <w:shd w:val="clear" w:color="auto" w:fill="auto"/>
            <w:noWrap/>
            <w:vAlign w:val="center"/>
            <w:hideMark/>
          </w:tcPr>
          <w:p w14:paraId="1DAC7A9A" w14:textId="77777777" w:rsidR="00FD16CC" w:rsidRPr="00741EF7" w:rsidRDefault="00FD16CC" w:rsidP="00886847">
            <w:pPr>
              <w:spacing w:after="0" w:line="240" w:lineRule="auto"/>
              <w:jc w:val="center"/>
              <w:rPr>
                <w:rFonts w:ascii="Calibri" w:eastAsia="Times New Roman" w:hAnsi="Calibri" w:cs="Times New Roman"/>
                <w:color w:val="000000"/>
                <w:sz w:val="18"/>
                <w:szCs w:val="18"/>
                <w:lang w:val="en-GB" w:eastAsia="en-GB"/>
              </w:rPr>
            </w:pPr>
            <w:r w:rsidRPr="00741EF7">
              <w:rPr>
                <w:rFonts w:ascii="Calibri" w:eastAsia="Times New Roman" w:hAnsi="Calibri" w:cs="Times New Roman"/>
                <w:color w:val="000000"/>
                <w:sz w:val="18"/>
                <w:szCs w:val="18"/>
                <w:lang w:val="en-GB" w:eastAsia="en-GB"/>
              </w:rPr>
              <w:t>1</w:t>
            </w:r>
            <w:r>
              <w:rPr>
                <w:rFonts w:ascii="Calibri" w:eastAsia="Times New Roman" w:hAnsi="Calibri" w:cs="Times New Roman"/>
                <w:color w:val="000000"/>
                <w:sz w:val="18"/>
                <w:szCs w:val="18"/>
                <w:lang w:val="en-GB" w:eastAsia="en-GB"/>
              </w:rPr>
              <w:t>,</w:t>
            </w:r>
            <w:r w:rsidRPr="00741EF7">
              <w:rPr>
                <w:rFonts w:ascii="Calibri" w:eastAsia="Times New Roman" w:hAnsi="Calibri" w:cs="Times New Roman"/>
                <w:color w:val="000000"/>
                <w:sz w:val="18"/>
                <w:szCs w:val="18"/>
                <w:lang w:val="en-GB" w:eastAsia="en-GB"/>
              </w:rPr>
              <w:t>445</w:t>
            </w:r>
            <w:r>
              <w:rPr>
                <w:rFonts w:ascii="Calibri" w:eastAsia="Times New Roman" w:hAnsi="Calibri" w:cs="Times New Roman"/>
                <w:color w:val="000000"/>
                <w:sz w:val="18"/>
                <w:szCs w:val="18"/>
                <w:lang w:val="en-GB" w:eastAsia="en-GB"/>
              </w:rPr>
              <w:t>,</w:t>
            </w:r>
            <w:r w:rsidRPr="00741EF7">
              <w:rPr>
                <w:rFonts w:ascii="Calibri" w:eastAsia="Times New Roman" w:hAnsi="Calibri" w:cs="Times New Roman"/>
                <w:color w:val="000000"/>
                <w:sz w:val="18"/>
                <w:szCs w:val="18"/>
                <w:lang w:val="en-GB" w:eastAsia="en-GB"/>
              </w:rPr>
              <w:t>541</w:t>
            </w:r>
          </w:p>
        </w:tc>
        <w:tc>
          <w:tcPr>
            <w:tcW w:w="482" w:type="pct"/>
            <w:tcBorders>
              <w:top w:val="nil"/>
              <w:left w:val="nil"/>
              <w:bottom w:val="single" w:sz="2" w:space="0" w:color="auto"/>
              <w:right w:val="nil"/>
            </w:tcBorders>
            <w:shd w:val="clear" w:color="auto" w:fill="auto"/>
            <w:noWrap/>
            <w:vAlign w:val="center"/>
            <w:hideMark/>
          </w:tcPr>
          <w:p w14:paraId="7CE82E66" w14:textId="77777777" w:rsidR="00FD16CC" w:rsidRPr="00741EF7" w:rsidRDefault="00FD16CC" w:rsidP="00886847">
            <w:pPr>
              <w:spacing w:after="0" w:line="240" w:lineRule="auto"/>
              <w:jc w:val="center"/>
              <w:rPr>
                <w:rFonts w:ascii="Calibri" w:eastAsia="Times New Roman" w:hAnsi="Calibri" w:cs="Times New Roman"/>
                <w:color w:val="000000"/>
                <w:sz w:val="18"/>
                <w:szCs w:val="18"/>
                <w:lang w:val="en-GB" w:eastAsia="en-GB"/>
              </w:rPr>
            </w:pPr>
            <w:r w:rsidRPr="00741EF7">
              <w:rPr>
                <w:rFonts w:ascii="Calibri" w:eastAsia="Times New Roman" w:hAnsi="Calibri" w:cs="Times New Roman"/>
                <w:color w:val="000000"/>
                <w:sz w:val="18"/>
                <w:szCs w:val="18"/>
                <w:lang w:val="en-GB" w:eastAsia="en-GB"/>
              </w:rPr>
              <w:t>283</w:t>
            </w:r>
            <w:r>
              <w:rPr>
                <w:rFonts w:ascii="Calibri" w:eastAsia="Times New Roman" w:hAnsi="Calibri" w:cs="Times New Roman"/>
                <w:color w:val="000000"/>
                <w:sz w:val="18"/>
                <w:szCs w:val="18"/>
                <w:lang w:val="en-GB" w:eastAsia="en-GB"/>
              </w:rPr>
              <w:t>,</w:t>
            </w:r>
            <w:r w:rsidRPr="00741EF7">
              <w:rPr>
                <w:rFonts w:ascii="Calibri" w:eastAsia="Times New Roman" w:hAnsi="Calibri" w:cs="Times New Roman"/>
                <w:color w:val="000000"/>
                <w:sz w:val="18"/>
                <w:szCs w:val="18"/>
                <w:lang w:val="en-GB" w:eastAsia="en-GB"/>
              </w:rPr>
              <w:t>897</w:t>
            </w:r>
            <w:r w:rsidRPr="00F41240">
              <w:rPr>
                <w:rFonts w:ascii="Calibri" w:eastAsia="Times New Roman" w:hAnsi="Calibri" w:cs="Times New Roman"/>
                <w:color w:val="000000"/>
                <w:sz w:val="18"/>
                <w:szCs w:val="18"/>
                <w:lang w:val="en-GB" w:eastAsia="en-GB"/>
              </w:rPr>
              <w:t xml:space="preserve"> (16.4%)</w:t>
            </w:r>
          </w:p>
        </w:tc>
      </w:tr>
      <w:tr w:rsidR="00FD16CC" w:rsidRPr="00741EF7" w14:paraId="46C62AE3" w14:textId="77777777" w:rsidTr="00886847">
        <w:trPr>
          <w:trHeight w:val="454"/>
        </w:trPr>
        <w:tc>
          <w:tcPr>
            <w:tcW w:w="442" w:type="pct"/>
            <w:tcBorders>
              <w:top w:val="single" w:sz="2" w:space="0" w:color="auto"/>
              <w:left w:val="nil"/>
              <w:bottom w:val="single" w:sz="12" w:space="0" w:color="auto"/>
              <w:right w:val="nil"/>
            </w:tcBorders>
            <w:shd w:val="clear" w:color="auto" w:fill="BFBFBF" w:themeFill="background1" w:themeFillShade="BF"/>
            <w:noWrap/>
            <w:vAlign w:val="center"/>
            <w:hideMark/>
          </w:tcPr>
          <w:p w14:paraId="736D1034" w14:textId="77777777" w:rsidR="00FD16CC" w:rsidRPr="00741EF7" w:rsidRDefault="00FD16CC" w:rsidP="00886847">
            <w:pPr>
              <w:spacing w:after="0" w:line="240" w:lineRule="auto"/>
              <w:rPr>
                <w:rFonts w:ascii="Calibri" w:eastAsia="Times New Roman" w:hAnsi="Calibri" w:cs="Times New Roman"/>
                <w:b/>
                <w:bCs/>
                <w:color w:val="000000"/>
                <w:sz w:val="18"/>
                <w:szCs w:val="18"/>
                <w:lang w:val="en-GB" w:eastAsia="en-GB"/>
              </w:rPr>
            </w:pPr>
            <w:r w:rsidRPr="00741EF7">
              <w:rPr>
                <w:rFonts w:ascii="Calibri" w:eastAsia="Times New Roman" w:hAnsi="Calibri" w:cs="Times New Roman"/>
                <w:b/>
                <w:bCs/>
                <w:color w:val="000000"/>
                <w:sz w:val="18"/>
                <w:szCs w:val="18"/>
                <w:lang w:val="en-GB" w:eastAsia="en-GB"/>
              </w:rPr>
              <w:t>Overall</w:t>
            </w:r>
          </w:p>
        </w:tc>
        <w:tc>
          <w:tcPr>
            <w:tcW w:w="393" w:type="pct"/>
            <w:tcBorders>
              <w:top w:val="single" w:sz="2" w:space="0" w:color="auto"/>
              <w:left w:val="nil"/>
              <w:bottom w:val="single" w:sz="12" w:space="0" w:color="auto"/>
              <w:right w:val="nil"/>
            </w:tcBorders>
            <w:shd w:val="clear" w:color="auto" w:fill="BFBFBF" w:themeFill="background1" w:themeFillShade="BF"/>
            <w:noWrap/>
            <w:vAlign w:val="center"/>
            <w:hideMark/>
          </w:tcPr>
          <w:p w14:paraId="3A13934D" w14:textId="6CBFDA7F" w:rsidR="00FD16CC" w:rsidRPr="00741EF7" w:rsidRDefault="00C2414D" w:rsidP="00886847">
            <w:pPr>
              <w:spacing w:after="0" w:line="240" w:lineRule="auto"/>
              <w:jc w:val="center"/>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3,798,234</w:t>
            </w:r>
          </w:p>
        </w:tc>
        <w:tc>
          <w:tcPr>
            <w:tcW w:w="540" w:type="pct"/>
            <w:tcBorders>
              <w:top w:val="single" w:sz="2" w:space="0" w:color="auto"/>
              <w:left w:val="nil"/>
              <w:bottom w:val="single" w:sz="12" w:space="0" w:color="auto"/>
              <w:right w:val="nil"/>
            </w:tcBorders>
            <w:shd w:val="clear" w:color="auto" w:fill="BFBFBF" w:themeFill="background1" w:themeFillShade="BF"/>
            <w:noWrap/>
            <w:vAlign w:val="center"/>
            <w:hideMark/>
          </w:tcPr>
          <w:p w14:paraId="1C06C6EB" w14:textId="587BD83D" w:rsidR="00FD16CC" w:rsidRPr="00741EF7" w:rsidRDefault="00FD16CC" w:rsidP="00886847">
            <w:pPr>
              <w:spacing w:after="0" w:line="240" w:lineRule="auto"/>
              <w:jc w:val="center"/>
              <w:rPr>
                <w:rFonts w:ascii="Calibri" w:eastAsia="Times New Roman" w:hAnsi="Calibri" w:cs="Times New Roman"/>
                <w:color w:val="000000"/>
                <w:sz w:val="18"/>
                <w:szCs w:val="18"/>
                <w:lang w:val="en-GB" w:eastAsia="en-GB"/>
              </w:rPr>
            </w:pPr>
            <w:r w:rsidRPr="00741EF7">
              <w:rPr>
                <w:rFonts w:ascii="Calibri" w:eastAsia="Times New Roman" w:hAnsi="Calibri" w:cs="Times New Roman"/>
                <w:color w:val="000000"/>
                <w:sz w:val="18"/>
                <w:szCs w:val="18"/>
                <w:lang w:val="en-GB" w:eastAsia="en-GB"/>
              </w:rPr>
              <w:t>501</w:t>
            </w:r>
            <w:r w:rsidRPr="00F41240">
              <w:rPr>
                <w:rFonts w:ascii="Calibri" w:eastAsia="Times New Roman" w:hAnsi="Calibri" w:cs="Times New Roman"/>
                <w:color w:val="000000"/>
                <w:sz w:val="18"/>
                <w:szCs w:val="18"/>
                <w:lang w:val="en-GB" w:eastAsia="en-GB"/>
              </w:rPr>
              <w:t>,</w:t>
            </w:r>
            <w:r w:rsidRPr="00741EF7">
              <w:rPr>
                <w:rFonts w:ascii="Calibri" w:eastAsia="Times New Roman" w:hAnsi="Calibri" w:cs="Times New Roman"/>
                <w:color w:val="000000"/>
                <w:sz w:val="18"/>
                <w:szCs w:val="18"/>
                <w:lang w:val="en-GB" w:eastAsia="en-GB"/>
              </w:rPr>
              <w:t>228</w:t>
            </w:r>
            <w:r w:rsidRPr="00F41240">
              <w:rPr>
                <w:rFonts w:ascii="Calibri" w:eastAsia="Times New Roman" w:hAnsi="Calibri" w:cs="Times New Roman"/>
                <w:color w:val="000000"/>
                <w:sz w:val="18"/>
                <w:szCs w:val="18"/>
                <w:lang w:val="en-GB" w:eastAsia="en-GB"/>
              </w:rPr>
              <w:t xml:space="preserve"> (</w:t>
            </w:r>
            <w:r w:rsidR="00C2414D">
              <w:rPr>
                <w:rFonts w:ascii="Calibri" w:eastAsia="Times New Roman" w:hAnsi="Calibri" w:cs="Times New Roman"/>
                <w:color w:val="000000"/>
                <w:sz w:val="18"/>
                <w:szCs w:val="18"/>
                <w:lang w:val="en-GB" w:eastAsia="en-GB"/>
              </w:rPr>
              <w:t>11</w:t>
            </w:r>
            <w:r w:rsidRPr="00F41240">
              <w:rPr>
                <w:rFonts w:ascii="Calibri" w:eastAsia="Times New Roman" w:hAnsi="Calibri" w:cs="Times New Roman"/>
                <w:color w:val="000000"/>
                <w:sz w:val="18"/>
                <w:szCs w:val="18"/>
                <w:lang w:val="en-GB" w:eastAsia="en-GB"/>
              </w:rPr>
              <w:t>.</w:t>
            </w:r>
            <w:r w:rsidR="00C2414D">
              <w:rPr>
                <w:rFonts w:ascii="Calibri" w:eastAsia="Times New Roman" w:hAnsi="Calibri" w:cs="Times New Roman"/>
                <w:color w:val="000000"/>
                <w:sz w:val="18"/>
                <w:szCs w:val="18"/>
                <w:lang w:val="en-GB" w:eastAsia="en-GB"/>
              </w:rPr>
              <w:t>7</w:t>
            </w:r>
            <w:r w:rsidRPr="00F41240">
              <w:rPr>
                <w:rFonts w:ascii="Calibri" w:eastAsia="Times New Roman" w:hAnsi="Calibri" w:cs="Times New Roman"/>
                <w:color w:val="000000"/>
                <w:sz w:val="18"/>
                <w:szCs w:val="18"/>
                <w:lang w:val="en-GB" w:eastAsia="en-GB"/>
              </w:rPr>
              <w:t>%)</w:t>
            </w:r>
          </w:p>
        </w:tc>
        <w:tc>
          <w:tcPr>
            <w:tcW w:w="393" w:type="pct"/>
            <w:tcBorders>
              <w:top w:val="single" w:sz="2" w:space="0" w:color="auto"/>
              <w:left w:val="nil"/>
              <w:bottom w:val="single" w:sz="12" w:space="0" w:color="auto"/>
              <w:right w:val="nil"/>
            </w:tcBorders>
            <w:shd w:val="clear" w:color="auto" w:fill="BFBFBF" w:themeFill="background1" w:themeFillShade="BF"/>
            <w:noWrap/>
            <w:vAlign w:val="center"/>
            <w:hideMark/>
          </w:tcPr>
          <w:p w14:paraId="4B09E5F5" w14:textId="3F6AA11E" w:rsidR="00FD16CC" w:rsidRPr="00741EF7" w:rsidRDefault="00C2414D" w:rsidP="00886847">
            <w:pPr>
              <w:spacing w:after="0" w:line="240" w:lineRule="auto"/>
              <w:jc w:val="center"/>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9</w:t>
            </w:r>
            <w:r w:rsidR="00FD16CC" w:rsidRPr="00F41240">
              <w:rPr>
                <w:rFonts w:ascii="Calibri" w:eastAsia="Times New Roman" w:hAnsi="Calibri" w:cs="Times New Roman"/>
                <w:color w:val="000000"/>
                <w:sz w:val="18"/>
                <w:szCs w:val="18"/>
                <w:lang w:val="en-GB" w:eastAsia="en-GB"/>
              </w:rPr>
              <w:t>,</w:t>
            </w:r>
            <w:r>
              <w:rPr>
                <w:rFonts w:ascii="Calibri" w:eastAsia="Times New Roman" w:hAnsi="Calibri" w:cs="Times New Roman"/>
                <w:color w:val="000000"/>
                <w:sz w:val="18"/>
                <w:szCs w:val="18"/>
                <w:lang w:val="en-GB" w:eastAsia="en-GB"/>
              </w:rPr>
              <w:t>371,289</w:t>
            </w:r>
          </w:p>
        </w:tc>
        <w:tc>
          <w:tcPr>
            <w:tcW w:w="540" w:type="pct"/>
            <w:tcBorders>
              <w:top w:val="single" w:sz="2" w:space="0" w:color="auto"/>
              <w:left w:val="nil"/>
              <w:bottom w:val="single" w:sz="12" w:space="0" w:color="auto"/>
              <w:right w:val="nil"/>
            </w:tcBorders>
            <w:shd w:val="clear" w:color="auto" w:fill="BFBFBF" w:themeFill="background1" w:themeFillShade="BF"/>
            <w:noWrap/>
            <w:vAlign w:val="center"/>
            <w:hideMark/>
          </w:tcPr>
          <w:p w14:paraId="55C7D7DF" w14:textId="6D8F280C" w:rsidR="00FD16CC" w:rsidRPr="00741EF7" w:rsidRDefault="00FD16CC" w:rsidP="00886847">
            <w:pPr>
              <w:spacing w:after="0" w:line="240" w:lineRule="auto"/>
              <w:jc w:val="center"/>
              <w:rPr>
                <w:rFonts w:ascii="Calibri" w:eastAsia="Times New Roman" w:hAnsi="Calibri" w:cs="Times New Roman"/>
                <w:color w:val="000000"/>
                <w:sz w:val="18"/>
                <w:szCs w:val="18"/>
                <w:lang w:val="en-GB" w:eastAsia="en-GB"/>
              </w:rPr>
            </w:pPr>
            <w:r w:rsidRPr="00741EF7">
              <w:rPr>
                <w:rFonts w:ascii="Calibri" w:eastAsia="Times New Roman" w:hAnsi="Calibri" w:cs="Times New Roman"/>
                <w:color w:val="000000"/>
                <w:sz w:val="18"/>
                <w:szCs w:val="18"/>
                <w:lang w:val="en-GB" w:eastAsia="en-GB"/>
              </w:rPr>
              <w:t>1</w:t>
            </w:r>
            <w:r>
              <w:rPr>
                <w:rFonts w:ascii="Calibri" w:eastAsia="Times New Roman" w:hAnsi="Calibri" w:cs="Times New Roman"/>
                <w:color w:val="000000"/>
                <w:sz w:val="18"/>
                <w:szCs w:val="18"/>
                <w:lang w:val="en-GB" w:eastAsia="en-GB"/>
              </w:rPr>
              <w:t>,</w:t>
            </w:r>
            <w:r w:rsidRPr="00741EF7">
              <w:rPr>
                <w:rFonts w:ascii="Calibri" w:eastAsia="Times New Roman" w:hAnsi="Calibri" w:cs="Times New Roman"/>
                <w:color w:val="000000"/>
                <w:sz w:val="18"/>
                <w:szCs w:val="18"/>
                <w:lang w:val="en-GB" w:eastAsia="en-GB"/>
              </w:rPr>
              <w:t>299</w:t>
            </w:r>
            <w:r>
              <w:rPr>
                <w:rFonts w:ascii="Calibri" w:eastAsia="Times New Roman" w:hAnsi="Calibri" w:cs="Times New Roman"/>
                <w:color w:val="000000"/>
                <w:sz w:val="18"/>
                <w:szCs w:val="18"/>
                <w:lang w:val="en-GB" w:eastAsia="en-GB"/>
              </w:rPr>
              <w:t>,</w:t>
            </w:r>
            <w:r w:rsidRPr="00741EF7">
              <w:rPr>
                <w:rFonts w:ascii="Calibri" w:eastAsia="Times New Roman" w:hAnsi="Calibri" w:cs="Times New Roman"/>
                <w:color w:val="000000"/>
                <w:sz w:val="18"/>
                <w:szCs w:val="18"/>
                <w:lang w:val="en-GB" w:eastAsia="en-GB"/>
              </w:rPr>
              <w:t>463</w:t>
            </w:r>
            <w:r w:rsidRPr="00F41240">
              <w:rPr>
                <w:rFonts w:ascii="Calibri" w:eastAsia="Times New Roman" w:hAnsi="Calibri" w:cs="Times New Roman"/>
                <w:color w:val="000000"/>
                <w:sz w:val="18"/>
                <w:szCs w:val="18"/>
                <w:lang w:val="en-GB" w:eastAsia="en-GB"/>
              </w:rPr>
              <w:t xml:space="preserve"> (</w:t>
            </w:r>
            <w:r w:rsidR="00C2414D">
              <w:rPr>
                <w:rFonts w:ascii="Calibri" w:eastAsia="Times New Roman" w:hAnsi="Calibri" w:cs="Times New Roman"/>
                <w:color w:val="000000"/>
                <w:sz w:val="18"/>
                <w:szCs w:val="18"/>
                <w:lang w:val="en-GB" w:eastAsia="en-GB"/>
              </w:rPr>
              <w:t>12</w:t>
            </w:r>
            <w:r w:rsidRPr="00F41240">
              <w:rPr>
                <w:rFonts w:ascii="Calibri" w:eastAsia="Times New Roman" w:hAnsi="Calibri" w:cs="Times New Roman"/>
                <w:color w:val="000000"/>
                <w:sz w:val="18"/>
                <w:szCs w:val="18"/>
                <w:lang w:val="en-GB" w:eastAsia="en-GB"/>
              </w:rPr>
              <w:t>.</w:t>
            </w:r>
            <w:r w:rsidR="00C2414D">
              <w:rPr>
                <w:rFonts w:ascii="Calibri" w:eastAsia="Times New Roman" w:hAnsi="Calibri" w:cs="Times New Roman"/>
                <w:color w:val="000000"/>
                <w:sz w:val="18"/>
                <w:szCs w:val="18"/>
                <w:lang w:val="en-GB" w:eastAsia="en-GB"/>
              </w:rPr>
              <w:t>2</w:t>
            </w:r>
            <w:r w:rsidRPr="00F41240">
              <w:rPr>
                <w:rFonts w:ascii="Calibri" w:eastAsia="Times New Roman" w:hAnsi="Calibri" w:cs="Times New Roman"/>
                <w:color w:val="000000"/>
                <w:sz w:val="18"/>
                <w:szCs w:val="18"/>
                <w:lang w:val="en-GB" w:eastAsia="en-GB"/>
              </w:rPr>
              <w:t>%)</w:t>
            </w:r>
          </w:p>
        </w:tc>
        <w:tc>
          <w:tcPr>
            <w:tcW w:w="393" w:type="pct"/>
            <w:tcBorders>
              <w:top w:val="single" w:sz="2" w:space="0" w:color="auto"/>
              <w:left w:val="nil"/>
              <w:bottom w:val="single" w:sz="12" w:space="0" w:color="auto"/>
              <w:right w:val="nil"/>
            </w:tcBorders>
            <w:shd w:val="clear" w:color="auto" w:fill="BFBFBF" w:themeFill="background1" w:themeFillShade="BF"/>
            <w:noWrap/>
            <w:vAlign w:val="center"/>
            <w:hideMark/>
          </w:tcPr>
          <w:p w14:paraId="6EB1671E" w14:textId="77777777" w:rsidR="00FD16CC" w:rsidRPr="00741EF7" w:rsidRDefault="00FD16CC" w:rsidP="00886847">
            <w:pPr>
              <w:spacing w:after="0" w:line="240" w:lineRule="auto"/>
              <w:jc w:val="center"/>
              <w:rPr>
                <w:rFonts w:ascii="Calibri" w:eastAsia="Times New Roman" w:hAnsi="Calibri" w:cs="Times New Roman"/>
                <w:color w:val="000000"/>
                <w:sz w:val="18"/>
                <w:szCs w:val="18"/>
                <w:lang w:val="en-GB" w:eastAsia="en-GB"/>
              </w:rPr>
            </w:pPr>
            <w:r w:rsidRPr="00741EF7">
              <w:rPr>
                <w:rFonts w:ascii="Calibri" w:eastAsia="Times New Roman" w:hAnsi="Calibri" w:cs="Times New Roman"/>
                <w:color w:val="000000"/>
                <w:sz w:val="18"/>
                <w:szCs w:val="18"/>
                <w:lang w:val="en-GB" w:eastAsia="en-GB"/>
              </w:rPr>
              <w:t>8</w:t>
            </w:r>
            <w:r>
              <w:rPr>
                <w:rFonts w:ascii="Calibri" w:eastAsia="Times New Roman" w:hAnsi="Calibri" w:cs="Times New Roman"/>
                <w:color w:val="000000"/>
                <w:sz w:val="18"/>
                <w:szCs w:val="18"/>
                <w:lang w:val="en-GB" w:eastAsia="en-GB"/>
              </w:rPr>
              <w:t>,</w:t>
            </w:r>
            <w:r w:rsidRPr="00741EF7">
              <w:rPr>
                <w:rFonts w:ascii="Calibri" w:eastAsia="Times New Roman" w:hAnsi="Calibri" w:cs="Times New Roman"/>
                <w:color w:val="000000"/>
                <w:sz w:val="18"/>
                <w:szCs w:val="18"/>
                <w:lang w:val="en-GB" w:eastAsia="en-GB"/>
              </w:rPr>
              <w:t>885</w:t>
            </w:r>
            <w:r>
              <w:rPr>
                <w:rFonts w:ascii="Calibri" w:eastAsia="Times New Roman" w:hAnsi="Calibri" w:cs="Times New Roman"/>
                <w:color w:val="000000"/>
                <w:sz w:val="18"/>
                <w:szCs w:val="18"/>
                <w:lang w:val="en-GB" w:eastAsia="en-GB"/>
              </w:rPr>
              <w:t>,</w:t>
            </w:r>
            <w:r w:rsidRPr="00741EF7">
              <w:rPr>
                <w:rFonts w:ascii="Calibri" w:eastAsia="Times New Roman" w:hAnsi="Calibri" w:cs="Times New Roman"/>
                <w:color w:val="000000"/>
                <w:sz w:val="18"/>
                <w:szCs w:val="18"/>
                <w:lang w:val="en-GB" w:eastAsia="en-GB"/>
              </w:rPr>
              <w:t>497</w:t>
            </w:r>
          </w:p>
        </w:tc>
        <w:tc>
          <w:tcPr>
            <w:tcW w:w="540" w:type="pct"/>
            <w:tcBorders>
              <w:top w:val="single" w:sz="2" w:space="0" w:color="auto"/>
              <w:left w:val="nil"/>
              <w:bottom w:val="single" w:sz="12" w:space="0" w:color="auto"/>
              <w:right w:val="nil"/>
            </w:tcBorders>
            <w:shd w:val="clear" w:color="auto" w:fill="BFBFBF" w:themeFill="background1" w:themeFillShade="BF"/>
            <w:noWrap/>
            <w:vAlign w:val="center"/>
            <w:hideMark/>
          </w:tcPr>
          <w:p w14:paraId="26CDD353" w14:textId="77777777" w:rsidR="00FD16CC" w:rsidRPr="00741EF7" w:rsidRDefault="00FD16CC" w:rsidP="00886847">
            <w:pPr>
              <w:spacing w:after="0" w:line="240" w:lineRule="auto"/>
              <w:jc w:val="center"/>
              <w:rPr>
                <w:rFonts w:ascii="Calibri" w:eastAsia="Times New Roman" w:hAnsi="Calibri" w:cs="Times New Roman"/>
                <w:color w:val="000000"/>
                <w:sz w:val="18"/>
                <w:szCs w:val="18"/>
                <w:lang w:val="en-GB" w:eastAsia="en-GB"/>
              </w:rPr>
            </w:pPr>
            <w:r w:rsidRPr="00741EF7">
              <w:rPr>
                <w:rFonts w:ascii="Calibri" w:eastAsia="Times New Roman" w:hAnsi="Calibri" w:cs="Times New Roman"/>
                <w:color w:val="000000"/>
                <w:sz w:val="18"/>
                <w:szCs w:val="18"/>
                <w:lang w:val="en-GB" w:eastAsia="en-GB"/>
              </w:rPr>
              <w:t>1</w:t>
            </w:r>
            <w:r>
              <w:rPr>
                <w:rFonts w:ascii="Calibri" w:eastAsia="Times New Roman" w:hAnsi="Calibri" w:cs="Times New Roman"/>
                <w:color w:val="000000"/>
                <w:sz w:val="18"/>
                <w:szCs w:val="18"/>
                <w:lang w:val="en-GB" w:eastAsia="en-GB"/>
              </w:rPr>
              <w:t>,</w:t>
            </w:r>
            <w:r w:rsidRPr="00741EF7">
              <w:rPr>
                <w:rFonts w:ascii="Calibri" w:eastAsia="Times New Roman" w:hAnsi="Calibri" w:cs="Times New Roman"/>
                <w:color w:val="000000"/>
                <w:sz w:val="18"/>
                <w:szCs w:val="18"/>
                <w:lang w:val="en-GB" w:eastAsia="en-GB"/>
              </w:rPr>
              <w:t>355</w:t>
            </w:r>
            <w:r>
              <w:rPr>
                <w:rFonts w:ascii="Calibri" w:eastAsia="Times New Roman" w:hAnsi="Calibri" w:cs="Times New Roman"/>
                <w:color w:val="000000"/>
                <w:sz w:val="18"/>
                <w:szCs w:val="18"/>
                <w:lang w:val="en-GB" w:eastAsia="en-GB"/>
              </w:rPr>
              <w:t>,</w:t>
            </w:r>
            <w:r w:rsidRPr="00741EF7">
              <w:rPr>
                <w:rFonts w:ascii="Calibri" w:eastAsia="Times New Roman" w:hAnsi="Calibri" w:cs="Times New Roman"/>
                <w:color w:val="000000"/>
                <w:sz w:val="18"/>
                <w:szCs w:val="18"/>
                <w:lang w:val="en-GB" w:eastAsia="en-GB"/>
              </w:rPr>
              <w:t>066</w:t>
            </w:r>
            <w:r w:rsidRPr="00F41240">
              <w:rPr>
                <w:rFonts w:ascii="Calibri" w:eastAsia="Times New Roman" w:hAnsi="Calibri" w:cs="Times New Roman"/>
                <w:color w:val="000000"/>
                <w:sz w:val="18"/>
                <w:szCs w:val="18"/>
                <w:lang w:val="en-GB" w:eastAsia="en-GB"/>
              </w:rPr>
              <w:t xml:space="preserve"> (13.2%)</w:t>
            </w:r>
          </w:p>
        </w:tc>
        <w:tc>
          <w:tcPr>
            <w:tcW w:w="341" w:type="pct"/>
            <w:tcBorders>
              <w:top w:val="single" w:sz="2" w:space="0" w:color="auto"/>
              <w:left w:val="nil"/>
              <w:bottom w:val="single" w:sz="12" w:space="0" w:color="auto"/>
              <w:right w:val="nil"/>
            </w:tcBorders>
            <w:shd w:val="clear" w:color="auto" w:fill="BFBFBF" w:themeFill="background1" w:themeFillShade="BF"/>
            <w:noWrap/>
            <w:vAlign w:val="center"/>
            <w:hideMark/>
          </w:tcPr>
          <w:p w14:paraId="4130E082" w14:textId="77777777" w:rsidR="00FD16CC" w:rsidRPr="00741EF7" w:rsidRDefault="00FD16CC" w:rsidP="00886847">
            <w:pPr>
              <w:spacing w:after="0" w:line="240" w:lineRule="auto"/>
              <w:jc w:val="center"/>
              <w:rPr>
                <w:rFonts w:ascii="Calibri" w:eastAsia="Times New Roman" w:hAnsi="Calibri" w:cs="Times New Roman"/>
                <w:color w:val="000000"/>
                <w:sz w:val="18"/>
                <w:szCs w:val="18"/>
                <w:lang w:val="en-GB" w:eastAsia="en-GB"/>
              </w:rPr>
            </w:pPr>
            <w:r w:rsidRPr="00741EF7">
              <w:rPr>
                <w:rFonts w:ascii="Calibri" w:eastAsia="Times New Roman" w:hAnsi="Calibri" w:cs="Times New Roman"/>
                <w:color w:val="000000"/>
                <w:sz w:val="18"/>
                <w:szCs w:val="18"/>
                <w:lang w:val="en-GB" w:eastAsia="en-GB"/>
              </w:rPr>
              <w:t>6</w:t>
            </w:r>
            <w:r>
              <w:rPr>
                <w:rFonts w:ascii="Calibri" w:eastAsia="Times New Roman" w:hAnsi="Calibri" w:cs="Times New Roman"/>
                <w:color w:val="000000"/>
                <w:sz w:val="18"/>
                <w:szCs w:val="18"/>
                <w:lang w:val="en-GB" w:eastAsia="en-GB"/>
              </w:rPr>
              <w:t>,</w:t>
            </w:r>
            <w:r w:rsidRPr="00741EF7">
              <w:rPr>
                <w:rFonts w:ascii="Calibri" w:eastAsia="Times New Roman" w:hAnsi="Calibri" w:cs="Times New Roman"/>
                <w:color w:val="000000"/>
                <w:sz w:val="18"/>
                <w:szCs w:val="18"/>
                <w:lang w:val="en-GB" w:eastAsia="en-GB"/>
              </w:rPr>
              <w:t>287</w:t>
            </w:r>
            <w:r>
              <w:rPr>
                <w:rFonts w:ascii="Calibri" w:eastAsia="Times New Roman" w:hAnsi="Calibri" w:cs="Times New Roman"/>
                <w:color w:val="000000"/>
                <w:sz w:val="18"/>
                <w:szCs w:val="18"/>
                <w:lang w:val="en-GB" w:eastAsia="en-GB"/>
              </w:rPr>
              <w:t>,</w:t>
            </w:r>
            <w:r w:rsidRPr="00741EF7">
              <w:rPr>
                <w:rFonts w:ascii="Calibri" w:eastAsia="Times New Roman" w:hAnsi="Calibri" w:cs="Times New Roman"/>
                <w:color w:val="000000"/>
                <w:sz w:val="18"/>
                <w:szCs w:val="18"/>
                <w:lang w:val="en-GB" w:eastAsia="en-GB"/>
              </w:rPr>
              <w:t>437</w:t>
            </w:r>
          </w:p>
        </w:tc>
        <w:tc>
          <w:tcPr>
            <w:tcW w:w="533" w:type="pct"/>
            <w:tcBorders>
              <w:top w:val="single" w:sz="2" w:space="0" w:color="auto"/>
              <w:left w:val="nil"/>
              <w:bottom w:val="single" w:sz="12" w:space="0" w:color="auto"/>
              <w:right w:val="nil"/>
            </w:tcBorders>
            <w:shd w:val="clear" w:color="auto" w:fill="BFBFBF" w:themeFill="background1" w:themeFillShade="BF"/>
            <w:noWrap/>
            <w:vAlign w:val="center"/>
            <w:hideMark/>
          </w:tcPr>
          <w:p w14:paraId="0B21AE67" w14:textId="77777777" w:rsidR="00FD16CC" w:rsidRPr="00741EF7" w:rsidRDefault="00FD16CC" w:rsidP="00886847">
            <w:pPr>
              <w:spacing w:after="0" w:line="240" w:lineRule="auto"/>
              <w:jc w:val="center"/>
              <w:rPr>
                <w:rFonts w:ascii="Calibri" w:eastAsia="Times New Roman" w:hAnsi="Calibri" w:cs="Times New Roman"/>
                <w:color w:val="000000"/>
                <w:sz w:val="18"/>
                <w:szCs w:val="18"/>
                <w:lang w:val="en-GB" w:eastAsia="en-GB"/>
              </w:rPr>
            </w:pPr>
            <w:r w:rsidRPr="00741EF7">
              <w:rPr>
                <w:rFonts w:ascii="Calibri" w:eastAsia="Times New Roman" w:hAnsi="Calibri" w:cs="Times New Roman"/>
                <w:color w:val="000000"/>
                <w:sz w:val="18"/>
                <w:szCs w:val="18"/>
                <w:lang w:val="en-GB" w:eastAsia="en-GB"/>
              </w:rPr>
              <w:t>1</w:t>
            </w:r>
            <w:r>
              <w:rPr>
                <w:rFonts w:ascii="Calibri" w:eastAsia="Times New Roman" w:hAnsi="Calibri" w:cs="Times New Roman"/>
                <w:color w:val="000000"/>
                <w:sz w:val="18"/>
                <w:szCs w:val="18"/>
                <w:lang w:val="en-GB" w:eastAsia="en-GB"/>
              </w:rPr>
              <w:t>,</w:t>
            </w:r>
            <w:r w:rsidRPr="00741EF7">
              <w:rPr>
                <w:rFonts w:ascii="Calibri" w:eastAsia="Times New Roman" w:hAnsi="Calibri" w:cs="Times New Roman"/>
                <w:color w:val="000000"/>
                <w:sz w:val="18"/>
                <w:szCs w:val="18"/>
                <w:lang w:val="en-GB" w:eastAsia="en-GB"/>
              </w:rPr>
              <w:t>093</w:t>
            </w:r>
            <w:r>
              <w:rPr>
                <w:rFonts w:ascii="Calibri" w:eastAsia="Times New Roman" w:hAnsi="Calibri" w:cs="Times New Roman"/>
                <w:color w:val="000000"/>
                <w:sz w:val="18"/>
                <w:szCs w:val="18"/>
                <w:lang w:val="en-GB" w:eastAsia="en-GB"/>
              </w:rPr>
              <w:t>,</w:t>
            </w:r>
            <w:r w:rsidRPr="00741EF7">
              <w:rPr>
                <w:rFonts w:ascii="Calibri" w:eastAsia="Times New Roman" w:hAnsi="Calibri" w:cs="Times New Roman"/>
                <w:color w:val="000000"/>
                <w:sz w:val="18"/>
                <w:szCs w:val="18"/>
                <w:lang w:val="en-GB" w:eastAsia="en-GB"/>
              </w:rPr>
              <w:t>212</w:t>
            </w:r>
            <w:r w:rsidRPr="00F41240">
              <w:rPr>
                <w:rFonts w:ascii="Calibri" w:eastAsia="Times New Roman" w:hAnsi="Calibri" w:cs="Times New Roman"/>
                <w:color w:val="000000"/>
                <w:sz w:val="18"/>
                <w:szCs w:val="18"/>
                <w:lang w:val="en-GB" w:eastAsia="en-GB"/>
              </w:rPr>
              <w:t xml:space="preserve"> (14.8%)</w:t>
            </w:r>
          </w:p>
        </w:tc>
        <w:tc>
          <w:tcPr>
            <w:tcW w:w="403" w:type="pct"/>
            <w:tcBorders>
              <w:top w:val="single" w:sz="2" w:space="0" w:color="auto"/>
              <w:left w:val="nil"/>
              <w:bottom w:val="single" w:sz="12" w:space="0" w:color="auto"/>
              <w:right w:val="nil"/>
            </w:tcBorders>
            <w:shd w:val="clear" w:color="auto" w:fill="BFBFBF" w:themeFill="background1" w:themeFillShade="BF"/>
            <w:noWrap/>
            <w:vAlign w:val="center"/>
            <w:hideMark/>
          </w:tcPr>
          <w:p w14:paraId="262C4A5C" w14:textId="45055C39" w:rsidR="00FD16CC" w:rsidRPr="00741EF7" w:rsidRDefault="00FD16CC" w:rsidP="00886847">
            <w:pPr>
              <w:spacing w:after="0" w:line="240" w:lineRule="auto"/>
              <w:jc w:val="center"/>
              <w:rPr>
                <w:rFonts w:ascii="Calibri" w:eastAsia="Times New Roman" w:hAnsi="Calibri" w:cs="Times New Roman"/>
                <w:color w:val="000000"/>
                <w:sz w:val="18"/>
                <w:szCs w:val="18"/>
                <w:lang w:val="en-GB" w:eastAsia="en-GB"/>
              </w:rPr>
            </w:pPr>
            <w:r w:rsidRPr="00741EF7">
              <w:rPr>
                <w:rFonts w:ascii="Calibri" w:eastAsia="Times New Roman" w:hAnsi="Calibri" w:cs="Times New Roman"/>
                <w:color w:val="000000"/>
                <w:sz w:val="18"/>
                <w:szCs w:val="18"/>
                <w:lang w:val="en-GB" w:eastAsia="en-GB"/>
              </w:rPr>
              <w:t>7</w:t>
            </w:r>
            <w:r w:rsidR="00C2414D">
              <w:rPr>
                <w:rFonts w:ascii="Calibri" w:eastAsia="Times New Roman" w:hAnsi="Calibri" w:cs="Times New Roman"/>
                <w:color w:val="000000"/>
                <w:sz w:val="18"/>
                <w:szCs w:val="18"/>
                <w:lang w:val="en-GB" w:eastAsia="en-GB"/>
              </w:rPr>
              <w:t>,</w:t>
            </w:r>
            <w:r w:rsidRPr="00741EF7">
              <w:rPr>
                <w:rFonts w:ascii="Calibri" w:eastAsia="Times New Roman" w:hAnsi="Calibri" w:cs="Times New Roman"/>
                <w:color w:val="000000"/>
                <w:sz w:val="18"/>
                <w:szCs w:val="18"/>
                <w:lang w:val="en-GB" w:eastAsia="en-GB"/>
              </w:rPr>
              <w:t>695</w:t>
            </w:r>
            <w:r w:rsidR="00C2414D">
              <w:rPr>
                <w:rFonts w:ascii="Calibri" w:eastAsia="Times New Roman" w:hAnsi="Calibri" w:cs="Times New Roman"/>
                <w:color w:val="000000"/>
                <w:sz w:val="18"/>
                <w:szCs w:val="18"/>
                <w:lang w:val="en-GB" w:eastAsia="en-GB"/>
              </w:rPr>
              <w:t>,</w:t>
            </w:r>
            <w:r w:rsidRPr="00741EF7">
              <w:rPr>
                <w:rFonts w:ascii="Calibri" w:eastAsia="Times New Roman" w:hAnsi="Calibri" w:cs="Times New Roman"/>
                <w:color w:val="000000"/>
                <w:sz w:val="18"/>
                <w:szCs w:val="18"/>
                <w:lang w:val="en-GB" w:eastAsia="en-GB"/>
              </w:rPr>
              <w:t>848</w:t>
            </w:r>
          </w:p>
        </w:tc>
        <w:tc>
          <w:tcPr>
            <w:tcW w:w="482" w:type="pct"/>
            <w:tcBorders>
              <w:top w:val="single" w:sz="2" w:space="0" w:color="auto"/>
              <w:left w:val="nil"/>
              <w:bottom w:val="single" w:sz="12" w:space="0" w:color="auto"/>
              <w:right w:val="nil"/>
            </w:tcBorders>
            <w:shd w:val="clear" w:color="auto" w:fill="BFBFBF" w:themeFill="background1" w:themeFillShade="BF"/>
            <w:noWrap/>
            <w:vAlign w:val="center"/>
            <w:hideMark/>
          </w:tcPr>
          <w:p w14:paraId="0C2D73F5" w14:textId="77777777" w:rsidR="00FD16CC" w:rsidRPr="00741EF7" w:rsidRDefault="00FD16CC" w:rsidP="00886847">
            <w:pPr>
              <w:spacing w:after="0" w:line="240" w:lineRule="auto"/>
              <w:jc w:val="center"/>
              <w:rPr>
                <w:rFonts w:ascii="Calibri" w:eastAsia="Times New Roman" w:hAnsi="Calibri" w:cs="Times New Roman"/>
                <w:color w:val="000000"/>
                <w:sz w:val="18"/>
                <w:szCs w:val="18"/>
                <w:lang w:val="en-GB" w:eastAsia="en-GB"/>
              </w:rPr>
            </w:pPr>
            <w:r w:rsidRPr="00741EF7">
              <w:rPr>
                <w:rFonts w:ascii="Calibri" w:eastAsia="Times New Roman" w:hAnsi="Calibri" w:cs="Times New Roman"/>
                <w:color w:val="000000"/>
                <w:sz w:val="18"/>
                <w:szCs w:val="18"/>
                <w:lang w:val="en-GB" w:eastAsia="en-GB"/>
              </w:rPr>
              <w:t>1</w:t>
            </w:r>
            <w:r>
              <w:rPr>
                <w:rFonts w:ascii="Calibri" w:eastAsia="Times New Roman" w:hAnsi="Calibri" w:cs="Times New Roman"/>
                <w:color w:val="000000"/>
                <w:sz w:val="18"/>
                <w:szCs w:val="18"/>
                <w:lang w:val="en-GB" w:eastAsia="en-GB"/>
              </w:rPr>
              <w:t>,</w:t>
            </w:r>
            <w:r w:rsidRPr="00741EF7">
              <w:rPr>
                <w:rFonts w:ascii="Calibri" w:eastAsia="Times New Roman" w:hAnsi="Calibri" w:cs="Times New Roman"/>
                <w:color w:val="000000"/>
                <w:sz w:val="18"/>
                <w:szCs w:val="18"/>
                <w:lang w:val="en-GB" w:eastAsia="en-GB"/>
              </w:rPr>
              <w:t>472</w:t>
            </w:r>
            <w:r>
              <w:rPr>
                <w:rFonts w:ascii="Calibri" w:eastAsia="Times New Roman" w:hAnsi="Calibri" w:cs="Times New Roman"/>
                <w:color w:val="000000"/>
                <w:sz w:val="18"/>
                <w:szCs w:val="18"/>
                <w:lang w:val="en-GB" w:eastAsia="en-GB"/>
              </w:rPr>
              <w:t>,</w:t>
            </w:r>
            <w:r w:rsidRPr="00741EF7">
              <w:rPr>
                <w:rFonts w:ascii="Calibri" w:eastAsia="Times New Roman" w:hAnsi="Calibri" w:cs="Times New Roman"/>
                <w:color w:val="000000"/>
                <w:sz w:val="18"/>
                <w:szCs w:val="18"/>
                <w:lang w:val="en-GB" w:eastAsia="en-GB"/>
              </w:rPr>
              <w:t>030</w:t>
            </w:r>
            <w:r w:rsidRPr="00F41240">
              <w:rPr>
                <w:rFonts w:ascii="Calibri" w:eastAsia="Times New Roman" w:hAnsi="Calibri" w:cs="Times New Roman"/>
                <w:color w:val="000000"/>
                <w:sz w:val="18"/>
                <w:szCs w:val="18"/>
                <w:lang w:val="en-GB" w:eastAsia="en-GB"/>
              </w:rPr>
              <w:t xml:space="preserve"> (16.1%)</w:t>
            </w:r>
          </w:p>
        </w:tc>
      </w:tr>
    </w:tbl>
    <w:p w14:paraId="75201647" w14:textId="77777777" w:rsidR="00886847" w:rsidRDefault="00886847" w:rsidP="00886847">
      <w:pPr>
        <w:rPr>
          <w:b/>
          <w:bCs/>
        </w:rPr>
      </w:pPr>
      <w:r>
        <w:rPr>
          <w:b/>
          <w:bCs/>
        </w:rPr>
        <w:t>*</w:t>
      </w:r>
      <w:r w:rsidRPr="00886847">
        <w:rPr>
          <w:i/>
          <w:iCs/>
        </w:rPr>
        <w:t>Incomplete calendar years included in study: July-December for 2015 and January – September for 2019</w:t>
      </w:r>
    </w:p>
    <w:p w14:paraId="34EE0C7D" w14:textId="4DD5A649" w:rsidR="00FD16CC" w:rsidRPr="00886847" w:rsidRDefault="00886847" w:rsidP="00886847">
      <w:pPr>
        <w:rPr>
          <w:b/>
          <w:bCs/>
        </w:rPr>
      </w:pPr>
      <w:r w:rsidRPr="00886847">
        <w:rPr>
          <w:b/>
          <w:bCs/>
          <w:vertAlign w:val="superscript"/>
        </w:rPr>
        <w:t>#</w:t>
      </w:r>
      <w:r w:rsidRPr="00886847">
        <w:rPr>
          <w:i/>
          <w:iCs/>
        </w:rPr>
        <w:t xml:space="preserve"> </w:t>
      </w:r>
      <w:r w:rsidR="00CF3B3E">
        <w:rPr>
          <w:i/>
          <w:iCs/>
        </w:rPr>
        <w:t>R</w:t>
      </w:r>
      <w:r w:rsidRPr="00886847">
        <w:rPr>
          <w:i/>
          <w:iCs/>
        </w:rPr>
        <w:t>egion comprised of one district</w:t>
      </w:r>
      <w:r w:rsidR="00FD16CC" w:rsidRPr="00886847">
        <w:rPr>
          <w:b/>
          <w:bCs/>
        </w:rPr>
        <w:br w:type="page"/>
      </w:r>
    </w:p>
    <w:p w14:paraId="20B3701B" w14:textId="77777777" w:rsidR="00FD16CC" w:rsidRDefault="00FD16CC" w:rsidP="00FD16CC">
      <w:pPr>
        <w:pStyle w:val="ListParagraph"/>
        <w:numPr>
          <w:ilvl w:val="0"/>
          <w:numId w:val="1"/>
        </w:numPr>
        <w:spacing w:line="360" w:lineRule="auto"/>
        <w:rPr>
          <w:b/>
          <w:bCs/>
        </w:rPr>
        <w:sectPr w:rsidR="00FD16CC" w:rsidSect="008863C5">
          <w:pgSz w:w="15840" w:h="12240" w:orient="landscape"/>
          <w:pgMar w:top="567" w:right="839" w:bottom="567" w:left="567" w:header="720" w:footer="720" w:gutter="0"/>
          <w:cols w:space="720"/>
          <w:docGrid w:linePitch="360"/>
        </w:sectPr>
      </w:pPr>
    </w:p>
    <w:p w14:paraId="517C6C5F" w14:textId="5D74737F" w:rsidR="00BE58CE" w:rsidRDefault="00BE58CE" w:rsidP="00BE58CE">
      <w:pPr>
        <w:spacing w:line="360" w:lineRule="auto"/>
      </w:pPr>
      <w:r w:rsidRPr="00BE58CE">
        <w:lastRenderedPageBreak/>
        <w:t>Notably, the total predicted number of confirmed cases recorded during the nine months of 2019 included in the study period were higher than the total for all of 2018 by at least 1.4 million cases indicating a major increase in malaria burden and confirming 2018 as the lowest burden year between 2016 and 2019.</w:t>
      </w:r>
    </w:p>
    <w:p w14:paraId="577FAA66" w14:textId="28AB4E88" w:rsidR="002A231B" w:rsidRPr="00BE58CE" w:rsidRDefault="005C5D87" w:rsidP="00BE58CE">
      <w:pPr>
        <w:spacing w:line="360" w:lineRule="auto"/>
        <w:rPr>
          <w:b/>
          <w:bCs/>
        </w:rPr>
      </w:pPr>
      <w:r w:rsidRPr="005C5D87">
        <w:rPr>
          <w:b/>
          <w:bCs/>
        </w:rPr>
        <w:t xml:space="preserve">Population estimates: </w:t>
      </w:r>
      <w:r w:rsidR="002A231B">
        <w:t xml:space="preserve">To determine incidence rates, total confirmed cases at either health facility catchment, </w:t>
      </w:r>
      <w:r>
        <w:t xml:space="preserve">district or regional resolution </w:t>
      </w:r>
      <w:r w:rsidR="002A231B">
        <w:t>provided the numerator while total population estimates at each</w:t>
      </w:r>
      <w:r>
        <w:t xml:space="preserve"> respective</w:t>
      </w:r>
      <w:r w:rsidR="002A231B">
        <w:t xml:space="preserve"> resolution provided the denominator</w:t>
      </w:r>
      <w:r>
        <w:t xml:space="preserve">. Population estimates were extracted from WorldPop gridded surfaces. </w:t>
      </w:r>
      <w:r w:rsidRPr="005C5D87">
        <w:t>Compared to Uganda Bureau of Statistics’ (UBOS) national population projection for 2015 of approximately 35.5 million, this study’s estimated Uganda’s at 35.9 million in 2015 from WorldPop. The estimated total study population of 34.9 million therefore, accounted for 97.2% of the 2015 national population estimate. Similarly, whilst UBOS population projection for 2019 was 40.3 million, this study estimated 40.8 million. The study population estimate of 39.6 million during 2019 therefore, accounted for 97.1% of the national population estimate. Whilst the differences between UBOS and WorldPop estimates may be due to in model approaches, differences between national total and study population are attributable to populations located beyond our defined catchments and in locations where very few and sparse health facilities were geolocated.</w:t>
      </w:r>
    </w:p>
    <w:p w14:paraId="5C3C73BE" w14:textId="77777777" w:rsidR="00830725" w:rsidRDefault="00830725" w:rsidP="00830725">
      <w:pPr>
        <w:pStyle w:val="ListParagraph"/>
        <w:numPr>
          <w:ilvl w:val="0"/>
          <w:numId w:val="1"/>
        </w:numPr>
        <w:spacing w:line="360" w:lineRule="auto"/>
        <w:rPr>
          <w:b/>
          <w:bCs/>
        </w:rPr>
      </w:pPr>
      <w:r>
        <w:rPr>
          <w:b/>
          <w:bCs/>
        </w:rPr>
        <w:t>Cost distance surface</w:t>
      </w:r>
    </w:p>
    <w:p w14:paraId="16312A33" w14:textId="77777777" w:rsidR="00830725" w:rsidRDefault="00830725" w:rsidP="00830725">
      <w:pPr>
        <w:spacing w:line="360" w:lineRule="auto"/>
      </w:pPr>
      <w:r>
        <w:t xml:space="preserve">Generally in Uganda, geographical catchment for each level of health facility have been conceptualized as level II serving a parish, level III a sub-county, and level IV a group of sub-counties otherwise known as a health sub-district (MoH), among others, though it may not be the case in actual practice. Treatment seeking for malaria has been reported as influenced by multiple factors like: knowledge about malaria and its outcomes, severity of disease, reputation of a health facility and affordability of its services, available alternative remedies, as well as age of head of household </w:t>
      </w:r>
      <w:r>
        <w:fldChar w:fldCharType="begin">
          <w:fldData xml:space="preserve">PEVuZE5vdGU+PENpdGU+PEF1dGhvcj5BbXVnZTwvQXV0aG9yPjxZZWFyPjIwMDQ8L1llYXI+PFJl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</w:fldData>
        </w:fldChar>
      </w:r>
      <w:r>
        <w:instrText xml:space="preserve"> ADDIN EN.CITE </w:instrText>
      </w:r>
      <w:r>
        <w:fldChar w:fldCharType="begin">
          <w:fldData xml:space="preserve">PEVuZE5vdGU+PENpdGU+PEF1dGhvcj5BbXVnZTwvQXV0aG9yPjxZZWFyPjIwMDQ8L1llYXI+PFJl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</w:fldData>
        </w:fldChar>
      </w:r>
      <w:r>
        <w:instrText xml:space="preserve"> ADDIN EN.CITE.DATA </w:instrText>
      </w:r>
      <w:r>
        <w:fldChar w:fldCharType="end"/>
      </w:r>
      <w:r>
        <w:fldChar w:fldCharType="separate"/>
      </w:r>
      <w:r>
        <w:rPr>
          <w:noProof/>
        </w:rPr>
        <w:t>[1-3]</w:t>
      </w:r>
      <w:r>
        <w:fldChar w:fldCharType="end"/>
      </w:r>
      <w:r>
        <w:t xml:space="preserve">. However, proximity of a health facility may be one of the strongest influences on treatment seeking, often cited in the rampant use of private versus public health facilities </w:t>
      </w:r>
      <w:r>
        <w:fldChar w:fldCharType="begin">
          <w:fldData xml:space="preserve">PEVuZE5vdGU+PENpdGU+PEF1dGhvcj5Db2hlbjwvQXV0aG9yPjxZZWFyPjIwMTU8L1llYXI+PFJl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</w:fldData>
        </w:fldChar>
      </w:r>
      <w:r>
        <w:instrText xml:space="preserve"> ADDIN EN.CITE </w:instrText>
      </w:r>
      <w:r>
        <w:fldChar w:fldCharType="begin">
          <w:fldData xml:space="preserve">PEVuZE5vdGU+PENpdGU+PEF1dGhvcj5Db2hlbjwvQXV0aG9yPjxZZWFyPjIwMTU8L1llYXI+PFJl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</w:fldData>
        </w:fldChar>
      </w:r>
      <w:r>
        <w:instrText xml:space="preserve"> ADDIN EN.CITE.DATA </w:instrText>
      </w:r>
      <w:r>
        <w:fldChar w:fldCharType="end"/>
      </w:r>
      <w:r>
        <w:fldChar w:fldCharType="separate"/>
      </w:r>
      <w:r>
        <w:rPr>
          <w:noProof/>
        </w:rPr>
        <w:t>[4]</w:t>
      </w:r>
      <w:r>
        <w:fldChar w:fldCharType="end"/>
      </w:r>
      <w:r>
        <w:t xml:space="preserve">. We, therefore, defined health facility catchments under the assumption that people seek care for uncomplicated malaria from the most proximal health facility, using the AccessMod tool supported by the WHO </w:t>
      </w:r>
      <w:r>
        <w:fldChar w:fldCharType="begin"/>
      </w:r>
      <w:r>
        <w:instrText xml:space="preserve"> ADDIN EN.CITE &lt;EndNote&gt;&lt;Cite&gt;&lt;Author&gt;Ray&lt;/Author&gt;&lt;Year&gt;2008&lt;/Year&gt;&lt;RecNum&gt;1571&lt;/RecNum&gt;&lt;DisplayText&gt;[5]&lt;/DisplayText&gt;&lt;record&gt;&lt;rec-number&gt;1571&lt;/rec-number&gt;&lt;foreign-keys&gt;&lt;key app="EN" db-id="p0rz5wvzrvd50qex2snvaft1et2zsewp95td" timestamp="1574255199"&gt;1571&lt;/key&gt;&lt;/foreign-keys&gt;&lt;ref-type name="Journal Article"&gt;17&lt;/ref-type&gt;&lt;contributors&gt;&lt;authors&gt;&lt;author&gt;Ray, N.&lt;/author&gt;&lt;author&gt;Ebener, S.&lt;/author&gt;&lt;/authors&gt;&lt;/contributors&gt;&lt;auth-address&gt;Information, Evidence and Research, World Health Organization, 20 av, Appia, 1211 Geneva 27, Switzerland. nicolas.ray@zoo.unibe.ch&lt;/auth-address&gt;&lt;titles&gt;&lt;title&gt;AccessMod 3.0: computing geographic coverage and accessibility to health care services using anisotropic movement of patients&lt;/title&gt;&lt;secondary-title&gt;Int J Health Geogr&lt;/secondary-title&gt;&lt;/titles&gt;&lt;periodical&gt;&lt;full-title&gt;Int J Health Geogr&lt;/full-title&gt;&lt;abbr-1&gt;International journal of health geographics&lt;/abbr-1&gt;&lt;/periodical&gt;&lt;pages&gt;63&lt;/pages&gt;&lt;volume&gt;7&lt;/volume&gt;&lt;edition&gt;2008/12/18&lt;/edition&gt;&lt;keywords&gt;&lt;keyword&gt;Anisotropy&lt;/keyword&gt;&lt;keyword&gt;Catchment Area (Health)/*statistics &amp;amp; numerical data&lt;/keyword&gt;&lt;keyword&gt;Delivery of Health Care/*statistics &amp;amp; numerical data&lt;/keyword&gt;&lt;keyword&gt;Geography&lt;/keyword&gt;&lt;keyword&gt;Health Services Accessibility/*statistics &amp;amp; numerical data&lt;/keyword&gt;&lt;keyword&gt;Humans&lt;/keyword&gt;&lt;keyword&gt;Information Systems&lt;/keyword&gt;&lt;keyword&gt;Malawi&lt;/keyword&gt;&lt;keyword&gt;Software&lt;/keyword&gt;&lt;keyword&gt;Transportation of Patients/*statistics &amp;amp; numerical data&lt;/keyword&gt;&lt;/keywords&gt;&lt;dates&gt;&lt;year&gt;2008&lt;/year&gt;&lt;pub-dates&gt;&lt;date&gt;Dec 16&lt;/date&gt;&lt;/pub-dates&gt;&lt;/dates&gt;&lt;isbn&gt;1476-072X (Electronic)&amp;#xD;1476-072X (Linking)&lt;/isbn&gt;&lt;accession-num&gt;19087277&lt;/accession-num&gt;&lt;urls&gt;&lt;related-urls&gt;&lt;url&gt;https://www.ncbi.nlm.nih.gov/pubmed/19087277&lt;/url&gt;&lt;/related-urls&gt;&lt;/urls&gt;&lt;custom2&gt;PMC2651127&lt;/custom2&gt;&lt;electronic-resource-num&gt;10.1186/1476-072X-7-63&lt;/electronic-resource-num&gt;&lt;/record&gt;&lt;/Cite&gt;&lt;/EndNote&gt;</w:instrText>
      </w:r>
      <w:r>
        <w:fldChar w:fldCharType="separate"/>
      </w:r>
      <w:r>
        <w:rPr>
          <w:noProof/>
        </w:rPr>
        <w:t>[5]</w:t>
      </w:r>
      <w:r>
        <w:fldChar w:fldCharType="end"/>
      </w:r>
      <w:r>
        <w:t>.</w:t>
      </w:r>
    </w:p>
    <w:p w14:paraId="772CA8C3" w14:textId="6D67F81F" w:rsidR="00830725" w:rsidRDefault="00830725" w:rsidP="00830725">
      <w:pPr>
        <w:spacing w:line="360" w:lineRule="auto"/>
      </w:pPr>
      <w:r>
        <w:t xml:space="preserve">AccessMod is a web-enabled spatial analysis tool that provides extended ArcView 3.x functionality. Among others, it is used for modelling catchment areas associated with geo-located sources of care as an estimate of physical accessibility, using travel time </w:t>
      </w:r>
      <w:r>
        <w:fldChar w:fldCharType="begin"/>
      </w:r>
      <w:r>
        <w:instrText xml:space="preserve"> ADDIN EN.CITE &lt;EndNote&gt;&lt;Cite&gt;&lt;Author&gt;Ray&lt;/Author&gt;&lt;Year&gt;2008&lt;/Year&gt;&lt;RecNum&gt;1571&lt;/RecNum&gt;&lt;DisplayText&gt;[5]&lt;/DisplayText&gt;&lt;record&gt;&lt;rec-number&gt;1571&lt;/rec-number&gt;&lt;foreign-keys&gt;&lt;key app="EN" db-id="p0rz5wvzrvd50qex2snvaft1et2zsewp95td" timestamp="1574255199"&gt;1571&lt;/key&gt;&lt;/foreign-keys&gt;&lt;ref-type name="Journal Article"&gt;17&lt;/ref-type&gt;&lt;contributors&gt;&lt;authors&gt;&lt;author&gt;Ray, N.&lt;/author&gt;&lt;author&gt;Ebener, S.&lt;/author&gt;&lt;/authors&gt;&lt;/contributors&gt;&lt;auth-address&gt;Information, Evidence and Research, World Health Organization, 20 av, Appia, 1211 Geneva 27, Switzerland. nicolas.ray@zoo.unibe.ch&lt;/auth-address&gt;&lt;titles&gt;&lt;title&gt;AccessMod 3.0: computing geographic coverage and accessibility to health care services using anisotropic movement of patients&lt;/title&gt;&lt;secondary-title&gt;Int J Health Geogr&lt;/secondary-title&gt;&lt;/titles&gt;&lt;periodical&gt;&lt;full-title&gt;Int J Health Geogr&lt;/full-title&gt;&lt;abbr-1&gt;International journal of health geographics&lt;/abbr-1&gt;&lt;/periodical&gt;&lt;pages&gt;63&lt;/pages&gt;&lt;volume&gt;7&lt;/volume&gt;&lt;edition&gt;2008/12/18&lt;/edition&gt;&lt;keywords&gt;&lt;keyword&gt;Anisotropy&lt;/keyword&gt;&lt;keyword&gt;Catchment Area (Health)/*statistics &amp;amp; numerical data&lt;/keyword&gt;&lt;keyword&gt;Delivery of Health Care/*statistics &amp;amp; numerical data&lt;/keyword&gt;&lt;keyword&gt;Geography&lt;/keyword&gt;&lt;keyword&gt;Health Services Accessibility/*statistics &amp;amp; numerical data&lt;/keyword&gt;&lt;keyword&gt;Humans&lt;/keyword&gt;&lt;keyword&gt;Information Systems&lt;/keyword&gt;&lt;keyword&gt;Malawi&lt;/keyword&gt;&lt;keyword&gt;Software&lt;/keyword&gt;&lt;keyword&gt;Transportation of Patients/*statistics &amp;amp; numerical data&lt;/keyword&gt;&lt;/keywords&gt;&lt;dates&gt;&lt;year&gt;2008&lt;/year&gt;&lt;pub-dates&gt;&lt;date&gt;Dec 16&lt;/date&gt;&lt;/pub-dates&gt;&lt;/dates&gt;&lt;isbn&gt;1476-072X (Electronic)&amp;#xD;1476-072X (Linking)&lt;/isbn&gt;&lt;accession-num&gt;19087277&lt;/accession-num&gt;&lt;urls&gt;&lt;related-urls&gt;&lt;url&gt;https://www.ncbi.nlm.nih.gov/pubmed/19087277&lt;/url&gt;&lt;/related-urls&gt;&lt;/urls&gt;&lt;custom2&gt;PMC2651127&lt;/custom2&gt;&lt;electronic-resource-num&gt;10.1186/1476-072X-7-63&lt;/electronic-resource-num&gt;&lt;/record&gt;&lt;/Cite&gt;&lt;/EndNote&gt;</w:instrText>
      </w:r>
      <w:r>
        <w:fldChar w:fldCharType="separate"/>
      </w:r>
      <w:r>
        <w:rPr>
          <w:noProof/>
        </w:rPr>
        <w:t>[5]</w:t>
      </w:r>
      <w:r>
        <w:fldChar w:fldCharType="end"/>
      </w:r>
      <w:r>
        <w:t xml:space="preserve">. Here, first we generated a cost-distance </w:t>
      </w:r>
      <w:r>
        <w:lastRenderedPageBreak/>
        <w:t>surface of the entire country, at a 100x100 meter pixel resolution. For this, several geographical covariates, within the WGS 1984 UTM Zone 36S coordinate system under the Transverse Mercator projection, were included. Respective covariate classifications were first assigned an intuitive characteristic speed of travel across them, taking into consideration the most likely means of travel useable, to define an overall travel scenario. This scenario included most likely modes of travel across different surfaces such as walking and cycling, driving and riding, as well as a using canoe or boat across water surfaces. Along with these modes, average travel speeds across the respective surfaces or covariates were estimated. The covariates included: 1) a digital elevation model (DEM) of the country that defines the elevation variability across the surface at a 100x100m resolution. This measure of slope per pixel in the DEM was used to penalize the speed of crossing a pixel, particularly for walking and bicycle means, making direction of travel important to define. With interest in access to the health facility in this study, direction of travel was chosen to be towards the health facility. 2) Road network across the country classified as Primary, secondary, tertiary, and other roads, were each considered to enable varied speeds of travel across them, ranging from 30 kilometer per hour (Km/h) on other roads such as feeder or country roads to 100 Km/h on primary roads such as highways. 3) Land use and land cover surface covariate, also at a 100x100 meter resolution, was defined in ten classifications of: tree cover, shrub, grassland, cropland, aquatic vegetation, sparse vegetation or lichens-Mosses, bare ground, built-up, open water, and no data areas. The predominant land cover type per pixel, was assigned a characteristic speed of travel, ranging from a low of one Km/h such as across open water to ten Km/h across bare ground. 4) Lakes and rivers. Whereas the first three covariates were classified to enable travel across them, lakes and rivers were considered primarily as barriers with limited capability to cross them and no likelihood of being residential areas for populations or locations for a health facility. Any health facility that would have its geo-coordinates within water was excluded. This did not include health facilities on islands of which there were several. 5) Another barrier considered in this cost-distance evaluation were swamps with limited likelihood of travel across them except if there was a certain type of road network through them, assumed to likely be a bridge-type crossing. These too were included in this process. Majority of country was within  four hours (240 minutes) of travel time to the health facility (Fig</w:t>
      </w:r>
      <w:r w:rsidR="001A34F0">
        <w:t>.</w:t>
      </w:r>
      <w:r>
        <w:t xml:space="preserve"> </w:t>
      </w:r>
      <w:r w:rsidR="001A34F0">
        <w:t>S</w:t>
      </w:r>
      <w:r w:rsidR="00B90935">
        <w:t>6</w:t>
      </w:r>
      <w:r>
        <w:t>)  however, there were some outliers, especially far into the lakes and fairly high travel times in parts of the country such as the North-Eastern areas, among others.</w:t>
      </w:r>
    </w:p>
    <w:p w14:paraId="07533090" w14:textId="0F66E8E1" w:rsidR="00830725" w:rsidRPr="00947F11" w:rsidRDefault="00830725" w:rsidP="00830725">
      <w:pPr>
        <w:pStyle w:val="Caption"/>
        <w:keepNext/>
        <w:rPr>
          <w:b/>
          <w:bCs/>
          <w:i w:val="0"/>
          <w:iCs w:val="0"/>
          <w:color w:val="auto"/>
          <w:sz w:val="22"/>
          <w:szCs w:val="22"/>
        </w:rPr>
      </w:pPr>
      <w:r w:rsidRPr="00947F11">
        <w:rPr>
          <w:b/>
          <w:bCs/>
          <w:i w:val="0"/>
          <w:iCs w:val="0"/>
          <w:color w:val="auto"/>
          <w:sz w:val="22"/>
          <w:szCs w:val="22"/>
        </w:rPr>
        <w:lastRenderedPageBreak/>
        <w:t xml:space="preserve">Fig </w:t>
      </w:r>
      <w:r w:rsidR="00962132">
        <w:rPr>
          <w:b/>
          <w:bCs/>
          <w:i w:val="0"/>
          <w:iCs w:val="0"/>
          <w:color w:val="auto"/>
          <w:sz w:val="22"/>
          <w:szCs w:val="22"/>
        </w:rPr>
        <w:t>S</w:t>
      </w:r>
      <w:r w:rsidRPr="00947F11">
        <w:rPr>
          <w:b/>
          <w:bCs/>
          <w:i w:val="0"/>
          <w:iCs w:val="0"/>
          <w:color w:val="auto"/>
          <w:sz w:val="22"/>
          <w:szCs w:val="22"/>
        </w:rPr>
        <w:fldChar w:fldCharType="begin"/>
      </w:r>
      <w:r w:rsidRPr="00947F11">
        <w:rPr>
          <w:b/>
          <w:bCs/>
          <w:i w:val="0"/>
          <w:iCs w:val="0"/>
          <w:color w:val="auto"/>
          <w:sz w:val="22"/>
          <w:szCs w:val="22"/>
        </w:rPr>
        <w:instrText xml:space="preserve"> SEQ Fig \* ARABIC </w:instrText>
      </w:r>
      <w:r w:rsidRPr="00947F11">
        <w:rPr>
          <w:b/>
          <w:bCs/>
          <w:i w:val="0"/>
          <w:iCs w:val="0"/>
          <w:color w:val="auto"/>
          <w:sz w:val="22"/>
          <w:szCs w:val="22"/>
        </w:rPr>
        <w:fldChar w:fldCharType="separate"/>
      </w:r>
      <w:r w:rsidR="009A11D8">
        <w:rPr>
          <w:b/>
          <w:bCs/>
          <w:i w:val="0"/>
          <w:iCs w:val="0"/>
          <w:noProof/>
          <w:color w:val="auto"/>
          <w:sz w:val="22"/>
          <w:szCs w:val="22"/>
        </w:rPr>
        <w:t>6</w:t>
      </w:r>
      <w:r w:rsidRPr="00947F11">
        <w:rPr>
          <w:b/>
          <w:bCs/>
          <w:i w:val="0"/>
          <w:iCs w:val="0"/>
          <w:color w:val="auto"/>
          <w:sz w:val="22"/>
          <w:szCs w:val="22"/>
        </w:rPr>
        <w:fldChar w:fldCharType="end"/>
      </w:r>
      <w:r w:rsidRPr="00947F11">
        <w:rPr>
          <w:b/>
          <w:bCs/>
          <w:i w:val="0"/>
          <w:iCs w:val="0"/>
          <w:color w:val="auto"/>
          <w:sz w:val="22"/>
          <w:szCs w:val="22"/>
        </w:rPr>
        <w:t>. Distribution of travel time to the health facility across the country in minutes</w:t>
      </w:r>
      <w:r>
        <w:rPr>
          <w:b/>
          <w:bCs/>
          <w:i w:val="0"/>
          <w:iCs w:val="0"/>
          <w:color w:val="auto"/>
          <w:sz w:val="22"/>
          <w:szCs w:val="22"/>
        </w:rPr>
        <w:t xml:space="preserve"> from country-wide raster surface generated</w:t>
      </w:r>
    </w:p>
    <w:p w14:paraId="1D7AB132" w14:textId="77777777" w:rsidR="00830725" w:rsidRPr="008A63EF" w:rsidRDefault="00830725" w:rsidP="00830725">
      <w:pPr>
        <w:spacing w:line="360" w:lineRule="auto"/>
        <w:jc w:val="center"/>
      </w:pPr>
      <w:r>
        <w:rPr>
          <w:noProof/>
        </w:rPr>
        <w:drawing>
          <wp:inline distT="0" distB="0" distL="0" distR="0" wp14:anchorId="7E95CC40" wp14:editId="53C9B879">
            <wp:extent cx="5200650" cy="52006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00650" cy="5200650"/>
                    </a:xfrm>
                    <a:prstGeom prst="rect">
                      <a:avLst/>
                    </a:prstGeom>
                    <a:noFill/>
                    <a:ln>
                      <a:noFill/>
                    </a:ln>
                  </pic:spPr>
                </pic:pic>
              </a:graphicData>
            </a:graphic>
          </wp:inline>
        </w:drawing>
      </w:r>
    </w:p>
    <w:p w14:paraId="06EC9D70" w14:textId="211D2474" w:rsidR="00830725" w:rsidRDefault="00283C76" w:rsidP="00830725">
      <w:pPr>
        <w:pStyle w:val="ListParagraph"/>
        <w:numPr>
          <w:ilvl w:val="0"/>
          <w:numId w:val="1"/>
        </w:numPr>
        <w:spacing w:line="360" w:lineRule="auto"/>
        <w:rPr>
          <w:b/>
          <w:bCs/>
        </w:rPr>
      </w:pPr>
      <w:r>
        <w:rPr>
          <w:b/>
          <w:bCs/>
        </w:rPr>
        <w:t>M</w:t>
      </w:r>
      <w:r w:rsidR="00830725">
        <w:rPr>
          <w:b/>
          <w:bCs/>
        </w:rPr>
        <w:t xml:space="preserve">odel </w:t>
      </w:r>
      <w:r>
        <w:rPr>
          <w:b/>
          <w:bCs/>
        </w:rPr>
        <w:t>selection</w:t>
      </w:r>
    </w:p>
    <w:p w14:paraId="760C31DB" w14:textId="0FCAED1B" w:rsidR="00283C76" w:rsidRDefault="00283C76" w:rsidP="00283C76">
      <w:pPr>
        <w:spacing w:line="360" w:lineRule="auto"/>
      </w:pPr>
      <w:r w:rsidRPr="00283C76">
        <w:t>To se</w:t>
      </w:r>
      <w:r>
        <w:t>lect the model covariates to include, time varied covariates including rainfall estimates, land surface temperature and vegetation amounts quantified as NDVI were evaluated for selection between the current monthly estimate and the mean of current monthly estimate and either one, two or three months’ lags using akaike’s information criteria values</w:t>
      </w:r>
      <w:r w:rsidR="004579F5">
        <w:t xml:space="preserve"> of a multi-variate regression model of crude incidence rates as dependent variable</w:t>
      </w:r>
      <w:r>
        <w:t xml:space="preserve">. While keeping all others constant, each covariate was varied to obtain its best quantity for inclusion in the model and the choice of covariate quantity was based on the lowest value of AIC between each covariate’s varied values as summarized in </w:t>
      </w:r>
      <w:r w:rsidR="004579F5">
        <w:t>T</w:t>
      </w:r>
      <w:r>
        <w:t xml:space="preserve">able </w:t>
      </w:r>
      <w:r w:rsidR="004579F5">
        <w:t>S2</w:t>
      </w:r>
      <w:r>
        <w:t xml:space="preserve"> below.</w:t>
      </w:r>
    </w:p>
    <w:p w14:paraId="3243ACC4" w14:textId="16B25DAD" w:rsidR="004579F5" w:rsidRPr="004579F5" w:rsidRDefault="004579F5" w:rsidP="004579F5">
      <w:pPr>
        <w:pStyle w:val="Caption"/>
        <w:keepNext/>
        <w:rPr>
          <w:b/>
          <w:bCs/>
          <w:i w:val="0"/>
          <w:iCs w:val="0"/>
          <w:color w:val="auto"/>
          <w:sz w:val="22"/>
          <w:szCs w:val="22"/>
        </w:rPr>
      </w:pPr>
      <w:r w:rsidRPr="004579F5">
        <w:rPr>
          <w:b/>
          <w:bCs/>
          <w:i w:val="0"/>
          <w:iCs w:val="0"/>
          <w:color w:val="auto"/>
          <w:sz w:val="22"/>
          <w:szCs w:val="22"/>
        </w:rPr>
        <w:lastRenderedPageBreak/>
        <w:t xml:space="preserve">Table </w:t>
      </w:r>
      <w:r>
        <w:rPr>
          <w:b/>
          <w:bCs/>
          <w:i w:val="0"/>
          <w:iCs w:val="0"/>
          <w:color w:val="auto"/>
          <w:sz w:val="22"/>
          <w:szCs w:val="22"/>
        </w:rPr>
        <w:t>S</w:t>
      </w:r>
      <w:r w:rsidRPr="004579F5">
        <w:rPr>
          <w:b/>
          <w:bCs/>
          <w:i w:val="0"/>
          <w:iCs w:val="0"/>
          <w:color w:val="auto"/>
          <w:sz w:val="22"/>
          <w:szCs w:val="22"/>
        </w:rPr>
        <w:fldChar w:fldCharType="begin"/>
      </w:r>
      <w:r w:rsidRPr="004579F5">
        <w:rPr>
          <w:b/>
          <w:bCs/>
          <w:i w:val="0"/>
          <w:iCs w:val="0"/>
          <w:color w:val="auto"/>
          <w:sz w:val="22"/>
          <w:szCs w:val="22"/>
        </w:rPr>
        <w:instrText xml:space="preserve"> SEQ Table \* ARABIC </w:instrText>
      </w:r>
      <w:r w:rsidRPr="004579F5">
        <w:rPr>
          <w:b/>
          <w:bCs/>
          <w:i w:val="0"/>
          <w:iCs w:val="0"/>
          <w:color w:val="auto"/>
          <w:sz w:val="22"/>
          <w:szCs w:val="22"/>
        </w:rPr>
        <w:fldChar w:fldCharType="separate"/>
      </w:r>
      <w:r w:rsidR="00CE5C15">
        <w:rPr>
          <w:b/>
          <w:bCs/>
          <w:i w:val="0"/>
          <w:iCs w:val="0"/>
          <w:noProof/>
          <w:color w:val="auto"/>
          <w:sz w:val="22"/>
          <w:szCs w:val="22"/>
        </w:rPr>
        <w:t>2</w:t>
      </w:r>
      <w:r w:rsidRPr="004579F5">
        <w:rPr>
          <w:b/>
          <w:bCs/>
          <w:i w:val="0"/>
          <w:iCs w:val="0"/>
          <w:color w:val="auto"/>
          <w:sz w:val="22"/>
          <w:szCs w:val="22"/>
        </w:rPr>
        <w:fldChar w:fldCharType="end"/>
      </w:r>
      <w:r w:rsidRPr="004579F5">
        <w:rPr>
          <w:b/>
          <w:bCs/>
          <w:i w:val="0"/>
          <w:iCs w:val="0"/>
          <w:color w:val="auto"/>
          <w:sz w:val="22"/>
          <w:szCs w:val="22"/>
        </w:rPr>
        <w:t>. Akaike</w:t>
      </w:r>
      <w:r>
        <w:rPr>
          <w:b/>
          <w:bCs/>
          <w:i w:val="0"/>
          <w:iCs w:val="0"/>
          <w:color w:val="auto"/>
          <w:sz w:val="22"/>
          <w:szCs w:val="22"/>
        </w:rPr>
        <w:t>’</w:t>
      </w:r>
      <w:r w:rsidRPr="004579F5">
        <w:rPr>
          <w:b/>
          <w:bCs/>
          <w:i w:val="0"/>
          <w:iCs w:val="0"/>
          <w:color w:val="auto"/>
          <w:sz w:val="22"/>
          <w:szCs w:val="22"/>
        </w:rPr>
        <w:t>s information criteria values with corresponding value of covariate included</w:t>
      </w:r>
    </w:p>
    <w:tbl>
      <w:tblPr>
        <w:tblW w:w="5000" w:type="pct"/>
        <w:tblBorders>
          <w:top w:val="single" w:sz="12" w:space="0" w:color="auto"/>
          <w:bottom w:val="single" w:sz="12" w:space="0" w:color="auto"/>
        </w:tblBorders>
        <w:tblLook w:val="04A0" w:firstRow="1" w:lastRow="0" w:firstColumn="1" w:lastColumn="0" w:noHBand="0" w:noVBand="1"/>
      </w:tblPr>
      <w:tblGrid>
        <w:gridCol w:w="3817"/>
        <w:gridCol w:w="1526"/>
        <w:gridCol w:w="1743"/>
        <w:gridCol w:w="2274"/>
      </w:tblGrid>
      <w:tr w:rsidR="00283C76" w:rsidRPr="00283C76" w14:paraId="6C52EBF5" w14:textId="77777777" w:rsidTr="00283C76">
        <w:trPr>
          <w:trHeight w:val="300"/>
        </w:trPr>
        <w:tc>
          <w:tcPr>
            <w:tcW w:w="2039" w:type="pct"/>
            <w:vMerge w:val="restart"/>
            <w:shd w:val="clear" w:color="auto" w:fill="BFBFBF" w:themeFill="background1" w:themeFillShade="BF"/>
            <w:noWrap/>
            <w:vAlign w:val="center"/>
            <w:hideMark/>
          </w:tcPr>
          <w:p w14:paraId="0365D926" w14:textId="1A86014A" w:rsidR="00283C76" w:rsidRPr="00283C76" w:rsidRDefault="00283C76" w:rsidP="00283C76">
            <w:pPr>
              <w:spacing w:after="0" w:line="360" w:lineRule="auto"/>
              <w:rPr>
                <w:rFonts w:ascii="Times New Roman" w:eastAsia="Times New Roman" w:hAnsi="Times New Roman" w:cs="Times New Roman"/>
                <w:b/>
                <w:bCs/>
                <w:sz w:val="24"/>
                <w:szCs w:val="24"/>
                <w:lang w:val="en-GB" w:eastAsia="en-GB"/>
              </w:rPr>
            </w:pPr>
            <w:r w:rsidRPr="00283C76">
              <w:rPr>
                <w:rFonts w:ascii="Calibri" w:eastAsia="Times New Roman" w:hAnsi="Calibri" w:cs="Times New Roman"/>
                <w:b/>
                <w:bCs/>
                <w:color w:val="000000"/>
                <w:lang w:val="en-GB" w:eastAsia="en-GB"/>
              </w:rPr>
              <w:t>Covariate</w:t>
            </w:r>
          </w:p>
        </w:tc>
        <w:tc>
          <w:tcPr>
            <w:tcW w:w="2961" w:type="pct"/>
            <w:gridSpan w:val="3"/>
            <w:tcBorders>
              <w:top w:val="single" w:sz="12" w:space="0" w:color="auto"/>
              <w:bottom w:val="single" w:sz="4" w:space="0" w:color="auto"/>
            </w:tcBorders>
            <w:shd w:val="clear" w:color="auto" w:fill="BFBFBF" w:themeFill="background1" w:themeFillShade="BF"/>
            <w:noWrap/>
            <w:vAlign w:val="bottom"/>
            <w:hideMark/>
          </w:tcPr>
          <w:p w14:paraId="754828D2" w14:textId="28A3C65F" w:rsidR="00283C76" w:rsidRPr="00283C76" w:rsidRDefault="00283C76" w:rsidP="00283C76">
            <w:pPr>
              <w:spacing w:after="0" w:line="360" w:lineRule="auto"/>
              <w:jc w:val="center"/>
              <w:rPr>
                <w:rFonts w:ascii="Calibri" w:eastAsia="Times New Roman" w:hAnsi="Calibri" w:cs="Times New Roman"/>
                <w:b/>
                <w:bCs/>
                <w:color w:val="000000"/>
                <w:lang w:val="en-GB" w:eastAsia="en-GB"/>
              </w:rPr>
            </w:pPr>
            <w:r w:rsidRPr="00283C76">
              <w:rPr>
                <w:rFonts w:ascii="Calibri" w:eastAsia="Times New Roman" w:hAnsi="Calibri" w:cs="Times New Roman"/>
                <w:b/>
                <w:bCs/>
                <w:color w:val="000000"/>
                <w:lang w:val="en-GB" w:eastAsia="en-GB"/>
              </w:rPr>
              <w:t>Akaike's information criteria</w:t>
            </w:r>
            <w:r>
              <w:rPr>
                <w:rFonts w:ascii="Calibri" w:eastAsia="Times New Roman" w:hAnsi="Calibri" w:cs="Times New Roman"/>
                <w:b/>
                <w:bCs/>
                <w:color w:val="000000"/>
                <w:lang w:val="en-GB" w:eastAsia="en-GB"/>
              </w:rPr>
              <w:t xml:space="preserve"> (AIC)</w:t>
            </w:r>
          </w:p>
        </w:tc>
      </w:tr>
      <w:tr w:rsidR="00283C76" w:rsidRPr="00283C76" w14:paraId="7AAD7CDC" w14:textId="77777777" w:rsidTr="00283C76">
        <w:trPr>
          <w:trHeight w:val="600"/>
        </w:trPr>
        <w:tc>
          <w:tcPr>
            <w:tcW w:w="2039" w:type="pct"/>
            <w:vMerge/>
            <w:shd w:val="clear" w:color="auto" w:fill="BFBFBF" w:themeFill="background1" w:themeFillShade="BF"/>
            <w:noWrap/>
            <w:vAlign w:val="center"/>
            <w:hideMark/>
          </w:tcPr>
          <w:p w14:paraId="443316F5" w14:textId="492E9139" w:rsidR="00283C76" w:rsidRPr="00283C76" w:rsidRDefault="00283C76" w:rsidP="00283C76">
            <w:pPr>
              <w:spacing w:after="0" w:line="360" w:lineRule="auto"/>
              <w:rPr>
                <w:rFonts w:ascii="Calibri" w:eastAsia="Times New Roman" w:hAnsi="Calibri" w:cs="Times New Roman"/>
                <w:b/>
                <w:bCs/>
                <w:color w:val="000000"/>
                <w:lang w:val="en-GB" w:eastAsia="en-GB"/>
              </w:rPr>
            </w:pPr>
          </w:p>
        </w:tc>
        <w:tc>
          <w:tcPr>
            <w:tcW w:w="815" w:type="pct"/>
            <w:tcBorders>
              <w:top w:val="single" w:sz="4" w:space="0" w:color="auto"/>
            </w:tcBorders>
            <w:shd w:val="clear" w:color="auto" w:fill="BFBFBF" w:themeFill="background1" w:themeFillShade="BF"/>
            <w:noWrap/>
            <w:vAlign w:val="center"/>
            <w:hideMark/>
          </w:tcPr>
          <w:p w14:paraId="77047FB4" w14:textId="77777777" w:rsidR="00283C76" w:rsidRPr="00283C76" w:rsidRDefault="00283C76" w:rsidP="00283C76">
            <w:pPr>
              <w:spacing w:after="0" w:line="360" w:lineRule="auto"/>
              <w:jc w:val="center"/>
              <w:rPr>
                <w:rFonts w:ascii="Calibri" w:eastAsia="Times New Roman" w:hAnsi="Calibri" w:cs="Times New Roman"/>
                <w:b/>
                <w:bCs/>
                <w:color w:val="000000"/>
                <w:lang w:val="en-GB" w:eastAsia="en-GB"/>
              </w:rPr>
            </w:pPr>
            <w:r w:rsidRPr="00283C76">
              <w:rPr>
                <w:rFonts w:ascii="Calibri" w:eastAsia="Times New Roman" w:hAnsi="Calibri" w:cs="Times New Roman"/>
                <w:b/>
                <w:bCs/>
                <w:color w:val="000000"/>
                <w:lang w:val="en-GB" w:eastAsia="en-GB"/>
              </w:rPr>
              <w:t>Rainfall</w:t>
            </w:r>
          </w:p>
        </w:tc>
        <w:tc>
          <w:tcPr>
            <w:tcW w:w="931" w:type="pct"/>
            <w:tcBorders>
              <w:top w:val="single" w:sz="4" w:space="0" w:color="auto"/>
            </w:tcBorders>
            <w:shd w:val="clear" w:color="auto" w:fill="BFBFBF" w:themeFill="background1" w:themeFillShade="BF"/>
            <w:vAlign w:val="center"/>
            <w:hideMark/>
          </w:tcPr>
          <w:p w14:paraId="02A42045" w14:textId="77777777" w:rsidR="00283C76" w:rsidRPr="00283C76" w:rsidRDefault="00283C76" w:rsidP="00283C76">
            <w:pPr>
              <w:spacing w:after="0" w:line="360" w:lineRule="auto"/>
              <w:jc w:val="center"/>
              <w:rPr>
                <w:rFonts w:ascii="Calibri" w:eastAsia="Times New Roman" w:hAnsi="Calibri" w:cs="Times New Roman"/>
                <w:b/>
                <w:bCs/>
                <w:color w:val="000000"/>
                <w:lang w:val="en-GB" w:eastAsia="en-GB"/>
              </w:rPr>
            </w:pPr>
            <w:r w:rsidRPr="00283C76">
              <w:rPr>
                <w:rFonts w:ascii="Calibri" w:eastAsia="Times New Roman" w:hAnsi="Calibri" w:cs="Times New Roman"/>
                <w:b/>
                <w:bCs/>
                <w:color w:val="000000"/>
                <w:lang w:val="en-GB" w:eastAsia="en-GB"/>
              </w:rPr>
              <w:t>Land surface temperature</w:t>
            </w:r>
          </w:p>
        </w:tc>
        <w:tc>
          <w:tcPr>
            <w:tcW w:w="1215" w:type="pct"/>
            <w:tcBorders>
              <w:top w:val="single" w:sz="4" w:space="0" w:color="auto"/>
            </w:tcBorders>
            <w:shd w:val="clear" w:color="auto" w:fill="BFBFBF" w:themeFill="background1" w:themeFillShade="BF"/>
            <w:noWrap/>
            <w:vAlign w:val="center"/>
            <w:hideMark/>
          </w:tcPr>
          <w:p w14:paraId="6D769E8D" w14:textId="77777777" w:rsidR="00283C76" w:rsidRPr="00283C76" w:rsidRDefault="00283C76" w:rsidP="00283C76">
            <w:pPr>
              <w:spacing w:after="0" w:line="360" w:lineRule="auto"/>
              <w:jc w:val="center"/>
              <w:rPr>
                <w:rFonts w:ascii="Calibri" w:eastAsia="Times New Roman" w:hAnsi="Calibri" w:cs="Times New Roman"/>
                <w:b/>
                <w:bCs/>
                <w:color w:val="000000"/>
                <w:lang w:val="en-GB" w:eastAsia="en-GB"/>
              </w:rPr>
            </w:pPr>
            <w:r w:rsidRPr="00283C76">
              <w:rPr>
                <w:rFonts w:ascii="Calibri" w:eastAsia="Times New Roman" w:hAnsi="Calibri" w:cs="Times New Roman"/>
                <w:b/>
                <w:bCs/>
                <w:color w:val="000000"/>
                <w:lang w:val="en-GB" w:eastAsia="en-GB"/>
              </w:rPr>
              <w:t>Vegetation (NDVI)</w:t>
            </w:r>
          </w:p>
        </w:tc>
      </w:tr>
      <w:tr w:rsidR="00283C76" w:rsidRPr="00283C76" w14:paraId="234F5EDA" w14:textId="77777777" w:rsidTr="00283C76">
        <w:trPr>
          <w:trHeight w:val="300"/>
        </w:trPr>
        <w:tc>
          <w:tcPr>
            <w:tcW w:w="2039" w:type="pct"/>
            <w:shd w:val="clear" w:color="auto" w:fill="auto"/>
            <w:noWrap/>
            <w:vAlign w:val="bottom"/>
            <w:hideMark/>
          </w:tcPr>
          <w:p w14:paraId="6C9BFB94" w14:textId="77777777" w:rsidR="00283C76" w:rsidRPr="00283C76" w:rsidRDefault="00283C76" w:rsidP="00283C76">
            <w:pPr>
              <w:spacing w:after="0" w:line="360" w:lineRule="auto"/>
              <w:rPr>
                <w:rFonts w:ascii="Calibri" w:eastAsia="Times New Roman" w:hAnsi="Calibri" w:cs="Times New Roman"/>
                <w:color w:val="000000"/>
                <w:lang w:val="en-GB" w:eastAsia="en-GB"/>
              </w:rPr>
            </w:pPr>
            <w:r w:rsidRPr="00283C76">
              <w:rPr>
                <w:rFonts w:ascii="Calibri" w:eastAsia="Times New Roman" w:hAnsi="Calibri" w:cs="Times New Roman"/>
                <w:color w:val="000000"/>
                <w:lang w:val="en-GB" w:eastAsia="en-GB"/>
              </w:rPr>
              <w:t>Current month's estimate</w:t>
            </w:r>
          </w:p>
        </w:tc>
        <w:tc>
          <w:tcPr>
            <w:tcW w:w="815" w:type="pct"/>
            <w:shd w:val="clear" w:color="auto" w:fill="auto"/>
            <w:noWrap/>
            <w:vAlign w:val="center"/>
            <w:hideMark/>
          </w:tcPr>
          <w:p w14:paraId="370F601E" w14:textId="77777777" w:rsidR="00283C76" w:rsidRPr="00283C76" w:rsidRDefault="00283C76" w:rsidP="00283C76">
            <w:pPr>
              <w:spacing w:after="0" w:line="360" w:lineRule="auto"/>
              <w:jc w:val="center"/>
              <w:rPr>
                <w:rFonts w:ascii="Calibri" w:eastAsia="Times New Roman" w:hAnsi="Calibri" w:cs="Times New Roman"/>
                <w:color w:val="000000"/>
                <w:lang w:val="en-GB" w:eastAsia="en-GB"/>
              </w:rPr>
            </w:pPr>
            <w:r w:rsidRPr="00283C76">
              <w:rPr>
                <w:rFonts w:ascii="Calibri" w:eastAsia="Times New Roman" w:hAnsi="Calibri" w:cs="Times New Roman"/>
                <w:color w:val="000000"/>
                <w:lang w:val="en-GB" w:eastAsia="en-GB"/>
              </w:rPr>
              <w:t>-478514.4</w:t>
            </w:r>
          </w:p>
        </w:tc>
        <w:tc>
          <w:tcPr>
            <w:tcW w:w="931" w:type="pct"/>
            <w:shd w:val="clear" w:color="auto" w:fill="auto"/>
            <w:noWrap/>
            <w:vAlign w:val="center"/>
            <w:hideMark/>
          </w:tcPr>
          <w:p w14:paraId="63E72268" w14:textId="77777777" w:rsidR="00283C76" w:rsidRPr="00283C76" w:rsidRDefault="00283C76" w:rsidP="00283C76">
            <w:pPr>
              <w:spacing w:after="0" w:line="360" w:lineRule="auto"/>
              <w:jc w:val="center"/>
              <w:rPr>
                <w:rFonts w:ascii="Calibri" w:eastAsia="Times New Roman" w:hAnsi="Calibri" w:cs="Times New Roman"/>
                <w:color w:val="000000"/>
                <w:lang w:val="en-GB" w:eastAsia="en-GB"/>
              </w:rPr>
            </w:pPr>
            <w:r w:rsidRPr="00283C76">
              <w:rPr>
                <w:rFonts w:ascii="Calibri" w:eastAsia="Times New Roman" w:hAnsi="Calibri" w:cs="Times New Roman"/>
                <w:color w:val="000000"/>
                <w:lang w:val="en-GB" w:eastAsia="en-GB"/>
              </w:rPr>
              <w:t>-479,047.50</w:t>
            </w:r>
          </w:p>
        </w:tc>
        <w:tc>
          <w:tcPr>
            <w:tcW w:w="1215" w:type="pct"/>
            <w:shd w:val="clear" w:color="auto" w:fill="auto"/>
            <w:noWrap/>
            <w:vAlign w:val="center"/>
            <w:hideMark/>
          </w:tcPr>
          <w:p w14:paraId="351FE2DF" w14:textId="77777777" w:rsidR="00283C76" w:rsidRPr="00283C76" w:rsidRDefault="00283C76" w:rsidP="00283C76">
            <w:pPr>
              <w:spacing w:after="0" w:line="360" w:lineRule="auto"/>
              <w:jc w:val="center"/>
              <w:rPr>
                <w:rFonts w:ascii="Calibri" w:eastAsia="Times New Roman" w:hAnsi="Calibri" w:cs="Times New Roman"/>
                <w:color w:val="000000"/>
                <w:lang w:val="en-GB" w:eastAsia="en-GB"/>
              </w:rPr>
            </w:pPr>
            <w:r w:rsidRPr="00283C76">
              <w:rPr>
                <w:rFonts w:ascii="Calibri" w:eastAsia="Times New Roman" w:hAnsi="Calibri" w:cs="Times New Roman"/>
                <w:color w:val="000000"/>
                <w:lang w:val="en-GB" w:eastAsia="en-GB"/>
              </w:rPr>
              <w:t>-481,472.60</w:t>
            </w:r>
          </w:p>
        </w:tc>
      </w:tr>
      <w:tr w:rsidR="00283C76" w:rsidRPr="00283C76" w14:paraId="29AADCE7" w14:textId="77777777" w:rsidTr="00283C76">
        <w:trPr>
          <w:trHeight w:val="300"/>
        </w:trPr>
        <w:tc>
          <w:tcPr>
            <w:tcW w:w="2039" w:type="pct"/>
            <w:shd w:val="clear" w:color="auto" w:fill="BFBFBF" w:themeFill="background1" w:themeFillShade="BF"/>
            <w:noWrap/>
            <w:vAlign w:val="bottom"/>
            <w:hideMark/>
          </w:tcPr>
          <w:p w14:paraId="36F6A2DE" w14:textId="082CC235" w:rsidR="00283C76" w:rsidRPr="00283C76" w:rsidRDefault="00283C76" w:rsidP="00283C76">
            <w:pPr>
              <w:spacing w:after="0" w:line="360" w:lineRule="auto"/>
              <w:rPr>
                <w:rFonts w:ascii="Calibri" w:eastAsia="Times New Roman" w:hAnsi="Calibri" w:cs="Times New Roman"/>
                <w:color w:val="000000"/>
                <w:lang w:val="en-GB" w:eastAsia="en-GB"/>
              </w:rPr>
            </w:pPr>
            <w:r w:rsidRPr="00283C76">
              <w:rPr>
                <w:rFonts w:ascii="Calibri" w:eastAsia="Times New Roman" w:hAnsi="Calibri" w:cs="Times New Roman"/>
                <w:color w:val="000000"/>
                <w:lang w:val="en-GB" w:eastAsia="en-GB"/>
              </w:rPr>
              <w:t>Mean of current &amp; 1 month</w:t>
            </w:r>
            <w:r>
              <w:rPr>
                <w:rFonts w:ascii="Calibri" w:eastAsia="Times New Roman" w:hAnsi="Calibri" w:cs="Times New Roman"/>
                <w:color w:val="000000"/>
                <w:lang w:val="en-GB" w:eastAsia="en-GB"/>
              </w:rPr>
              <w:t>’</w:t>
            </w:r>
            <w:r w:rsidRPr="00283C76">
              <w:rPr>
                <w:rFonts w:ascii="Calibri" w:eastAsia="Times New Roman" w:hAnsi="Calibri" w:cs="Times New Roman"/>
                <w:color w:val="000000"/>
                <w:lang w:val="en-GB" w:eastAsia="en-GB"/>
              </w:rPr>
              <w:t>s lag</w:t>
            </w:r>
          </w:p>
        </w:tc>
        <w:tc>
          <w:tcPr>
            <w:tcW w:w="815" w:type="pct"/>
            <w:shd w:val="clear" w:color="auto" w:fill="BFBFBF" w:themeFill="background1" w:themeFillShade="BF"/>
            <w:noWrap/>
            <w:vAlign w:val="center"/>
            <w:hideMark/>
          </w:tcPr>
          <w:p w14:paraId="2ED2F80A" w14:textId="77777777" w:rsidR="00283C76" w:rsidRPr="00283C76" w:rsidRDefault="00283C76" w:rsidP="00283C76">
            <w:pPr>
              <w:spacing w:after="0" w:line="360" w:lineRule="auto"/>
              <w:jc w:val="center"/>
              <w:rPr>
                <w:rFonts w:ascii="Calibri" w:eastAsia="Times New Roman" w:hAnsi="Calibri" w:cs="Times New Roman"/>
                <w:color w:val="000000"/>
                <w:lang w:val="en-GB" w:eastAsia="en-GB"/>
              </w:rPr>
            </w:pPr>
            <w:r w:rsidRPr="00283C76">
              <w:rPr>
                <w:rFonts w:ascii="Calibri" w:eastAsia="Times New Roman" w:hAnsi="Calibri" w:cs="Times New Roman"/>
                <w:color w:val="000000"/>
                <w:lang w:val="en-GB" w:eastAsia="en-GB"/>
              </w:rPr>
              <w:t>-479,561.30</w:t>
            </w:r>
          </w:p>
        </w:tc>
        <w:tc>
          <w:tcPr>
            <w:tcW w:w="931" w:type="pct"/>
            <w:shd w:val="clear" w:color="auto" w:fill="BFBFBF" w:themeFill="background1" w:themeFillShade="BF"/>
            <w:noWrap/>
            <w:vAlign w:val="center"/>
            <w:hideMark/>
          </w:tcPr>
          <w:p w14:paraId="6E8265DB" w14:textId="77777777" w:rsidR="00283C76" w:rsidRPr="00283C76" w:rsidRDefault="00283C76" w:rsidP="00283C76">
            <w:pPr>
              <w:spacing w:after="0" w:line="360" w:lineRule="auto"/>
              <w:jc w:val="center"/>
              <w:rPr>
                <w:rFonts w:ascii="Calibri" w:eastAsia="Times New Roman" w:hAnsi="Calibri" w:cs="Times New Roman"/>
                <w:color w:val="000000"/>
                <w:lang w:val="en-GB" w:eastAsia="en-GB"/>
              </w:rPr>
            </w:pPr>
            <w:r w:rsidRPr="00283C76">
              <w:rPr>
                <w:rFonts w:ascii="Calibri" w:eastAsia="Times New Roman" w:hAnsi="Calibri" w:cs="Times New Roman"/>
                <w:color w:val="000000"/>
                <w:lang w:val="en-GB" w:eastAsia="en-GB"/>
              </w:rPr>
              <w:t>-479,232.40</w:t>
            </w:r>
          </w:p>
        </w:tc>
        <w:tc>
          <w:tcPr>
            <w:tcW w:w="1215" w:type="pct"/>
            <w:shd w:val="clear" w:color="auto" w:fill="BFBFBF" w:themeFill="background1" w:themeFillShade="BF"/>
            <w:noWrap/>
            <w:vAlign w:val="center"/>
            <w:hideMark/>
          </w:tcPr>
          <w:p w14:paraId="1B8A74AD" w14:textId="77777777" w:rsidR="00283C76" w:rsidRPr="00283C76" w:rsidRDefault="00283C76" w:rsidP="00283C76">
            <w:pPr>
              <w:spacing w:after="0" w:line="360" w:lineRule="auto"/>
              <w:jc w:val="center"/>
              <w:rPr>
                <w:rFonts w:ascii="Calibri" w:eastAsia="Times New Roman" w:hAnsi="Calibri" w:cs="Times New Roman"/>
                <w:b/>
                <w:bCs/>
                <w:color w:val="000000"/>
                <w:lang w:val="en-GB" w:eastAsia="en-GB"/>
              </w:rPr>
            </w:pPr>
            <w:r w:rsidRPr="00283C76">
              <w:rPr>
                <w:rFonts w:ascii="Calibri" w:eastAsia="Times New Roman" w:hAnsi="Calibri" w:cs="Times New Roman"/>
                <w:b/>
                <w:bCs/>
                <w:color w:val="000000"/>
                <w:lang w:val="en-GB" w:eastAsia="en-GB"/>
              </w:rPr>
              <w:t>-481,537.80</w:t>
            </w:r>
          </w:p>
        </w:tc>
      </w:tr>
      <w:tr w:rsidR="00283C76" w:rsidRPr="00283C76" w14:paraId="1F107A2A" w14:textId="77777777" w:rsidTr="00283C76">
        <w:trPr>
          <w:trHeight w:val="300"/>
        </w:trPr>
        <w:tc>
          <w:tcPr>
            <w:tcW w:w="2039" w:type="pct"/>
            <w:shd w:val="clear" w:color="auto" w:fill="auto"/>
            <w:noWrap/>
            <w:vAlign w:val="bottom"/>
            <w:hideMark/>
          </w:tcPr>
          <w:p w14:paraId="1AE94B68" w14:textId="206C27B5" w:rsidR="00283C76" w:rsidRPr="00283C76" w:rsidRDefault="00283C76" w:rsidP="00283C76">
            <w:pPr>
              <w:spacing w:after="0" w:line="360" w:lineRule="auto"/>
              <w:rPr>
                <w:rFonts w:ascii="Calibri" w:eastAsia="Times New Roman" w:hAnsi="Calibri" w:cs="Times New Roman"/>
                <w:color w:val="000000"/>
                <w:lang w:val="en-GB" w:eastAsia="en-GB"/>
              </w:rPr>
            </w:pPr>
            <w:r w:rsidRPr="00283C76">
              <w:rPr>
                <w:rFonts w:ascii="Calibri" w:eastAsia="Times New Roman" w:hAnsi="Calibri" w:cs="Times New Roman"/>
                <w:color w:val="000000"/>
                <w:lang w:val="en-GB" w:eastAsia="en-GB"/>
              </w:rPr>
              <w:t>Mean of current &amp; 2 months</w:t>
            </w:r>
            <w:r>
              <w:rPr>
                <w:rFonts w:ascii="Calibri" w:eastAsia="Times New Roman" w:hAnsi="Calibri" w:cs="Times New Roman"/>
                <w:color w:val="000000"/>
                <w:lang w:val="en-GB" w:eastAsia="en-GB"/>
              </w:rPr>
              <w:t>’</w:t>
            </w:r>
            <w:r w:rsidRPr="00283C76">
              <w:rPr>
                <w:rFonts w:ascii="Calibri" w:eastAsia="Times New Roman" w:hAnsi="Calibri" w:cs="Times New Roman"/>
                <w:color w:val="000000"/>
                <w:lang w:val="en-GB" w:eastAsia="en-GB"/>
              </w:rPr>
              <w:t xml:space="preserve"> lag</w:t>
            </w:r>
          </w:p>
        </w:tc>
        <w:tc>
          <w:tcPr>
            <w:tcW w:w="815" w:type="pct"/>
            <w:shd w:val="clear" w:color="auto" w:fill="auto"/>
            <w:noWrap/>
            <w:vAlign w:val="center"/>
            <w:hideMark/>
          </w:tcPr>
          <w:p w14:paraId="02FEA52F" w14:textId="77777777" w:rsidR="00283C76" w:rsidRPr="00283C76" w:rsidRDefault="00283C76" w:rsidP="00283C76">
            <w:pPr>
              <w:spacing w:after="0" w:line="360" w:lineRule="auto"/>
              <w:jc w:val="center"/>
              <w:rPr>
                <w:rFonts w:ascii="Calibri" w:eastAsia="Times New Roman" w:hAnsi="Calibri" w:cs="Times New Roman"/>
                <w:color w:val="000000"/>
                <w:lang w:val="en-GB" w:eastAsia="en-GB"/>
              </w:rPr>
            </w:pPr>
            <w:r w:rsidRPr="00283C76">
              <w:rPr>
                <w:rFonts w:ascii="Calibri" w:eastAsia="Times New Roman" w:hAnsi="Calibri" w:cs="Times New Roman"/>
                <w:color w:val="000000"/>
                <w:lang w:val="en-GB" w:eastAsia="en-GB"/>
              </w:rPr>
              <w:t>-480,403.10</w:t>
            </w:r>
          </w:p>
        </w:tc>
        <w:tc>
          <w:tcPr>
            <w:tcW w:w="931" w:type="pct"/>
            <w:shd w:val="clear" w:color="auto" w:fill="auto"/>
            <w:noWrap/>
            <w:vAlign w:val="center"/>
            <w:hideMark/>
          </w:tcPr>
          <w:p w14:paraId="7E13ABBA" w14:textId="77777777" w:rsidR="00283C76" w:rsidRPr="00283C76" w:rsidRDefault="00283C76" w:rsidP="00283C76">
            <w:pPr>
              <w:spacing w:after="0" w:line="360" w:lineRule="auto"/>
              <w:jc w:val="center"/>
              <w:rPr>
                <w:rFonts w:ascii="Calibri" w:eastAsia="Times New Roman" w:hAnsi="Calibri" w:cs="Times New Roman"/>
                <w:color w:val="000000"/>
                <w:lang w:val="en-GB" w:eastAsia="en-GB"/>
              </w:rPr>
            </w:pPr>
            <w:r w:rsidRPr="00283C76">
              <w:rPr>
                <w:rFonts w:ascii="Calibri" w:eastAsia="Times New Roman" w:hAnsi="Calibri" w:cs="Times New Roman"/>
                <w:color w:val="000000"/>
                <w:lang w:val="en-GB" w:eastAsia="en-GB"/>
              </w:rPr>
              <w:t>-479,743.80</w:t>
            </w:r>
          </w:p>
        </w:tc>
        <w:tc>
          <w:tcPr>
            <w:tcW w:w="1215" w:type="pct"/>
            <w:shd w:val="clear" w:color="auto" w:fill="auto"/>
            <w:noWrap/>
            <w:vAlign w:val="center"/>
            <w:hideMark/>
          </w:tcPr>
          <w:p w14:paraId="53AFEC7E" w14:textId="77777777" w:rsidR="00283C76" w:rsidRPr="00283C76" w:rsidRDefault="00283C76" w:rsidP="00283C76">
            <w:pPr>
              <w:spacing w:after="0" w:line="360" w:lineRule="auto"/>
              <w:jc w:val="center"/>
              <w:rPr>
                <w:rFonts w:ascii="Calibri" w:eastAsia="Times New Roman" w:hAnsi="Calibri" w:cs="Times New Roman"/>
                <w:color w:val="000000"/>
                <w:lang w:val="en-GB" w:eastAsia="en-GB"/>
              </w:rPr>
            </w:pPr>
            <w:r w:rsidRPr="00283C76">
              <w:rPr>
                <w:rFonts w:ascii="Calibri" w:eastAsia="Times New Roman" w:hAnsi="Calibri" w:cs="Times New Roman"/>
                <w:color w:val="000000"/>
                <w:lang w:val="en-GB" w:eastAsia="en-GB"/>
              </w:rPr>
              <w:t>-481,127.30</w:t>
            </w:r>
          </w:p>
        </w:tc>
      </w:tr>
      <w:tr w:rsidR="00283C76" w:rsidRPr="00283C76" w14:paraId="7EBCE02B" w14:textId="77777777" w:rsidTr="00283C76">
        <w:trPr>
          <w:trHeight w:val="300"/>
        </w:trPr>
        <w:tc>
          <w:tcPr>
            <w:tcW w:w="2039" w:type="pct"/>
            <w:shd w:val="clear" w:color="auto" w:fill="BFBFBF" w:themeFill="background1" w:themeFillShade="BF"/>
            <w:noWrap/>
            <w:vAlign w:val="bottom"/>
            <w:hideMark/>
          </w:tcPr>
          <w:p w14:paraId="562B4F4F" w14:textId="4B3CEA3D" w:rsidR="00283C76" w:rsidRPr="00283C76" w:rsidRDefault="00283C76" w:rsidP="00283C76">
            <w:pPr>
              <w:spacing w:after="0" w:line="360" w:lineRule="auto"/>
              <w:rPr>
                <w:rFonts w:ascii="Calibri" w:eastAsia="Times New Roman" w:hAnsi="Calibri" w:cs="Times New Roman"/>
                <w:color w:val="000000"/>
                <w:lang w:val="en-GB" w:eastAsia="en-GB"/>
              </w:rPr>
            </w:pPr>
            <w:r w:rsidRPr="00283C76">
              <w:rPr>
                <w:rFonts w:ascii="Calibri" w:eastAsia="Times New Roman" w:hAnsi="Calibri" w:cs="Times New Roman"/>
                <w:color w:val="000000"/>
                <w:lang w:val="en-GB" w:eastAsia="en-GB"/>
              </w:rPr>
              <w:t>Mean of current &amp; 3 months</w:t>
            </w:r>
            <w:r>
              <w:rPr>
                <w:rFonts w:ascii="Calibri" w:eastAsia="Times New Roman" w:hAnsi="Calibri" w:cs="Times New Roman"/>
                <w:color w:val="000000"/>
                <w:lang w:val="en-GB" w:eastAsia="en-GB"/>
              </w:rPr>
              <w:t>’</w:t>
            </w:r>
            <w:r w:rsidRPr="00283C76">
              <w:rPr>
                <w:rFonts w:ascii="Calibri" w:eastAsia="Times New Roman" w:hAnsi="Calibri" w:cs="Times New Roman"/>
                <w:color w:val="000000"/>
                <w:lang w:val="en-GB" w:eastAsia="en-GB"/>
              </w:rPr>
              <w:t xml:space="preserve"> lag</w:t>
            </w:r>
          </w:p>
        </w:tc>
        <w:tc>
          <w:tcPr>
            <w:tcW w:w="815" w:type="pct"/>
            <w:shd w:val="clear" w:color="auto" w:fill="BFBFBF" w:themeFill="background1" w:themeFillShade="BF"/>
            <w:noWrap/>
            <w:vAlign w:val="center"/>
            <w:hideMark/>
          </w:tcPr>
          <w:p w14:paraId="568E706D" w14:textId="77777777" w:rsidR="00283C76" w:rsidRPr="00283C76" w:rsidRDefault="00283C76" w:rsidP="00283C76">
            <w:pPr>
              <w:spacing w:after="0" w:line="360" w:lineRule="auto"/>
              <w:jc w:val="center"/>
              <w:rPr>
                <w:rFonts w:ascii="Calibri" w:eastAsia="Times New Roman" w:hAnsi="Calibri" w:cs="Times New Roman"/>
                <w:b/>
                <w:bCs/>
                <w:color w:val="000000"/>
                <w:lang w:val="en-GB" w:eastAsia="en-GB"/>
              </w:rPr>
            </w:pPr>
            <w:r w:rsidRPr="00283C76">
              <w:rPr>
                <w:rFonts w:ascii="Calibri" w:eastAsia="Times New Roman" w:hAnsi="Calibri" w:cs="Times New Roman"/>
                <w:b/>
                <w:bCs/>
                <w:color w:val="000000"/>
                <w:lang w:val="en-GB" w:eastAsia="en-GB"/>
              </w:rPr>
              <w:t>-480,553.30</w:t>
            </w:r>
          </w:p>
        </w:tc>
        <w:tc>
          <w:tcPr>
            <w:tcW w:w="931" w:type="pct"/>
            <w:shd w:val="clear" w:color="auto" w:fill="BFBFBF" w:themeFill="background1" w:themeFillShade="BF"/>
            <w:noWrap/>
            <w:vAlign w:val="center"/>
            <w:hideMark/>
          </w:tcPr>
          <w:p w14:paraId="317BE090" w14:textId="77777777" w:rsidR="00283C76" w:rsidRPr="00283C76" w:rsidRDefault="00283C76" w:rsidP="00283C76">
            <w:pPr>
              <w:spacing w:after="0" w:line="360" w:lineRule="auto"/>
              <w:jc w:val="center"/>
              <w:rPr>
                <w:rFonts w:ascii="Calibri" w:eastAsia="Times New Roman" w:hAnsi="Calibri" w:cs="Times New Roman"/>
                <w:b/>
                <w:bCs/>
                <w:color w:val="000000"/>
                <w:lang w:val="en-GB" w:eastAsia="en-GB"/>
              </w:rPr>
            </w:pPr>
            <w:r w:rsidRPr="00283C76">
              <w:rPr>
                <w:rFonts w:ascii="Calibri" w:eastAsia="Times New Roman" w:hAnsi="Calibri" w:cs="Times New Roman"/>
                <w:b/>
                <w:bCs/>
                <w:color w:val="000000"/>
                <w:lang w:val="en-GB" w:eastAsia="en-GB"/>
              </w:rPr>
              <w:t>-480,553.30</w:t>
            </w:r>
          </w:p>
        </w:tc>
        <w:tc>
          <w:tcPr>
            <w:tcW w:w="1215" w:type="pct"/>
            <w:shd w:val="clear" w:color="auto" w:fill="BFBFBF" w:themeFill="background1" w:themeFillShade="BF"/>
            <w:noWrap/>
            <w:vAlign w:val="center"/>
            <w:hideMark/>
          </w:tcPr>
          <w:p w14:paraId="7862BB6B" w14:textId="77777777" w:rsidR="00283C76" w:rsidRPr="00283C76" w:rsidRDefault="00283C76" w:rsidP="00283C76">
            <w:pPr>
              <w:spacing w:after="0" w:line="360" w:lineRule="auto"/>
              <w:jc w:val="center"/>
              <w:rPr>
                <w:rFonts w:ascii="Calibri" w:eastAsia="Times New Roman" w:hAnsi="Calibri" w:cs="Times New Roman"/>
                <w:color w:val="000000"/>
                <w:lang w:val="en-GB" w:eastAsia="en-GB"/>
              </w:rPr>
            </w:pPr>
            <w:r w:rsidRPr="00283C76">
              <w:rPr>
                <w:rFonts w:ascii="Calibri" w:eastAsia="Times New Roman" w:hAnsi="Calibri" w:cs="Times New Roman"/>
                <w:color w:val="000000"/>
                <w:lang w:val="en-GB" w:eastAsia="en-GB"/>
              </w:rPr>
              <w:t>-480,553.30</w:t>
            </w:r>
          </w:p>
        </w:tc>
      </w:tr>
    </w:tbl>
    <w:p w14:paraId="2B41AF5F" w14:textId="43D235CC" w:rsidR="00283C76" w:rsidRPr="00CE5C15" w:rsidRDefault="00CE5C15" w:rsidP="00283C76">
      <w:pPr>
        <w:spacing w:line="360" w:lineRule="auto"/>
        <w:rPr>
          <w:i/>
          <w:iCs/>
        </w:rPr>
      </w:pPr>
      <w:r w:rsidRPr="00CE5C15">
        <w:rPr>
          <w:i/>
          <w:iCs/>
        </w:rPr>
        <w:t>Best choice covariate AIC indicated with bold value</w:t>
      </w:r>
    </w:p>
    <w:p w14:paraId="751F4DD9" w14:textId="021D19A9" w:rsidR="004579F5" w:rsidRDefault="004579F5" w:rsidP="00283C76">
      <w:pPr>
        <w:spacing w:line="360" w:lineRule="auto"/>
      </w:pPr>
      <w:r>
        <w:t>From the final selection of covariates including: years of education for women of childbearing age, nighttime light emissivity, mean of current and three months’ lags for rainfall and land surface temperature, and mean of current and one month’s lag of NDVI</w:t>
      </w:r>
      <w:r w:rsidR="00DE46D8">
        <w:t>,</w:t>
      </w:r>
      <w:r>
        <w:t xml:space="preserve"> it was clear that </w:t>
      </w:r>
      <w:r w:rsidR="00DE46D8">
        <w:t>all except years of education for women of childbearing age were significantly and positively associated with the outcome, w</w:t>
      </w:r>
      <w:r w:rsidR="00C824EC">
        <w:t>hile</w:t>
      </w:r>
      <w:r w:rsidR="00DE46D8">
        <w:t xml:space="preserve"> education </w:t>
      </w:r>
      <w:r w:rsidR="00C824EC">
        <w:t>was</w:t>
      </w:r>
      <w:r w:rsidR="00DE46D8">
        <w:t xml:space="preserve"> negatively</w:t>
      </w:r>
      <w:r w:rsidR="00C824EC">
        <w:t xml:space="preserve"> but also significantly (</w:t>
      </w:r>
      <w:r w:rsidR="00C824EC" w:rsidRPr="00C824EC">
        <w:rPr>
          <w:i/>
          <w:iCs/>
        </w:rPr>
        <w:t>p</w:t>
      </w:r>
      <w:r w:rsidR="00C824EC">
        <w:t>&lt;0.001)</w:t>
      </w:r>
      <w:r w:rsidR="00DE46D8">
        <w:t xml:space="preserve"> associated as shown in Table S3 below.</w:t>
      </w:r>
    </w:p>
    <w:p w14:paraId="717C5291" w14:textId="5F2A9A8F" w:rsidR="00CE5C15" w:rsidRPr="00CE5C15" w:rsidRDefault="00CE5C15" w:rsidP="00CE5C15">
      <w:pPr>
        <w:pStyle w:val="Caption"/>
        <w:keepNext/>
        <w:rPr>
          <w:b/>
          <w:bCs/>
          <w:i w:val="0"/>
          <w:iCs w:val="0"/>
          <w:color w:val="auto"/>
          <w:sz w:val="22"/>
          <w:szCs w:val="22"/>
        </w:rPr>
      </w:pPr>
      <w:r w:rsidRPr="00CE5C15">
        <w:rPr>
          <w:b/>
          <w:bCs/>
          <w:i w:val="0"/>
          <w:iCs w:val="0"/>
          <w:color w:val="auto"/>
          <w:sz w:val="22"/>
          <w:szCs w:val="22"/>
        </w:rPr>
        <w:t xml:space="preserve">Table </w:t>
      </w:r>
      <w:r>
        <w:rPr>
          <w:b/>
          <w:bCs/>
          <w:i w:val="0"/>
          <w:iCs w:val="0"/>
          <w:color w:val="auto"/>
          <w:sz w:val="22"/>
          <w:szCs w:val="22"/>
        </w:rPr>
        <w:t>S</w:t>
      </w:r>
      <w:r w:rsidRPr="00CE5C15">
        <w:rPr>
          <w:b/>
          <w:bCs/>
          <w:i w:val="0"/>
          <w:iCs w:val="0"/>
          <w:color w:val="auto"/>
          <w:sz w:val="22"/>
          <w:szCs w:val="22"/>
        </w:rPr>
        <w:fldChar w:fldCharType="begin"/>
      </w:r>
      <w:r w:rsidRPr="00CE5C15">
        <w:rPr>
          <w:b/>
          <w:bCs/>
          <w:i w:val="0"/>
          <w:iCs w:val="0"/>
          <w:color w:val="auto"/>
          <w:sz w:val="22"/>
          <w:szCs w:val="22"/>
        </w:rPr>
        <w:instrText xml:space="preserve"> SEQ Table \* ARABIC </w:instrText>
      </w:r>
      <w:r w:rsidRPr="00CE5C15">
        <w:rPr>
          <w:b/>
          <w:bCs/>
          <w:i w:val="0"/>
          <w:iCs w:val="0"/>
          <w:color w:val="auto"/>
          <w:sz w:val="22"/>
          <w:szCs w:val="22"/>
        </w:rPr>
        <w:fldChar w:fldCharType="separate"/>
      </w:r>
      <w:r w:rsidRPr="00CE5C15">
        <w:rPr>
          <w:b/>
          <w:bCs/>
          <w:i w:val="0"/>
          <w:iCs w:val="0"/>
          <w:noProof/>
          <w:color w:val="auto"/>
          <w:sz w:val="22"/>
          <w:szCs w:val="22"/>
        </w:rPr>
        <w:t>3</w:t>
      </w:r>
      <w:r w:rsidRPr="00CE5C15">
        <w:rPr>
          <w:b/>
          <w:bCs/>
          <w:i w:val="0"/>
          <w:iCs w:val="0"/>
          <w:color w:val="auto"/>
          <w:sz w:val="22"/>
          <w:szCs w:val="22"/>
        </w:rPr>
        <w:fldChar w:fldCharType="end"/>
      </w:r>
      <w:r w:rsidRPr="00CE5C15">
        <w:rPr>
          <w:b/>
          <w:bCs/>
          <w:i w:val="0"/>
          <w:iCs w:val="0"/>
          <w:color w:val="auto"/>
          <w:sz w:val="22"/>
          <w:szCs w:val="22"/>
        </w:rPr>
        <w:t>. Association between best fitted covariates and crude incidence rates from multi-variable regression</w:t>
      </w:r>
    </w:p>
    <w:tbl>
      <w:tblPr>
        <w:tblW w:w="5000" w:type="pct"/>
        <w:tblLook w:val="04A0" w:firstRow="1" w:lastRow="0" w:firstColumn="1" w:lastColumn="0" w:noHBand="0" w:noVBand="1"/>
      </w:tblPr>
      <w:tblGrid>
        <w:gridCol w:w="4775"/>
        <w:gridCol w:w="1410"/>
        <w:gridCol w:w="2250"/>
        <w:gridCol w:w="925"/>
      </w:tblGrid>
      <w:tr w:rsidR="00DE46D8" w:rsidRPr="00DE46D8" w14:paraId="77DCF4FC" w14:textId="77777777" w:rsidTr="00CE5C15">
        <w:trPr>
          <w:trHeight w:val="630"/>
        </w:trPr>
        <w:tc>
          <w:tcPr>
            <w:tcW w:w="2551" w:type="pct"/>
            <w:tcBorders>
              <w:top w:val="single" w:sz="12" w:space="0" w:color="auto"/>
              <w:left w:val="nil"/>
              <w:bottom w:val="nil"/>
              <w:right w:val="nil"/>
            </w:tcBorders>
            <w:shd w:val="clear" w:color="auto" w:fill="BFBFBF" w:themeFill="background1" w:themeFillShade="BF"/>
            <w:noWrap/>
            <w:vAlign w:val="center"/>
            <w:hideMark/>
          </w:tcPr>
          <w:p w14:paraId="47A0CB87" w14:textId="77777777" w:rsidR="00DE46D8" w:rsidRPr="00DE46D8" w:rsidRDefault="00DE46D8" w:rsidP="00CE5C15">
            <w:pPr>
              <w:spacing w:after="0" w:line="360" w:lineRule="auto"/>
              <w:rPr>
                <w:rFonts w:ascii="Calibri" w:eastAsia="Times New Roman" w:hAnsi="Calibri" w:cs="Times New Roman"/>
                <w:b/>
                <w:bCs/>
                <w:color w:val="000000"/>
                <w:lang w:val="en-GB" w:eastAsia="en-GB"/>
              </w:rPr>
            </w:pPr>
            <w:r w:rsidRPr="00DE46D8">
              <w:rPr>
                <w:rFonts w:ascii="Calibri" w:eastAsia="Times New Roman" w:hAnsi="Calibri" w:cs="Times New Roman"/>
                <w:b/>
                <w:bCs/>
                <w:color w:val="000000"/>
                <w:lang w:val="en-GB" w:eastAsia="en-GB"/>
              </w:rPr>
              <w:t>Covariate</w:t>
            </w:r>
          </w:p>
        </w:tc>
        <w:tc>
          <w:tcPr>
            <w:tcW w:w="753" w:type="pct"/>
            <w:tcBorders>
              <w:top w:val="single" w:sz="12" w:space="0" w:color="auto"/>
              <w:left w:val="nil"/>
              <w:bottom w:val="nil"/>
              <w:right w:val="nil"/>
            </w:tcBorders>
            <w:shd w:val="clear" w:color="auto" w:fill="BFBFBF" w:themeFill="background1" w:themeFillShade="BF"/>
            <w:vAlign w:val="center"/>
            <w:hideMark/>
          </w:tcPr>
          <w:p w14:paraId="7EACDC0C" w14:textId="77777777" w:rsidR="00DE46D8" w:rsidRPr="00DE46D8" w:rsidRDefault="00DE46D8" w:rsidP="00CE5C15">
            <w:pPr>
              <w:spacing w:after="0" w:line="360" w:lineRule="auto"/>
              <w:rPr>
                <w:rFonts w:ascii="Calibri" w:eastAsia="Times New Roman" w:hAnsi="Calibri" w:cs="Times New Roman"/>
                <w:b/>
                <w:bCs/>
                <w:color w:val="000000"/>
                <w:lang w:val="en-GB" w:eastAsia="en-GB"/>
              </w:rPr>
            </w:pPr>
            <w:r w:rsidRPr="00DE46D8">
              <w:rPr>
                <w:rFonts w:ascii="Calibri" w:eastAsia="Times New Roman" w:hAnsi="Calibri" w:cs="Times New Roman"/>
                <w:b/>
                <w:bCs/>
                <w:color w:val="000000"/>
                <w:lang w:val="en-GB" w:eastAsia="en-GB"/>
              </w:rPr>
              <w:t>Regression coefficient</w:t>
            </w:r>
          </w:p>
        </w:tc>
        <w:tc>
          <w:tcPr>
            <w:tcW w:w="1202" w:type="pct"/>
            <w:tcBorders>
              <w:top w:val="single" w:sz="12" w:space="0" w:color="auto"/>
              <w:left w:val="nil"/>
              <w:bottom w:val="nil"/>
              <w:right w:val="nil"/>
            </w:tcBorders>
            <w:shd w:val="clear" w:color="auto" w:fill="BFBFBF" w:themeFill="background1" w:themeFillShade="BF"/>
            <w:noWrap/>
            <w:vAlign w:val="center"/>
            <w:hideMark/>
          </w:tcPr>
          <w:p w14:paraId="4882A8AD" w14:textId="77777777" w:rsidR="00DE46D8" w:rsidRPr="00DE46D8" w:rsidRDefault="00DE46D8" w:rsidP="00CE5C15">
            <w:pPr>
              <w:spacing w:after="0" w:line="360" w:lineRule="auto"/>
              <w:rPr>
                <w:rFonts w:ascii="Calibri" w:eastAsia="Times New Roman" w:hAnsi="Calibri" w:cs="Times New Roman"/>
                <w:b/>
                <w:bCs/>
                <w:color w:val="000000"/>
                <w:lang w:val="en-GB" w:eastAsia="en-GB"/>
              </w:rPr>
            </w:pPr>
            <w:r w:rsidRPr="00DE46D8">
              <w:rPr>
                <w:rFonts w:ascii="Calibri" w:eastAsia="Times New Roman" w:hAnsi="Calibri" w:cs="Times New Roman"/>
                <w:b/>
                <w:bCs/>
                <w:color w:val="000000"/>
                <w:lang w:val="en-GB" w:eastAsia="en-GB"/>
              </w:rPr>
              <w:t>95% Conf I</w:t>
            </w:r>
          </w:p>
        </w:tc>
        <w:tc>
          <w:tcPr>
            <w:tcW w:w="494" w:type="pct"/>
            <w:tcBorders>
              <w:top w:val="single" w:sz="12" w:space="0" w:color="auto"/>
              <w:left w:val="nil"/>
              <w:bottom w:val="nil"/>
              <w:right w:val="nil"/>
            </w:tcBorders>
            <w:shd w:val="clear" w:color="auto" w:fill="BFBFBF" w:themeFill="background1" w:themeFillShade="BF"/>
            <w:noWrap/>
            <w:vAlign w:val="center"/>
            <w:hideMark/>
          </w:tcPr>
          <w:p w14:paraId="578DD97A" w14:textId="77777777" w:rsidR="00DE46D8" w:rsidRPr="00DE46D8" w:rsidRDefault="00DE46D8" w:rsidP="00CE5C15">
            <w:pPr>
              <w:spacing w:after="0" w:line="360" w:lineRule="auto"/>
              <w:rPr>
                <w:rFonts w:ascii="Calibri" w:eastAsia="Times New Roman" w:hAnsi="Calibri" w:cs="Times New Roman"/>
                <w:b/>
                <w:bCs/>
                <w:color w:val="000000"/>
                <w:lang w:val="en-GB" w:eastAsia="en-GB"/>
              </w:rPr>
            </w:pPr>
            <w:r w:rsidRPr="00DE46D8">
              <w:rPr>
                <w:rFonts w:ascii="Calibri" w:eastAsia="Times New Roman" w:hAnsi="Calibri" w:cs="Times New Roman"/>
                <w:b/>
                <w:bCs/>
                <w:color w:val="000000"/>
                <w:lang w:val="en-GB" w:eastAsia="en-GB"/>
              </w:rPr>
              <w:t>p-value</w:t>
            </w:r>
          </w:p>
        </w:tc>
      </w:tr>
      <w:tr w:rsidR="00DE46D8" w:rsidRPr="00DE46D8" w14:paraId="3F4A07C5" w14:textId="77777777" w:rsidTr="00DE46D8">
        <w:trPr>
          <w:trHeight w:val="300"/>
        </w:trPr>
        <w:tc>
          <w:tcPr>
            <w:tcW w:w="2551" w:type="pct"/>
            <w:tcBorders>
              <w:top w:val="nil"/>
              <w:left w:val="nil"/>
              <w:bottom w:val="nil"/>
              <w:right w:val="nil"/>
            </w:tcBorders>
            <w:shd w:val="clear" w:color="auto" w:fill="auto"/>
            <w:noWrap/>
            <w:vAlign w:val="bottom"/>
            <w:hideMark/>
          </w:tcPr>
          <w:p w14:paraId="72AF5550" w14:textId="77777777" w:rsidR="00DE46D8" w:rsidRPr="00DE46D8" w:rsidRDefault="00DE46D8" w:rsidP="00CE5C15">
            <w:pPr>
              <w:spacing w:after="0" w:line="360" w:lineRule="auto"/>
              <w:rPr>
                <w:rFonts w:ascii="Calibri" w:eastAsia="Times New Roman" w:hAnsi="Calibri" w:cs="Times New Roman"/>
                <w:color w:val="000000"/>
                <w:lang w:val="en-GB" w:eastAsia="en-GB"/>
              </w:rPr>
            </w:pPr>
            <w:r w:rsidRPr="00DE46D8">
              <w:rPr>
                <w:rFonts w:ascii="Calibri" w:eastAsia="Times New Roman" w:hAnsi="Calibri" w:cs="Times New Roman"/>
                <w:color w:val="000000"/>
                <w:lang w:val="en-GB" w:eastAsia="en-GB"/>
              </w:rPr>
              <w:t>Education</w:t>
            </w:r>
          </w:p>
        </w:tc>
        <w:tc>
          <w:tcPr>
            <w:tcW w:w="753" w:type="pct"/>
            <w:tcBorders>
              <w:top w:val="nil"/>
              <w:left w:val="nil"/>
              <w:bottom w:val="nil"/>
              <w:right w:val="nil"/>
            </w:tcBorders>
            <w:shd w:val="clear" w:color="auto" w:fill="auto"/>
            <w:noWrap/>
            <w:vAlign w:val="bottom"/>
            <w:hideMark/>
          </w:tcPr>
          <w:p w14:paraId="4B68E250" w14:textId="77777777" w:rsidR="00DE46D8" w:rsidRPr="00DE46D8" w:rsidRDefault="00DE46D8" w:rsidP="00CE5C15">
            <w:pPr>
              <w:spacing w:after="0" w:line="360" w:lineRule="auto"/>
              <w:jc w:val="right"/>
              <w:rPr>
                <w:rFonts w:ascii="Calibri" w:eastAsia="Times New Roman" w:hAnsi="Calibri" w:cs="Times New Roman"/>
                <w:color w:val="000000"/>
                <w:lang w:val="en-GB" w:eastAsia="en-GB"/>
              </w:rPr>
            </w:pPr>
            <w:r w:rsidRPr="00DE46D8">
              <w:rPr>
                <w:rFonts w:ascii="Calibri" w:eastAsia="Times New Roman" w:hAnsi="Calibri" w:cs="Times New Roman"/>
                <w:color w:val="000000"/>
                <w:lang w:val="en-GB" w:eastAsia="en-GB"/>
              </w:rPr>
              <w:t>-0.007338</w:t>
            </w:r>
          </w:p>
        </w:tc>
        <w:tc>
          <w:tcPr>
            <w:tcW w:w="1202" w:type="pct"/>
            <w:tcBorders>
              <w:top w:val="nil"/>
              <w:left w:val="nil"/>
              <w:bottom w:val="nil"/>
              <w:right w:val="nil"/>
            </w:tcBorders>
            <w:shd w:val="clear" w:color="auto" w:fill="auto"/>
            <w:noWrap/>
            <w:vAlign w:val="bottom"/>
            <w:hideMark/>
          </w:tcPr>
          <w:p w14:paraId="11BEE178" w14:textId="77777777" w:rsidR="00DE46D8" w:rsidRPr="00DE46D8" w:rsidRDefault="00DE46D8" w:rsidP="00CE5C15">
            <w:pPr>
              <w:spacing w:after="0" w:line="360" w:lineRule="auto"/>
              <w:rPr>
                <w:rFonts w:ascii="Calibri" w:eastAsia="Times New Roman" w:hAnsi="Calibri" w:cs="Times New Roman"/>
                <w:color w:val="000000"/>
                <w:lang w:val="en-GB" w:eastAsia="en-GB"/>
              </w:rPr>
            </w:pPr>
            <w:r w:rsidRPr="00DE46D8">
              <w:rPr>
                <w:rFonts w:ascii="Calibri" w:eastAsia="Times New Roman" w:hAnsi="Calibri" w:cs="Times New Roman"/>
                <w:color w:val="000000"/>
                <w:lang w:val="en-GB" w:eastAsia="en-GB"/>
              </w:rPr>
              <w:t>(0.007578 - 0.007099)</w:t>
            </w:r>
          </w:p>
        </w:tc>
        <w:tc>
          <w:tcPr>
            <w:tcW w:w="494" w:type="pct"/>
            <w:tcBorders>
              <w:top w:val="nil"/>
              <w:left w:val="nil"/>
              <w:bottom w:val="nil"/>
              <w:right w:val="nil"/>
            </w:tcBorders>
            <w:shd w:val="clear" w:color="auto" w:fill="auto"/>
            <w:noWrap/>
            <w:vAlign w:val="bottom"/>
            <w:hideMark/>
          </w:tcPr>
          <w:p w14:paraId="62DC7A3B" w14:textId="77777777" w:rsidR="00DE46D8" w:rsidRPr="00DE46D8" w:rsidRDefault="00DE46D8" w:rsidP="00CE5C15">
            <w:pPr>
              <w:spacing w:after="0" w:line="360" w:lineRule="auto"/>
              <w:rPr>
                <w:rFonts w:ascii="Calibri" w:eastAsia="Times New Roman" w:hAnsi="Calibri" w:cs="Times New Roman"/>
                <w:color w:val="000000"/>
                <w:lang w:val="en-GB" w:eastAsia="en-GB"/>
              </w:rPr>
            </w:pPr>
            <w:r w:rsidRPr="00DE46D8">
              <w:rPr>
                <w:rFonts w:ascii="Calibri" w:eastAsia="Times New Roman" w:hAnsi="Calibri" w:cs="Times New Roman"/>
                <w:color w:val="000000"/>
                <w:lang w:val="en-GB" w:eastAsia="en-GB"/>
              </w:rPr>
              <w:t>&lt;0.001</w:t>
            </w:r>
          </w:p>
        </w:tc>
      </w:tr>
      <w:tr w:rsidR="00DE46D8" w:rsidRPr="00DE46D8" w14:paraId="46D41332" w14:textId="77777777" w:rsidTr="00CE5C15">
        <w:trPr>
          <w:trHeight w:val="300"/>
        </w:trPr>
        <w:tc>
          <w:tcPr>
            <w:tcW w:w="2551" w:type="pct"/>
            <w:tcBorders>
              <w:top w:val="nil"/>
              <w:left w:val="nil"/>
              <w:bottom w:val="nil"/>
              <w:right w:val="nil"/>
            </w:tcBorders>
            <w:shd w:val="clear" w:color="auto" w:fill="BFBFBF" w:themeFill="background1" w:themeFillShade="BF"/>
            <w:noWrap/>
            <w:vAlign w:val="bottom"/>
            <w:hideMark/>
          </w:tcPr>
          <w:p w14:paraId="1618DE58" w14:textId="77777777" w:rsidR="00DE46D8" w:rsidRPr="00DE46D8" w:rsidRDefault="00DE46D8" w:rsidP="00CE5C15">
            <w:pPr>
              <w:spacing w:after="0" w:line="360" w:lineRule="auto"/>
              <w:rPr>
                <w:rFonts w:ascii="Calibri" w:eastAsia="Times New Roman" w:hAnsi="Calibri" w:cs="Times New Roman"/>
                <w:color w:val="000000"/>
                <w:lang w:val="en-GB" w:eastAsia="en-GB"/>
              </w:rPr>
            </w:pPr>
            <w:r w:rsidRPr="00DE46D8">
              <w:rPr>
                <w:rFonts w:ascii="Calibri" w:eastAsia="Times New Roman" w:hAnsi="Calibri" w:cs="Times New Roman"/>
                <w:color w:val="000000"/>
                <w:lang w:val="en-GB" w:eastAsia="en-GB"/>
              </w:rPr>
              <w:t>Nighttime light emissivity</w:t>
            </w:r>
          </w:p>
        </w:tc>
        <w:tc>
          <w:tcPr>
            <w:tcW w:w="753" w:type="pct"/>
            <w:tcBorders>
              <w:top w:val="nil"/>
              <w:left w:val="nil"/>
              <w:bottom w:val="nil"/>
              <w:right w:val="nil"/>
            </w:tcBorders>
            <w:shd w:val="clear" w:color="auto" w:fill="BFBFBF" w:themeFill="background1" w:themeFillShade="BF"/>
            <w:noWrap/>
            <w:vAlign w:val="bottom"/>
            <w:hideMark/>
          </w:tcPr>
          <w:p w14:paraId="53169E46" w14:textId="77777777" w:rsidR="00DE46D8" w:rsidRPr="00DE46D8" w:rsidRDefault="00DE46D8" w:rsidP="00CE5C15">
            <w:pPr>
              <w:spacing w:after="0" w:line="360" w:lineRule="auto"/>
              <w:jc w:val="right"/>
              <w:rPr>
                <w:rFonts w:ascii="Calibri" w:eastAsia="Times New Roman" w:hAnsi="Calibri" w:cs="Times New Roman"/>
                <w:color w:val="000000"/>
                <w:lang w:val="en-GB" w:eastAsia="en-GB"/>
              </w:rPr>
            </w:pPr>
            <w:r w:rsidRPr="00DE46D8">
              <w:rPr>
                <w:rFonts w:ascii="Calibri" w:eastAsia="Times New Roman" w:hAnsi="Calibri" w:cs="Times New Roman"/>
                <w:color w:val="000000"/>
                <w:lang w:val="en-GB" w:eastAsia="en-GB"/>
              </w:rPr>
              <w:t>0.000052</w:t>
            </w:r>
          </w:p>
        </w:tc>
        <w:tc>
          <w:tcPr>
            <w:tcW w:w="1202" w:type="pct"/>
            <w:tcBorders>
              <w:top w:val="nil"/>
              <w:left w:val="nil"/>
              <w:bottom w:val="nil"/>
              <w:right w:val="nil"/>
            </w:tcBorders>
            <w:shd w:val="clear" w:color="auto" w:fill="BFBFBF" w:themeFill="background1" w:themeFillShade="BF"/>
            <w:noWrap/>
            <w:vAlign w:val="bottom"/>
            <w:hideMark/>
          </w:tcPr>
          <w:p w14:paraId="25C2C823" w14:textId="77777777" w:rsidR="00DE46D8" w:rsidRPr="00DE46D8" w:rsidRDefault="00DE46D8" w:rsidP="00CE5C15">
            <w:pPr>
              <w:spacing w:after="0" w:line="360" w:lineRule="auto"/>
              <w:rPr>
                <w:rFonts w:ascii="Calibri" w:eastAsia="Times New Roman" w:hAnsi="Calibri" w:cs="Times New Roman"/>
                <w:color w:val="000000"/>
                <w:lang w:val="en-GB" w:eastAsia="en-GB"/>
              </w:rPr>
            </w:pPr>
            <w:r w:rsidRPr="00DE46D8">
              <w:rPr>
                <w:rFonts w:ascii="Calibri" w:eastAsia="Times New Roman" w:hAnsi="Calibri" w:cs="Times New Roman"/>
                <w:color w:val="000000"/>
                <w:lang w:val="en-GB" w:eastAsia="en-GB"/>
              </w:rPr>
              <w:t>0.000042 - 0.000063</w:t>
            </w:r>
          </w:p>
        </w:tc>
        <w:tc>
          <w:tcPr>
            <w:tcW w:w="494" w:type="pct"/>
            <w:tcBorders>
              <w:top w:val="nil"/>
              <w:left w:val="nil"/>
              <w:bottom w:val="nil"/>
              <w:right w:val="nil"/>
            </w:tcBorders>
            <w:shd w:val="clear" w:color="auto" w:fill="BFBFBF" w:themeFill="background1" w:themeFillShade="BF"/>
            <w:noWrap/>
            <w:vAlign w:val="bottom"/>
            <w:hideMark/>
          </w:tcPr>
          <w:p w14:paraId="3C849EFD" w14:textId="77777777" w:rsidR="00DE46D8" w:rsidRPr="00DE46D8" w:rsidRDefault="00DE46D8" w:rsidP="00CE5C15">
            <w:pPr>
              <w:spacing w:after="0" w:line="360" w:lineRule="auto"/>
              <w:rPr>
                <w:rFonts w:ascii="Calibri" w:eastAsia="Times New Roman" w:hAnsi="Calibri" w:cs="Times New Roman"/>
                <w:color w:val="000000"/>
                <w:lang w:val="en-GB" w:eastAsia="en-GB"/>
              </w:rPr>
            </w:pPr>
            <w:r w:rsidRPr="00DE46D8">
              <w:rPr>
                <w:rFonts w:ascii="Calibri" w:eastAsia="Times New Roman" w:hAnsi="Calibri" w:cs="Times New Roman"/>
                <w:color w:val="000000"/>
                <w:lang w:val="en-GB" w:eastAsia="en-GB"/>
              </w:rPr>
              <w:t>&lt;0.001</w:t>
            </w:r>
          </w:p>
        </w:tc>
      </w:tr>
      <w:tr w:rsidR="00DE46D8" w:rsidRPr="00DE46D8" w14:paraId="3EB2F0EB" w14:textId="77777777" w:rsidTr="00DE46D8">
        <w:trPr>
          <w:trHeight w:val="300"/>
        </w:trPr>
        <w:tc>
          <w:tcPr>
            <w:tcW w:w="2551" w:type="pct"/>
            <w:tcBorders>
              <w:top w:val="nil"/>
              <w:left w:val="nil"/>
              <w:bottom w:val="nil"/>
              <w:right w:val="nil"/>
            </w:tcBorders>
            <w:shd w:val="clear" w:color="auto" w:fill="auto"/>
            <w:noWrap/>
            <w:vAlign w:val="bottom"/>
            <w:hideMark/>
          </w:tcPr>
          <w:p w14:paraId="50F14359" w14:textId="2CB74D4D" w:rsidR="00DE46D8" w:rsidRPr="00DE46D8" w:rsidRDefault="00DE46D8" w:rsidP="00CE5C15">
            <w:pPr>
              <w:spacing w:after="0" w:line="360" w:lineRule="auto"/>
              <w:rPr>
                <w:rFonts w:ascii="Calibri" w:eastAsia="Times New Roman" w:hAnsi="Calibri" w:cs="Times New Roman"/>
                <w:color w:val="000000"/>
                <w:lang w:val="en-GB" w:eastAsia="en-GB"/>
              </w:rPr>
            </w:pPr>
            <w:r w:rsidRPr="00DE46D8">
              <w:rPr>
                <w:rFonts w:ascii="Calibri" w:eastAsia="Times New Roman" w:hAnsi="Calibri" w:cs="Times New Roman"/>
                <w:color w:val="000000"/>
                <w:lang w:val="en-GB" w:eastAsia="en-GB"/>
              </w:rPr>
              <w:t>Mean of current &amp; 1 month</w:t>
            </w:r>
            <w:r w:rsidR="00CE5C15">
              <w:rPr>
                <w:rFonts w:ascii="Calibri" w:eastAsia="Times New Roman" w:hAnsi="Calibri" w:cs="Times New Roman"/>
                <w:color w:val="000000"/>
                <w:lang w:val="en-GB" w:eastAsia="en-GB"/>
              </w:rPr>
              <w:t>’</w:t>
            </w:r>
            <w:r w:rsidRPr="00DE46D8">
              <w:rPr>
                <w:rFonts w:ascii="Calibri" w:eastAsia="Times New Roman" w:hAnsi="Calibri" w:cs="Times New Roman"/>
                <w:color w:val="000000"/>
                <w:lang w:val="en-GB" w:eastAsia="en-GB"/>
              </w:rPr>
              <w:t>s lag (NDVI)</w:t>
            </w:r>
          </w:p>
        </w:tc>
        <w:tc>
          <w:tcPr>
            <w:tcW w:w="753" w:type="pct"/>
            <w:tcBorders>
              <w:top w:val="nil"/>
              <w:left w:val="nil"/>
              <w:bottom w:val="nil"/>
              <w:right w:val="nil"/>
            </w:tcBorders>
            <w:shd w:val="clear" w:color="auto" w:fill="auto"/>
            <w:noWrap/>
            <w:vAlign w:val="bottom"/>
            <w:hideMark/>
          </w:tcPr>
          <w:p w14:paraId="52B19389" w14:textId="77777777" w:rsidR="00DE46D8" w:rsidRPr="00DE46D8" w:rsidRDefault="00DE46D8" w:rsidP="00CE5C15">
            <w:pPr>
              <w:spacing w:after="0" w:line="360" w:lineRule="auto"/>
              <w:jc w:val="right"/>
              <w:rPr>
                <w:rFonts w:ascii="Calibri" w:eastAsia="Times New Roman" w:hAnsi="Calibri" w:cs="Times New Roman"/>
                <w:color w:val="000000"/>
                <w:lang w:val="en-GB" w:eastAsia="en-GB"/>
              </w:rPr>
            </w:pPr>
            <w:r w:rsidRPr="00DE46D8">
              <w:rPr>
                <w:rFonts w:ascii="Calibri" w:eastAsia="Times New Roman" w:hAnsi="Calibri" w:cs="Times New Roman"/>
                <w:color w:val="000000"/>
                <w:lang w:val="en-GB" w:eastAsia="en-GB"/>
              </w:rPr>
              <w:t>0.000477</w:t>
            </w:r>
          </w:p>
        </w:tc>
        <w:tc>
          <w:tcPr>
            <w:tcW w:w="1202" w:type="pct"/>
            <w:tcBorders>
              <w:top w:val="nil"/>
              <w:left w:val="nil"/>
              <w:bottom w:val="nil"/>
              <w:right w:val="nil"/>
            </w:tcBorders>
            <w:shd w:val="clear" w:color="auto" w:fill="auto"/>
            <w:noWrap/>
            <w:vAlign w:val="bottom"/>
            <w:hideMark/>
          </w:tcPr>
          <w:p w14:paraId="0175BF52" w14:textId="77777777" w:rsidR="00DE46D8" w:rsidRPr="00DE46D8" w:rsidRDefault="00DE46D8" w:rsidP="00CE5C15">
            <w:pPr>
              <w:spacing w:after="0" w:line="360" w:lineRule="auto"/>
              <w:rPr>
                <w:rFonts w:ascii="Calibri" w:eastAsia="Times New Roman" w:hAnsi="Calibri" w:cs="Times New Roman"/>
                <w:color w:val="000000"/>
                <w:lang w:val="en-GB" w:eastAsia="en-GB"/>
              </w:rPr>
            </w:pPr>
            <w:r w:rsidRPr="00DE46D8">
              <w:rPr>
                <w:rFonts w:ascii="Calibri" w:eastAsia="Times New Roman" w:hAnsi="Calibri" w:cs="Times New Roman"/>
                <w:color w:val="000000"/>
                <w:lang w:val="en-GB" w:eastAsia="en-GB"/>
              </w:rPr>
              <w:t>0.000453 - 0.000501</w:t>
            </w:r>
          </w:p>
        </w:tc>
        <w:tc>
          <w:tcPr>
            <w:tcW w:w="494" w:type="pct"/>
            <w:tcBorders>
              <w:top w:val="nil"/>
              <w:left w:val="nil"/>
              <w:bottom w:val="nil"/>
              <w:right w:val="nil"/>
            </w:tcBorders>
            <w:shd w:val="clear" w:color="auto" w:fill="auto"/>
            <w:noWrap/>
            <w:vAlign w:val="bottom"/>
            <w:hideMark/>
          </w:tcPr>
          <w:p w14:paraId="1D396A62" w14:textId="77777777" w:rsidR="00DE46D8" w:rsidRPr="00DE46D8" w:rsidRDefault="00DE46D8" w:rsidP="00CE5C15">
            <w:pPr>
              <w:spacing w:after="0" w:line="360" w:lineRule="auto"/>
              <w:rPr>
                <w:rFonts w:ascii="Calibri" w:eastAsia="Times New Roman" w:hAnsi="Calibri" w:cs="Times New Roman"/>
                <w:color w:val="000000"/>
                <w:lang w:val="en-GB" w:eastAsia="en-GB"/>
              </w:rPr>
            </w:pPr>
            <w:r w:rsidRPr="00DE46D8">
              <w:rPr>
                <w:rFonts w:ascii="Calibri" w:eastAsia="Times New Roman" w:hAnsi="Calibri" w:cs="Times New Roman"/>
                <w:color w:val="000000"/>
                <w:lang w:val="en-GB" w:eastAsia="en-GB"/>
              </w:rPr>
              <w:t>&lt;0.001</w:t>
            </w:r>
          </w:p>
        </w:tc>
      </w:tr>
      <w:tr w:rsidR="00DE46D8" w:rsidRPr="00DE46D8" w14:paraId="5441E990" w14:textId="77777777" w:rsidTr="00CE5C15">
        <w:trPr>
          <w:trHeight w:val="300"/>
        </w:trPr>
        <w:tc>
          <w:tcPr>
            <w:tcW w:w="2551" w:type="pct"/>
            <w:tcBorders>
              <w:top w:val="nil"/>
              <w:left w:val="nil"/>
              <w:right w:val="nil"/>
            </w:tcBorders>
            <w:shd w:val="clear" w:color="auto" w:fill="BFBFBF" w:themeFill="background1" w:themeFillShade="BF"/>
            <w:noWrap/>
            <w:vAlign w:val="bottom"/>
            <w:hideMark/>
          </w:tcPr>
          <w:p w14:paraId="71D13901" w14:textId="041ED014" w:rsidR="00DE46D8" w:rsidRPr="00DE46D8" w:rsidRDefault="00DE46D8" w:rsidP="00CE5C15">
            <w:pPr>
              <w:spacing w:after="0" w:line="360" w:lineRule="auto"/>
              <w:rPr>
                <w:rFonts w:ascii="Calibri" w:eastAsia="Times New Roman" w:hAnsi="Calibri" w:cs="Times New Roman"/>
                <w:color w:val="000000"/>
                <w:lang w:val="en-GB" w:eastAsia="en-GB"/>
              </w:rPr>
            </w:pPr>
            <w:r w:rsidRPr="00DE46D8">
              <w:rPr>
                <w:rFonts w:ascii="Calibri" w:eastAsia="Times New Roman" w:hAnsi="Calibri" w:cs="Times New Roman"/>
                <w:color w:val="000000"/>
                <w:lang w:val="en-GB" w:eastAsia="en-GB"/>
              </w:rPr>
              <w:t>Mean of current &amp; 3 months</w:t>
            </w:r>
            <w:r w:rsidR="00CE5C15">
              <w:rPr>
                <w:rFonts w:ascii="Calibri" w:eastAsia="Times New Roman" w:hAnsi="Calibri" w:cs="Times New Roman"/>
                <w:color w:val="000000"/>
                <w:lang w:val="en-GB" w:eastAsia="en-GB"/>
              </w:rPr>
              <w:t>’</w:t>
            </w:r>
            <w:r w:rsidRPr="00DE46D8">
              <w:rPr>
                <w:rFonts w:ascii="Calibri" w:eastAsia="Times New Roman" w:hAnsi="Calibri" w:cs="Times New Roman"/>
                <w:color w:val="000000"/>
                <w:lang w:val="en-GB" w:eastAsia="en-GB"/>
              </w:rPr>
              <w:t xml:space="preserve"> lag (Rainfall)</w:t>
            </w:r>
          </w:p>
        </w:tc>
        <w:tc>
          <w:tcPr>
            <w:tcW w:w="753" w:type="pct"/>
            <w:tcBorders>
              <w:top w:val="nil"/>
              <w:left w:val="nil"/>
              <w:right w:val="nil"/>
            </w:tcBorders>
            <w:shd w:val="clear" w:color="auto" w:fill="BFBFBF" w:themeFill="background1" w:themeFillShade="BF"/>
            <w:noWrap/>
            <w:vAlign w:val="bottom"/>
            <w:hideMark/>
          </w:tcPr>
          <w:p w14:paraId="0284C46B" w14:textId="77777777" w:rsidR="00DE46D8" w:rsidRPr="00DE46D8" w:rsidRDefault="00DE46D8" w:rsidP="00CE5C15">
            <w:pPr>
              <w:spacing w:after="0" w:line="360" w:lineRule="auto"/>
              <w:jc w:val="right"/>
              <w:rPr>
                <w:rFonts w:ascii="Calibri" w:eastAsia="Times New Roman" w:hAnsi="Calibri" w:cs="Times New Roman"/>
                <w:color w:val="000000"/>
                <w:lang w:val="en-GB" w:eastAsia="en-GB"/>
              </w:rPr>
            </w:pPr>
            <w:r w:rsidRPr="00DE46D8">
              <w:rPr>
                <w:rFonts w:ascii="Calibri" w:eastAsia="Times New Roman" w:hAnsi="Calibri" w:cs="Times New Roman"/>
                <w:color w:val="000000"/>
                <w:lang w:val="en-GB" w:eastAsia="en-GB"/>
              </w:rPr>
              <w:t>0.000128</w:t>
            </w:r>
          </w:p>
        </w:tc>
        <w:tc>
          <w:tcPr>
            <w:tcW w:w="1202" w:type="pct"/>
            <w:tcBorders>
              <w:top w:val="nil"/>
              <w:left w:val="nil"/>
              <w:right w:val="nil"/>
            </w:tcBorders>
            <w:shd w:val="clear" w:color="auto" w:fill="BFBFBF" w:themeFill="background1" w:themeFillShade="BF"/>
            <w:noWrap/>
            <w:vAlign w:val="bottom"/>
            <w:hideMark/>
          </w:tcPr>
          <w:p w14:paraId="3A6FE376" w14:textId="77777777" w:rsidR="00DE46D8" w:rsidRPr="00DE46D8" w:rsidRDefault="00DE46D8" w:rsidP="00CE5C15">
            <w:pPr>
              <w:spacing w:after="0" w:line="360" w:lineRule="auto"/>
              <w:rPr>
                <w:rFonts w:ascii="Calibri" w:eastAsia="Times New Roman" w:hAnsi="Calibri" w:cs="Times New Roman"/>
                <w:color w:val="000000"/>
                <w:lang w:val="en-GB" w:eastAsia="en-GB"/>
              </w:rPr>
            </w:pPr>
            <w:r w:rsidRPr="00DE46D8">
              <w:rPr>
                <w:rFonts w:ascii="Calibri" w:eastAsia="Times New Roman" w:hAnsi="Calibri" w:cs="Times New Roman"/>
                <w:color w:val="000000"/>
                <w:lang w:val="en-GB" w:eastAsia="en-GB"/>
              </w:rPr>
              <w:t>0.000122 - 0.000135</w:t>
            </w:r>
          </w:p>
        </w:tc>
        <w:tc>
          <w:tcPr>
            <w:tcW w:w="494" w:type="pct"/>
            <w:tcBorders>
              <w:top w:val="nil"/>
              <w:left w:val="nil"/>
              <w:right w:val="nil"/>
            </w:tcBorders>
            <w:shd w:val="clear" w:color="auto" w:fill="BFBFBF" w:themeFill="background1" w:themeFillShade="BF"/>
            <w:noWrap/>
            <w:vAlign w:val="bottom"/>
            <w:hideMark/>
          </w:tcPr>
          <w:p w14:paraId="7175EE3F" w14:textId="77777777" w:rsidR="00DE46D8" w:rsidRPr="00DE46D8" w:rsidRDefault="00DE46D8" w:rsidP="00CE5C15">
            <w:pPr>
              <w:spacing w:after="0" w:line="360" w:lineRule="auto"/>
              <w:rPr>
                <w:rFonts w:ascii="Calibri" w:eastAsia="Times New Roman" w:hAnsi="Calibri" w:cs="Times New Roman"/>
                <w:color w:val="000000"/>
                <w:lang w:val="en-GB" w:eastAsia="en-GB"/>
              </w:rPr>
            </w:pPr>
            <w:r w:rsidRPr="00DE46D8">
              <w:rPr>
                <w:rFonts w:ascii="Calibri" w:eastAsia="Times New Roman" w:hAnsi="Calibri" w:cs="Times New Roman"/>
                <w:color w:val="000000"/>
                <w:lang w:val="en-GB" w:eastAsia="en-GB"/>
              </w:rPr>
              <w:t>&lt;0.001</w:t>
            </w:r>
          </w:p>
        </w:tc>
      </w:tr>
      <w:tr w:rsidR="00DE46D8" w:rsidRPr="00DE46D8" w14:paraId="5E713D24" w14:textId="77777777" w:rsidTr="00CE5C15">
        <w:trPr>
          <w:trHeight w:val="300"/>
        </w:trPr>
        <w:tc>
          <w:tcPr>
            <w:tcW w:w="2551" w:type="pct"/>
            <w:tcBorders>
              <w:top w:val="nil"/>
              <w:left w:val="nil"/>
              <w:bottom w:val="single" w:sz="12" w:space="0" w:color="auto"/>
              <w:right w:val="nil"/>
            </w:tcBorders>
            <w:shd w:val="clear" w:color="auto" w:fill="auto"/>
            <w:noWrap/>
            <w:vAlign w:val="bottom"/>
            <w:hideMark/>
          </w:tcPr>
          <w:p w14:paraId="7FAA0AC2" w14:textId="6063926F" w:rsidR="00DE46D8" w:rsidRPr="00DE46D8" w:rsidRDefault="00DE46D8" w:rsidP="00CE5C15">
            <w:pPr>
              <w:spacing w:after="0" w:line="360" w:lineRule="auto"/>
              <w:rPr>
                <w:rFonts w:ascii="Calibri" w:eastAsia="Times New Roman" w:hAnsi="Calibri" w:cs="Times New Roman"/>
                <w:color w:val="000000"/>
                <w:lang w:val="en-GB" w:eastAsia="en-GB"/>
              </w:rPr>
            </w:pPr>
            <w:r w:rsidRPr="00DE46D8">
              <w:rPr>
                <w:rFonts w:ascii="Calibri" w:eastAsia="Times New Roman" w:hAnsi="Calibri" w:cs="Times New Roman"/>
                <w:color w:val="000000"/>
                <w:lang w:val="en-GB" w:eastAsia="en-GB"/>
              </w:rPr>
              <w:t>Mean of current &amp; 3 months</w:t>
            </w:r>
            <w:r w:rsidR="00CE5C15">
              <w:rPr>
                <w:rFonts w:ascii="Calibri" w:eastAsia="Times New Roman" w:hAnsi="Calibri" w:cs="Times New Roman"/>
                <w:color w:val="000000"/>
                <w:lang w:val="en-GB" w:eastAsia="en-GB"/>
              </w:rPr>
              <w:t>’</w:t>
            </w:r>
            <w:r w:rsidRPr="00DE46D8">
              <w:rPr>
                <w:rFonts w:ascii="Calibri" w:eastAsia="Times New Roman" w:hAnsi="Calibri" w:cs="Times New Roman"/>
                <w:color w:val="000000"/>
                <w:lang w:val="en-GB" w:eastAsia="en-GB"/>
              </w:rPr>
              <w:t xml:space="preserve"> lag (Temperature)</w:t>
            </w:r>
          </w:p>
        </w:tc>
        <w:tc>
          <w:tcPr>
            <w:tcW w:w="753" w:type="pct"/>
            <w:tcBorders>
              <w:top w:val="nil"/>
              <w:left w:val="nil"/>
              <w:bottom w:val="single" w:sz="12" w:space="0" w:color="auto"/>
              <w:right w:val="nil"/>
            </w:tcBorders>
            <w:shd w:val="clear" w:color="auto" w:fill="auto"/>
            <w:noWrap/>
            <w:vAlign w:val="bottom"/>
            <w:hideMark/>
          </w:tcPr>
          <w:p w14:paraId="396B9F53" w14:textId="77777777" w:rsidR="00DE46D8" w:rsidRPr="00DE46D8" w:rsidRDefault="00DE46D8" w:rsidP="00CE5C15">
            <w:pPr>
              <w:spacing w:after="0" w:line="360" w:lineRule="auto"/>
              <w:jc w:val="right"/>
              <w:rPr>
                <w:rFonts w:ascii="Calibri" w:eastAsia="Times New Roman" w:hAnsi="Calibri" w:cs="Times New Roman"/>
                <w:color w:val="000000"/>
                <w:lang w:val="en-GB" w:eastAsia="en-GB"/>
              </w:rPr>
            </w:pPr>
            <w:r w:rsidRPr="00DE46D8">
              <w:rPr>
                <w:rFonts w:ascii="Calibri" w:eastAsia="Times New Roman" w:hAnsi="Calibri" w:cs="Times New Roman"/>
                <w:color w:val="000000"/>
                <w:lang w:val="en-GB" w:eastAsia="en-GB"/>
              </w:rPr>
              <w:t>0.001654</w:t>
            </w:r>
          </w:p>
        </w:tc>
        <w:tc>
          <w:tcPr>
            <w:tcW w:w="1202" w:type="pct"/>
            <w:tcBorders>
              <w:top w:val="nil"/>
              <w:left w:val="nil"/>
              <w:bottom w:val="single" w:sz="12" w:space="0" w:color="auto"/>
              <w:right w:val="nil"/>
            </w:tcBorders>
            <w:shd w:val="clear" w:color="auto" w:fill="auto"/>
            <w:noWrap/>
            <w:vAlign w:val="bottom"/>
            <w:hideMark/>
          </w:tcPr>
          <w:p w14:paraId="70CC0DE3" w14:textId="77777777" w:rsidR="00DE46D8" w:rsidRPr="00DE46D8" w:rsidRDefault="00DE46D8" w:rsidP="00CE5C15">
            <w:pPr>
              <w:spacing w:after="0" w:line="360" w:lineRule="auto"/>
              <w:rPr>
                <w:rFonts w:ascii="Calibri" w:eastAsia="Times New Roman" w:hAnsi="Calibri" w:cs="Times New Roman"/>
                <w:color w:val="000000"/>
                <w:lang w:val="en-GB" w:eastAsia="en-GB"/>
              </w:rPr>
            </w:pPr>
            <w:r w:rsidRPr="00DE46D8">
              <w:rPr>
                <w:rFonts w:ascii="Calibri" w:eastAsia="Times New Roman" w:hAnsi="Calibri" w:cs="Times New Roman"/>
                <w:color w:val="000000"/>
                <w:lang w:val="en-GB" w:eastAsia="en-GB"/>
              </w:rPr>
              <w:t>0.001584 - 0.001725</w:t>
            </w:r>
          </w:p>
        </w:tc>
        <w:tc>
          <w:tcPr>
            <w:tcW w:w="494" w:type="pct"/>
            <w:tcBorders>
              <w:top w:val="nil"/>
              <w:left w:val="nil"/>
              <w:bottom w:val="single" w:sz="12" w:space="0" w:color="auto"/>
              <w:right w:val="nil"/>
            </w:tcBorders>
            <w:shd w:val="clear" w:color="auto" w:fill="auto"/>
            <w:noWrap/>
            <w:vAlign w:val="bottom"/>
            <w:hideMark/>
          </w:tcPr>
          <w:p w14:paraId="5F3DBC64" w14:textId="77777777" w:rsidR="00DE46D8" w:rsidRPr="00DE46D8" w:rsidRDefault="00DE46D8" w:rsidP="00CE5C15">
            <w:pPr>
              <w:spacing w:after="0" w:line="360" w:lineRule="auto"/>
              <w:rPr>
                <w:rFonts w:ascii="Calibri" w:eastAsia="Times New Roman" w:hAnsi="Calibri" w:cs="Times New Roman"/>
                <w:color w:val="000000"/>
                <w:lang w:val="en-GB" w:eastAsia="en-GB"/>
              </w:rPr>
            </w:pPr>
            <w:r w:rsidRPr="00DE46D8">
              <w:rPr>
                <w:rFonts w:ascii="Calibri" w:eastAsia="Times New Roman" w:hAnsi="Calibri" w:cs="Times New Roman"/>
                <w:color w:val="000000"/>
                <w:lang w:val="en-GB" w:eastAsia="en-GB"/>
              </w:rPr>
              <w:t>&lt;0.001</w:t>
            </w:r>
          </w:p>
        </w:tc>
      </w:tr>
    </w:tbl>
    <w:p w14:paraId="281D4D46" w14:textId="77777777" w:rsidR="00DE46D8" w:rsidRPr="00283C76" w:rsidRDefault="00DE46D8" w:rsidP="00283C76">
      <w:pPr>
        <w:spacing w:line="360" w:lineRule="auto"/>
      </w:pPr>
    </w:p>
    <w:p w14:paraId="4A6944C4" w14:textId="31835090" w:rsidR="00283C76" w:rsidRPr="00BA5FA3" w:rsidRDefault="00283C76" w:rsidP="00830725">
      <w:pPr>
        <w:pStyle w:val="ListParagraph"/>
        <w:numPr>
          <w:ilvl w:val="0"/>
          <w:numId w:val="1"/>
        </w:numPr>
        <w:spacing w:line="360" w:lineRule="auto"/>
        <w:rPr>
          <w:b/>
          <w:bCs/>
        </w:rPr>
      </w:pPr>
      <w:r>
        <w:rPr>
          <w:b/>
          <w:bCs/>
        </w:rPr>
        <w:t>Bayesian model validation</w:t>
      </w:r>
    </w:p>
    <w:p w14:paraId="3E609619" w14:textId="77777777" w:rsidR="00830725" w:rsidRDefault="00830725" w:rsidP="00830725">
      <w:pPr>
        <w:spacing w:line="360" w:lineRule="auto"/>
      </w:pPr>
      <w:r>
        <w:t xml:space="preserve">The Bayesian model fit to generate the posterior estimates of malaria incidence accounted for four main explanatory factors including: education of women of child-bearing age, the same being the predominant primary care givers in homes; mean rainfall estimates over the current and three previous months; land surface temperature; vegetation amounts, and nighttime emissivity. In order to validate this model, we randomly selected 20% of catchments to be withheld from the posterior estimates and </w:t>
      </w:r>
      <w:r>
        <w:lastRenderedPageBreak/>
        <w:t>re-run the model to thereafter compared estimates generated from the model with 80% data to posterior estimates determined from the model with the full data.</w:t>
      </w:r>
    </w:p>
    <w:p w14:paraId="1A6B10B4" w14:textId="7C05E2D9" w:rsidR="00830725" w:rsidRDefault="00830725" w:rsidP="00830725">
      <w:pPr>
        <w:spacing w:line="360" w:lineRule="auto"/>
      </w:pPr>
      <w:r>
        <w:t>Results showed that consistent with strong correlation between observed incidence rates and posterior estimates for all data as shown in Fig</w:t>
      </w:r>
      <w:r w:rsidR="001A34F0">
        <w:t>.</w:t>
      </w:r>
      <w:r>
        <w:t xml:space="preserve"> </w:t>
      </w:r>
      <w:r w:rsidR="001A34F0">
        <w:t>S</w:t>
      </w:r>
      <w:r w:rsidR="00B90935">
        <w:t>7</w:t>
      </w:r>
      <w:r>
        <w:t xml:space="preserve"> below, out of 990 randomly selected catchments, posterior estimates for 942 were within 95% credible interval of the full model prediction for the same. Moreover, there was high correlation between these estimates with Spearman’s rho = 0.6988, P&lt;0.001 also represented in Fig</w:t>
      </w:r>
      <w:r w:rsidR="001A34F0">
        <w:t>.</w:t>
      </w:r>
      <w:r>
        <w:t xml:space="preserve"> </w:t>
      </w:r>
      <w:r w:rsidR="001A34F0">
        <w:t>S</w:t>
      </w:r>
      <w:r w:rsidR="00B90935">
        <w:t>8</w:t>
      </w:r>
      <w:r>
        <w:t xml:space="preserve"> below.</w:t>
      </w:r>
    </w:p>
    <w:p w14:paraId="186C9825" w14:textId="7A00AD37" w:rsidR="00830725" w:rsidRPr="00143CEF" w:rsidRDefault="00830725" w:rsidP="00830725">
      <w:pPr>
        <w:pStyle w:val="Caption"/>
        <w:keepNext/>
        <w:rPr>
          <w:b/>
          <w:bCs/>
          <w:i w:val="0"/>
          <w:iCs w:val="0"/>
          <w:color w:val="auto"/>
          <w:sz w:val="22"/>
          <w:szCs w:val="22"/>
        </w:rPr>
      </w:pPr>
      <w:r w:rsidRPr="00143CEF">
        <w:rPr>
          <w:b/>
          <w:bCs/>
          <w:i w:val="0"/>
          <w:iCs w:val="0"/>
          <w:color w:val="auto"/>
          <w:sz w:val="22"/>
          <w:szCs w:val="22"/>
        </w:rPr>
        <w:t xml:space="preserve">Fig </w:t>
      </w:r>
      <w:r w:rsidR="00962132">
        <w:rPr>
          <w:b/>
          <w:bCs/>
          <w:i w:val="0"/>
          <w:iCs w:val="0"/>
          <w:color w:val="auto"/>
          <w:sz w:val="22"/>
          <w:szCs w:val="22"/>
        </w:rPr>
        <w:t>S</w:t>
      </w:r>
      <w:r w:rsidRPr="00143CEF">
        <w:rPr>
          <w:b/>
          <w:bCs/>
          <w:i w:val="0"/>
          <w:iCs w:val="0"/>
          <w:color w:val="auto"/>
          <w:sz w:val="22"/>
          <w:szCs w:val="22"/>
        </w:rPr>
        <w:fldChar w:fldCharType="begin"/>
      </w:r>
      <w:r w:rsidRPr="00143CEF">
        <w:rPr>
          <w:b/>
          <w:bCs/>
          <w:i w:val="0"/>
          <w:iCs w:val="0"/>
          <w:color w:val="auto"/>
          <w:sz w:val="22"/>
          <w:szCs w:val="22"/>
        </w:rPr>
        <w:instrText xml:space="preserve"> SEQ Fig \* ARABIC </w:instrText>
      </w:r>
      <w:r w:rsidRPr="00143CEF">
        <w:rPr>
          <w:b/>
          <w:bCs/>
          <w:i w:val="0"/>
          <w:iCs w:val="0"/>
          <w:color w:val="auto"/>
          <w:sz w:val="22"/>
          <w:szCs w:val="22"/>
        </w:rPr>
        <w:fldChar w:fldCharType="separate"/>
      </w:r>
      <w:r w:rsidR="009A11D8">
        <w:rPr>
          <w:b/>
          <w:bCs/>
          <w:i w:val="0"/>
          <w:iCs w:val="0"/>
          <w:noProof/>
          <w:color w:val="auto"/>
          <w:sz w:val="22"/>
          <w:szCs w:val="22"/>
        </w:rPr>
        <w:t>7</w:t>
      </w:r>
      <w:r w:rsidRPr="00143CEF">
        <w:rPr>
          <w:b/>
          <w:bCs/>
          <w:i w:val="0"/>
          <w:iCs w:val="0"/>
          <w:color w:val="auto"/>
          <w:sz w:val="22"/>
          <w:szCs w:val="22"/>
        </w:rPr>
        <w:fldChar w:fldCharType="end"/>
      </w:r>
      <w:r w:rsidRPr="00143CEF">
        <w:rPr>
          <w:b/>
          <w:bCs/>
          <w:i w:val="0"/>
          <w:iCs w:val="0"/>
          <w:color w:val="auto"/>
          <w:sz w:val="22"/>
          <w:szCs w:val="22"/>
        </w:rPr>
        <w:t>. Scatter plot of predicted against observed confirmed number of malaria cases from all 3446 catchments</w:t>
      </w:r>
      <w:r>
        <w:rPr>
          <w:b/>
          <w:bCs/>
          <w:i w:val="0"/>
          <w:iCs w:val="0"/>
          <w:color w:val="auto"/>
          <w:sz w:val="22"/>
          <w:szCs w:val="22"/>
        </w:rPr>
        <w:t xml:space="preserve"> in the study</w:t>
      </w:r>
    </w:p>
    <w:p w14:paraId="19157340" w14:textId="0A8733FC" w:rsidR="00830725" w:rsidRDefault="00830725" w:rsidP="00D739CC">
      <w:pPr>
        <w:spacing w:line="360" w:lineRule="auto"/>
        <w:jc w:val="center"/>
      </w:pPr>
      <w:r>
        <w:rPr>
          <w:noProof/>
        </w:rPr>
        <w:drawing>
          <wp:inline distT="0" distB="0" distL="0" distR="0" wp14:anchorId="7CB6D24B" wp14:editId="0CAE8D5F">
            <wp:extent cx="5038725" cy="3593704"/>
            <wp:effectExtent l="0" t="0" r="0" b="698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042711" cy="3596547"/>
                    </a:xfrm>
                    <a:prstGeom prst="rect">
                      <a:avLst/>
                    </a:prstGeom>
                    <a:noFill/>
                    <a:ln>
                      <a:noFill/>
                    </a:ln>
                  </pic:spPr>
                </pic:pic>
              </a:graphicData>
            </a:graphic>
          </wp:inline>
        </w:drawing>
      </w:r>
    </w:p>
    <w:p w14:paraId="66F30D61" w14:textId="07022101" w:rsidR="00830725" w:rsidRPr="00143CEF" w:rsidRDefault="00830725" w:rsidP="00830725">
      <w:pPr>
        <w:pStyle w:val="Caption"/>
        <w:keepNext/>
        <w:rPr>
          <w:b/>
          <w:bCs/>
          <w:i w:val="0"/>
          <w:iCs w:val="0"/>
          <w:color w:val="auto"/>
          <w:sz w:val="22"/>
          <w:szCs w:val="22"/>
        </w:rPr>
      </w:pPr>
      <w:r w:rsidRPr="00143CEF">
        <w:rPr>
          <w:b/>
          <w:bCs/>
          <w:i w:val="0"/>
          <w:iCs w:val="0"/>
          <w:color w:val="auto"/>
          <w:sz w:val="22"/>
          <w:szCs w:val="22"/>
        </w:rPr>
        <w:lastRenderedPageBreak/>
        <w:t xml:space="preserve">Fig </w:t>
      </w:r>
      <w:r w:rsidR="00962132">
        <w:rPr>
          <w:b/>
          <w:bCs/>
          <w:i w:val="0"/>
          <w:iCs w:val="0"/>
          <w:color w:val="auto"/>
          <w:sz w:val="22"/>
          <w:szCs w:val="22"/>
        </w:rPr>
        <w:t>S</w:t>
      </w:r>
      <w:r w:rsidRPr="00143CEF">
        <w:rPr>
          <w:b/>
          <w:bCs/>
          <w:i w:val="0"/>
          <w:iCs w:val="0"/>
          <w:color w:val="auto"/>
          <w:sz w:val="22"/>
          <w:szCs w:val="22"/>
        </w:rPr>
        <w:fldChar w:fldCharType="begin"/>
      </w:r>
      <w:r w:rsidRPr="00143CEF">
        <w:rPr>
          <w:b/>
          <w:bCs/>
          <w:i w:val="0"/>
          <w:iCs w:val="0"/>
          <w:color w:val="auto"/>
          <w:sz w:val="22"/>
          <w:szCs w:val="22"/>
        </w:rPr>
        <w:instrText xml:space="preserve"> SEQ Fig \* ARABIC </w:instrText>
      </w:r>
      <w:r w:rsidRPr="00143CEF">
        <w:rPr>
          <w:b/>
          <w:bCs/>
          <w:i w:val="0"/>
          <w:iCs w:val="0"/>
          <w:color w:val="auto"/>
          <w:sz w:val="22"/>
          <w:szCs w:val="22"/>
        </w:rPr>
        <w:fldChar w:fldCharType="separate"/>
      </w:r>
      <w:r w:rsidR="009A11D8">
        <w:rPr>
          <w:b/>
          <w:bCs/>
          <w:i w:val="0"/>
          <w:iCs w:val="0"/>
          <w:noProof/>
          <w:color w:val="auto"/>
          <w:sz w:val="22"/>
          <w:szCs w:val="22"/>
        </w:rPr>
        <w:t>8</w:t>
      </w:r>
      <w:r w:rsidRPr="00143CEF">
        <w:rPr>
          <w:b/>
          <w:bCs/>
          <w:i w:val="0"/>
          <w:iCs w:val="0"/>
          <w:color w:val="auto"/>
          <w:sz w:val="22"/>
          <w:szCs w:val="22"/>
        </w:rPr>
        <w:fldChar w:fldCharType="end"/>
      </w:r>
      <w:r w:rsidRPr="00143CEF">
        <w:rPr>
          <w:b/>
          <w:bCs/>
          <w:i w:val="0"/>
          <w:iCs w:val="0"/>
          <w:color w:val="auto"/>
          <w:sz w:val="22"/>
          <w:szCs w:val="22"/>
        </w:rPr>
        <w:t>. Scatter plot of model predicted against observed confirmed malaria cases for a random sample of 990 catchments for validation of Bayesian model</w:t>
      </w:r>
    </w:p>
    <w:p w14:paraId="155525BF" w14:textId="77777777" w:rsidR="00830725" w:rsidRDefault="00830725" w:rsidP="00830725">
      <w:pPr>
        <w:spacing w:line="360" w:lineRule="auto"/>
        <w:jc w:val="center"/>
      </w:pPr>
      <w:r>
        <w:rPr>
          <w:noProof/>
        </w:rPr>
        <w:drawing>
          <wp:inline distT="0" distB="0" distL="0" distR="0" wp14:anchorId="1F722E62" wp14:editId="7A6A3A44">
            <wp:extent cx="4604690" cy="4524375"/>
            <wp:effectExtent l="0" t="0" r="571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11491" cy="4531058"/>
                    </a:xfrm>
                    <a:prstGeom prst="rect">
                      <a:avLst/>
                    </a:prstGeom>
                    <a:noFill/>
                    <a:ln>
                      <a:noFill/>
                    </a:ln>
                  </pic:spPr>
                </pic:pic>
              </a:graphicData>
            </a:graphic>
          </wp:inline>
        </w:drawing>
      </w:r>
    </w:p>
    <w:p w14:paraId="3A3A6E50" w14:textId="77777777" w:rsidR="00830725" w:rsidRDefault="00830725" w:rsidP="008863C5">
      <w:pPr>
        <w:spacing w:line="360" w:lineRule="auto"/>
      </w:pPr>
    </w:p>
    <w:p w14:paraId="7A1BF9FF" w14:textId="3D05860D" w:rsidR="00567126" w:rsidRDefault="00567126" w:rsidP="00830725">
      <w:pPr>
        <w:pStyle w:val="ListParagraph"/>
        <w:numPr>
          <w:ilvl w:val="0"/>
          <w:numId w:val="1"/>
        </w:numPr>
        <w:spacing w:line="360" w:lineRule="auto"/>
        <w:rPr>
          <w:b/>
          <w:bCs/>
        </w:rPr>
      </w:pPr>
      <w:r>
        <w:rPr>
          <w:b/>
          <w:bCs/>
        </w:rPr>
        <w:t>Distribution of catchment</w:t>
      </w:r>
      <w:r w:rsidR="0039296C">
        <w:rPr>
          <w:b/>
          <w:bCs/>
        </w:rPr>
        <w:t>-level</w:t>
      </w:r>
      <w:r>
        <w:rPr>
          <w:b/>
          <w:bCs/>
        </w:rPr>
        <w:t xml:space="preserve"> incidence rates</w:t>
      </w:r>
    </w:p>
    <w:p w14:paraId="7F942496" w14:textId="08DC9453" w:rsidR="00567126" w:rsidRDefault="00567126" w:rsidP="00567126">
      <w:pPr>
        <w:spacing w:line="360" w:lineRule="auto"/>
      </w:pPr>
      <w:r>
        <w:t>Consistent with the o</w:t>
      </w:r>
      <w:r w:rsidRPr="00567126">
        <w:t>bserved</w:t>
      </w:r>
      <w:r>
        <w:t xml:space="preserve"> distribution of incidence rates during the high burden months of the study duration, for all the low burden months, a distinct distribution was observed. In the latter like the former, highest burden districts - potential drivers of their respective regional burden were identifiable. Similarly, highest burden catchments – potential drivers of district burden were also identifiable as shown in Fig</w:t>
      </w:r>
      <w:r w:rsidR="000D4CF0">
        <w:t>.</w:t>
      </w:r>
      <w:r>
        <w:t xml:space="preserve"> </w:t>
      </w:r>
      <w:r w:rsidR="001A34F0">
        <w:t>S</w:t>
      </w:r>
      <w:r w:rsidR="00B90935">
        <w:t>9</w:t>
      </w:r>
      <w:r>
        <w:t xml:space="preserve"> below. Moreover, the pattern of reducing burden from 2016 through 2018, followed by a rebound in 2019 was also observable, particular among regions and districts.</w:t>
      </w:r>
      <w:r w:rsidR="0039296C">
        <w:t xml:space="preserve"> </w:t>
      </w:r>
    </w:p>
    <w:p w14:paraId="4C4CFB51" w14:textId="77B8C6F3" w:rsidR="00567126" w:rsidRPr="0039296C" w:rsidRDefault="00567126" w:rsidP="00567126">
      <w:pPr>
        <w:pStyle w:val="Caption"/>
        <w:keepNext/>
        <w:rPr>
          <w:b/>
          <w:bCs/>
          <w:i w:val="0"/>
          <w:iCs w:val="0"/>
          <w:color w:val="auto"/>
          <w:sz w:val="22"/>
          <w:szCs w:val="22"/>
        </w:rPr>
      </w:pPr>
      <w:r w:rsidRPr="0039296C">
        <w:rPr>
          <w:b/>
          <w:bCs/>
          <w:i w:val="0"/>
          <w:iCs w:val="0"/>
          <w:color w:val="auto"/>
          <w:sz w:val="22"/>
          <w:szCs w:val="22"/>
        </w:rPr>
        <w:lastRenderedPageBreak/>
        <w:t xml:space="preserve">Fig </w:t>
      </w:r>
      <w:r w:rsidR="00962132">
        <w:rPr>
          <w:b/>
          <w:bCs/>
          <w:i w:val="0"/>
          <w:iCs w:val="0"/>
          <w:color w:val="auto"/>
          <w:sz w:val="22"/>
          <w:szCs w:val="22"/>
        </w:rPr>
        <w:t>S</w:t>
      </w:r>
      <w:r w:rsidRPr="0039296C">
        <w:rPr>
          <w:b/>
          <w:bCs/>
          <w:i w:val="0"/>
          <w:iCs w:val="0"/>
          <w:color w:val="auto"/>
          <w:sz w:val="22"/>
          <w:szCs w:val="22"/>
        </w:rPr>
        <w:fldChar w:fldCharType="begin"/>
      </w:r>
      <w:r w:rsidRPr="0039296C">
        <w:rPr>
          <w:b/>
          <w:bCs/>
          <w:i w:val="0"/>
          <w:iCs w:val="0"/>
          <w:color w:val="auto"/>
          <w:sz w:val="22"/>
          <w:szCs w:val="22"/>
        </w:rPr>
        <w:instrText xml:space="preserve"> SEQ Fig \* ARABIC </w:instrText>
      </w:r>
      <w:r w:rsidRPr="0039296C">
        <w:rPr>
          <w:b/>
          <w:bCs/>
          <w:i w:val="0"/>
          <w:iCs w:val="0"/>
          <w:color w:val="auto"/>
          <w:sz w:val="22"/>
          <w:szCs w:val="22"/>
        </w:rPr>
        <w:fldChar w:fldCharType="separate"/>
      </w:r>
      <w:r w:rsidR="009A11D8">
        <w:rPr>
          <w:b/>
          <w:bCs/>
          <w:i w:val="0"/>
          <w:iCs w:val="0"/>
          <w:noProof/>
          <w:color w:val="auto"/>
          <w:sz w:val="22"/>
          <w:szCs w:val="22"/>
        </w:rPr>
        <w:t>9</w:t>
      </w:r>
      <w:r w:rsidRPr="0039296C">
        <w:rPr>
          <w:b/>
          <w:bCs/>
          <w:i w:val="0"/>
          <w:iCs w:val="0"/>
          <w:color w:val="auto"/>
          <w:sz w:val="22"/>
          <w:szCs w:val="22"/>
        </w:rPr>
        <w:fldChar w:fldCharType="end"/>
      </w:r>
      <w:r w:rsidRPr="0039296C">
        <w:rPr>
          <w:b/>
          <w:bCs/>
          <w:i w:val="0"/>
          <w:iCs w:val="0"/>
          <w:color w:val="auto"/>
          <w:sz w:val="22"/>
          <w:szCs w:val="22"/>
        </w:rPr>
        <w:t>. Spatial distribution of malaria incidence rates during low burden months of study duration</w:t>
      </w:r>
    </w:p>
    <w:p w14:paraId="581D6639" w14:textId="3121BDC9" w:rsidR="00567126" w:rsidRDefault="00567126" w:rsidP="00567126">
      <w:pPr>
        <w:spacing w:line="360" w:lineRule="auto"/>
      </w:pPr>
      <w:r>
        <w:rPr>
          <w:noProof/>
        </w:rPr>
        <w:drawing>
          <wp:inline distT="0" distB="0" distL="0" distR="0" wp14:anchorId="20651D6A" wp14:editId="7A224B77">
            <wp:extent cx="6314536" cy="6314536"/>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317611" cy="6317611"/>
                    </a:xfrm>
                    <a:prstGeom prst="rect">
                      <a:avLst/>
                    </a:prstGeom>
                    <a:noFill/>
                    <a:ln>
                      <a:noFill/>
                    </a:ln>
                  </pic:spPr>
                </pic:pic>
              </a:graphicData>
            </a:graphic>
          </wp:inline>
        </w:drawing>
      </w:r>
    </w:p>
    <w:p w14:paraId="45DFB303" w14:textId="31E36563" w:rsidR="007914EB" w:rsidRPr="0039296C" w:rsidRDefault="0039296C" w:rsidP="00567126">
      <w:pPr>
        <w:spacing w:line="360" w:lineRule="auto"/>
        <w:rPr>
          <w:i/>
          <w:iCs/>
          <w:sz w:val="20"/>
          <w:szCs w:val="20"/>
        </w:rPr>
      </w:pPr>
      <w:r w:rsidRPr="0039296C">
        <w:rPr>
          <w:i/>
          <w:iCs/>
          <w:sz w:val="20"/>
          <w:szCs w:val="20"/>
        </w:rPr>
        <w:t>Maps in column A represent the distribution of incidence rates by MIS regions (15 regions) of the country; B represent the distribution of incidence rates by district (128 districts); while C represent the distribution of incidence rates by health facility catchments (3446 catchments in all)</w:t>
      </w:r>
      <w:r>
        <w:rPr>
          <w:i/>
          <w:iCs/>
          <w:sz w:val="20"/>
          <w:szCs w:val="20"/>
        </w:rPr>
        <w:t>.</w:t>
      </w:r>
    </w:p>
    <w:p w14:paraId="088568F5" w14:textId="67D8E993" w:rsidR="00924715" w:rsidRDefault="00025AD7" w:rsidP="00264FA5">
      <w:pPr>
        <w:spacing w:line="360" w:lineRule="auto"/>
      </w:pPr>
      <w:r w:rsidRPr="00025AD7">
        <w:t>Examination of the association between mean and standard deviation</w:t>
      </w:r>
      <w:r w:rsidR="00264FA5">
        <w:t xml:space="preserve"> (SD) of </w:t>
      </w:r>
      <w:r w:rsidR="00264FA5" w:rsidRPr="00025AD7">
        <w:t>monthly incidence rates</w:t>
      </w:r>
      <w:r w:rsidR="00264FA5">
        <w:t xml:space="preserve">, </w:t>
      </w:r>
      <w:r w:rsidR="00C46C74">
        <w:t>considering</w:t>
      </w:r>
      <w:r w:rsidR="00264FA5">
        <w:t xml:space="preserve"> SD </w:t>
      </w:r>
      <w:r w:rsidR="00C46C74">
        <w:t>the</w:t>
      </w:r>
      <w:r w:rsidRPr="00025AD7">
        <w:t xml:space="preserve"> coefficient of variation in these monthly incidence rates</w:t>
      </w:r>
      <w:r w:rsidR="00264FA5">
        <w:t>,</w:t>
      </w:r>
      <w:r w:rsidRPr="00025AD7">
        <w:t xml:space="preserve"> showed that there was a </w:t>
      </w:r>
      <w:r w:rsidRPr="00025AD7">
        <w:lastRenderedPageBreak/>
        <w:t>strong linear association between the</w:t>
      </w:r>
      <w:r w:rsidR="00C46C74">
        <w:t xml:space="preserve"> two,</w:t>
      </w:r>
      <w:r w:rsidRPr="00025AD7">
        <w:t xml:space="preserve"> both at district and health facility catchment levels.</w:t>
      </w:r>
      <w:r>
        <w:t xml:space="preserve"> This was shown using scatter plots of the coefficient of variation versus mean monthly incidence rates at each level as shown in Fig</w:t>
      </w:r>
      <w:r w:rsidR="000D4CF0">
        <w:t>.</w:t>
      </w:r>
      <w:r>
        <w:t xml:space="preserve"> </w:t>
      </w:r>
      <w:r w:rsidR="001A34F0">
        <w:t>S</w:t>
      </w:r>
      <w:r w:rsidR="00B90935">
        <w:t>10</w:t>
      </w:r>
      <w:r>
        <w:t xml:space="preserve"> below</w:t>
      </w:r>
      <w:r w:rsidR="00B90935">
        <w:t xml:space="preserve"> as well as the heat-map of district monthly incidence rates in Fig</w:t>
      </w:r>
      <w:r w:rsidR="000D4CF0">
        <w:t>.</w:t>
      </w:r>
      <w:r w:rsidR="00B90935">
        <w:t xml:space="preserve"> </w:t>
      </w:r>
      <w:r w:rsidR="001A34F0">
        <w:t>S</w:t>
      </w:r>
      <w:r w:rsidR="00B90935">
        <w:t>11 below</w:t>
      </w:r>
      <w:r>
        <w:t>.</w:t>
      </w:r>
      <w:r w:rsidR="00264FA5">
        <w:t xml:space="preserve"> Moreover, increase in mean monthly incidence rates was associated with an increased coefficient of variation and therefore</w:t>
      </w:r>
      <w:r w:rsidR="000660CC">
        <w:t>,</w:t>
      </w:r>
      <w:r w:rsidR="00264FA5">
        <w:t xml:space="preserve"> variability.</w:t>
      </w:r>
    </w:p>
    <w:p w14:paraId="01183C13" w14:textId="06B56333" w:rsidR="00924715" w:rsidRPr="00924715" w:rsidRDefault="00924715" w:rsidP="00924715">
      <w:pPr>
        <w:pStyle w:val="Caption"/>
        <w:keepNext/>
        <w:rPr>
          <w:b/>
          <w:bCs/>
          <w:i w:val="0"/>
          <w:iCs w:val="0"/>
          <w:color w:val="auto"/>
          <w:sz w:val="22"/>
          <w:szCs w:val="22"/>
        </w:rPr>
      </w:pPr>
      <w:r w:rsidRPr="00924715">
        <w:rPr>
          <w:b/>
          <w:bCs/>
          <w:i w:val="0"/>
          <w:iCs w:val="0"/>
          <w:color w:val="auto"/>
          <w:sz w:val="22"/>
          <w:szCs w:val="22"/>
        </w:rPr>
        <w:t xml:space="preserve">Fig </w:t>
      </w:r>
      <w:r w:rsidR="00962132">
        <w:rPr>
          <w:b/>
          <w:bCs/>
          <w:i w:val="0"/>
          <w:iCs w:val="0"/>
          <w:color w:val="auto"/>
          <w:sz w:val="22"/>
          <w:szCs w:val="22"/>
        </w:rPr>
        <w:t>S</w:t>
      </w:r>
      <w:r w:rsidRPr="00924715">
        <w:rPr>
          <w:b/>
          <w:bCs/>
          <w:i w:val="0"/>
          <w:iCs w:val="0"/>
          <w:color w:val="auto"/>
          <w:sz w:val="22"/>
          <w:szCs w:val="22"/>
        </w:rPr>
        <w:fldChar w:fldCharType="begin"/>
      </w:r>
      <w:r w:rsidRPr="00924715">
        <w:rPr>
          <w:b/>
          <w:bCs/>
          <w:i w:val="0"/>
          <w:iCs w:val="0"/>
          <w:color w:val="auto"/>
          <w:sz w:val="22"/>
          <w:szCs w:val="22"/>
        </w:rPr>
        <w:instrText xml:space="preserve"> SEQ Fig \* ARABIC </w:instrText>
      </w:r>
      <w:r w:rsidRPr="00924715">
        <w:rPr>
          <w:b/>
          <w:bCs/>
          <w:i w:val="0"/>
          <w:iCs w:val="0"/>
          <w:color w:val="auto"/>
          <w:sz w:val="22"/>
          <w:szCs w:val="22"/>
        </w:rPr>
        <w:fldChar w:fldCharType="separate"/>
      </w:r>
      <w:r w:rsidR="009A11D8">
        <w:rPr>
          <w:b/>
          <w:bCs/>
          <w:i w:val="0"/>
          <w:iCs w:val="0"/>
          <w:noProof/>
          <w:color w:val="auto"/>
          <w:sz w:val="22"/>
          <w:szCs w:val="22"/>
        </w:rPr>
        <w:t>10</w:t>
      </w:r>
      <w:r w:rsidRPr="00924715">
        <w:rPr>
          <w:b/>
          <w:bCs/>
          <w:i w:val="0"/>
          <w:iCs w:val="0"/>
          <w:color w:val="auto"/>
          <w:sz w:val="22"/>
          <w:szCs w:val="22"/>
        </w:rPr>
        <w:fldChar w:fldCharType="end"/>
      </w:r>
      <w:r w:rsidRPr="00924715">
        <w:rPr>
          <w:b/>
          <w:bCs/>
          <w:i w:val="0"/>
          <w:iCs w:val="0"/>
          <w:color w:val="auto"/>
          <w:sz w:val="22"/>
          <w:szCs w:val="22"/>
        </w:rPr>
        <w:t xml:space="preserve">. Scatterplot for association between Standard deviation and </w:t>
      </w:r>
      <w:r w:rsidR="00264FA5">
        <w:rPr>
          <w:b/>
          <w:bCs/>
          <w:i w:val="0"/>
          <w:iCs w:val="0"/>
          <w:color w:val="auto"/>
          <w:sz w:val="22"/>
          <w:szCs w:val="22"/>
        </w:rPr>
        <w:t>M</w:t>
      </w:r>
      <w:r w:rsidRPr="00924715">
        <w:rPr>
          <w:b/>
          <w:bCs/>
          <w:i w:val="0"/>
          <w:iCs w:val="0"/>
          <w:color w:val="auto"/>
          <w:sz w:val="22"/>
          <w:szCs w:val="22"/>
        </w:rPr>
        <w:t>ean monthly incidence rates at district and catchment levels</w:t>
      </w:r>
    </w:p>
    <w:p w14:paraId="2F46E0F9" w14:textId="2B5DE1DE" w:rsidR="001B3DD2" w:rsidRDefault="005E2F12">
      <w:pPr>
        <w:sectPr w:rsidR="001B3DD2" w:rsidSect="00FD16CC">
          <w:pgSz w:w="12240" w:h="15840"/>
          <w:pgMar w:top="1440" w:right="1440" w:bottom="1440" w:left="1440" w:header="720" w:footer="720" w:gutter="0"/>
          <w:cols w:space="720"/>
          <w:docGrid w:linePitch="360"/>
        </w:sectPr>
      </w:pPr>
      <w:r>
        <w:rPr>
          <w:noProof/>
        </w:rPr>
        <w:drawing>
          <wp:inline distT="0" distB="0" distL="0" distR="0" wp14:anchorId="1AF48F25" wp14:editId="14536842">
            <wp:extent cx="6115050" cy="611505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115050" cy="6115050"/>
                    </a:xfrm>
                    <a:prstGeom prst="rect">
                      <a:avLst/>
                    </a:prstGeom>
                    <a:noFill/>
                    <a:ln>
                      <a:noFill/>
                    </a:ln>
                  </pic:spPr>
                </pic:pic>
              </a:graphicData>
            </a:graphic>
          </wp:inline>
        </w:drawing>
      </w:r>
      <w:r w:rsidR="00025AD7" w:rsidRPr="00025AD7">
        <w:t xml:space="preserve"> </w:t>
      </w:r>
    </w:p>
    <w:p w14:paraId="339C7A63" w14:textId="44D66B18" w:rsidR="0028327F" w:rsidRDefault="0028327F" w:rsidP="00D739CC">
      <w:pPr>
        <w:pStyle w:val="Caption"/>
        <w:keepNext/>
        <w:jc w:val="center"/>
      </w:pPr>
      <w:r w:rsidRPr="0028327F">
        <w:rPr>
          <w:b/>
          <w:bCs/>
          <w:i w:val="0"/>
          <w:iCs w:val="0"/>
          <w:color w:val="auto"/>
          <w:sz w:val="20"/>
          <w:szCs w:val="20"/>
        </w:rPr>
        <w:lastRenderedPageBreak/>
        <w:t xml:space="preserve">Fig </w:t>
      </w:r>
      <w:r w:rsidR="00962132">
        <w:rPr>
          <w:b/>
          <w:bCs/>
          <w:i w:val="0"/>
          <w:iCs w:val="0"/>
          <w:color w:val="auto"/>
          <w:sz w:val="20"/>
          <w:szCs w:val="20"/>
        </w:rPr>
        <w:t>S</w:t>
      </w:r>
      <w:r w:rsidRPr="0028327F">
        <w:rPr>
          <w:b/>
          <w:bCs/>
          <w:i w:val="0"/>
          <w:iCs w:val="0"/>
          <w:color w:val="auto"/>
          <w:sz w:val="20"/>
          <w:szCs w:val="20"/>
        </w:rPr>
        <w:fldChar w:fldCharType="begin"/>
      </w:r>
      <w:r w:rsidRPr="0028327F">
        <w:rPr>
          <w:b/>
          <w:bCs/>
          <w:i w:val="0"/>
          <w:iCs w:val="0"/>
          <w:color w:val="auto"/>
          <w:sz w:val="20"/>
          <w:szCs w:val="20"/>
        </w:rPr>
        <w:instrText xml:space="preserve"> SEQ Fig \* ARABIC </w:instrText>
      </w:r>
      <w:r w:rsidRPr="0028327F">
        <w:rPr>
          <w:b/>
          <w:bCs/>
          <w:i w:val="0"/>
          <w:iCs w:val="0"/>
          <w:color w:val="auto"/>
          <w:sz w:val="20"/>
          <w:szCs w:val="20"/>
        </w:rPr>
        <w:fldChar w:fldCharType="separate"/>
      </w:r>
      <w:r w:rsidR="009A11D8">
        <w:rPr>
          <w:b/>
          <w:bCs/>
          <w:i w:val="0"/>
          <w:iCs w:val="0"/>
          <w:noProof/>
          <w:color w:val="auto"/>
          <w:sz w:val="20"/>
          <w:szCs w:val="20"/>
        </w:rPr>
        <w:t>11</w:t>
      </w:r>
      <w:r w:rsidRPr="0028327F">
        <w:rPr>
          <w:b/>
          <w:bCs/>
          <w:i w:val="0"/>
          <w:iCs w:val="0"/>
          <w:color w:val="auto"/>
          <w:sz w:val="20"/>
          <w:szCs w:val="20"/>
        </w:rPr>
        <w:fldChar w:fldCharType="end"/>
      </w:r>
      <w:r w:rsidRPr="0028327F">
        <w:rPr>
          <w:b/>
          <w:bCs/>
          <w:i w:val="0"/>
          <w:iCs w:val="0"/>
          <w:color w:val="auto"/>
          <w:sz w:val="20"/>
          <w:szCs w:val="20"/>
        </w:rPr>
        <w:t>. Distribution of malaria incidence rates per month for</w:t>
      </w:r>
      <w:r w:rsidR="001421A9">
        <w:rPr>
          <w:b/>
          <w:bCs/>
          <w:i w:val="0"/>
          <w:iCs w:val="0"/>
          <w:color w:val="auto"/>
          <w:sz w:val="20"/>
          <w:szCs w:val="20"/>
        </w:rPr>
        <w:t xml:space="preserve"> the 128</w:t>
      </w:r>
      <w:r w:rsidRPr="0028327F">
        <w:rPr>
          <w:b/>
          <w:bCs/>
          <w:i w:val="0"/>
          <w:iCs w:val="0"/>
          <w:color w:val="auto"/>
          <w:sz w:val="20"/>
          <w:szCs w:val="20"/>
        </w:rPr>
        <w:t xml:space="preserve"> districts </w:t>
      </w:r>
      <w:r w:rsidR="001421A9">
        <w:rPr>
          <w:b/>
          <w:bCs/>
          <w:i w:val="0"/>
          <w:iCs w:val="0"/>
          <w:color w:val="auto"/>
          <w:sz w:val="20"/>
          <w:szCs w:val="20"/>
        </w:rPr>
        <w:t xml:space="preserve">in Uganda </w:t>
      </w:r>
      <w:r w:rsidRPr="0028327F">
        <w:rPr>
          <w:b/>
          <w:bCs/>
          <w:i w:val="0"/>
          <w:iCs w:val="0"/>
          <w:color w:val="auto"/>
          <w:sz w:val="20"/>
          <w:szCs w:val="20"/>
        </w:rPr>
        <w:t>between July 2015 and September 2019</w:t>
      </w:r>
      <w:r>
        <w:rPr>
          <w:noProof/>
        </w:rPr>
        <w:drawing>
          <wp:inline distT="0" distB="0" distL="0" distR="0" wp14:anchorId="13EBD7BF" wp14:editId="40F27CEA">
            <wp:extent cx="8058150" cy="6397683"/>
            <wp:effectExtent l="0" t="0" r="0" b="317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063970" cy="6402304"/>
                    </a:xfrm>
                    <a:prstGeom prst="rect">
                      <a:avLst/>
                    </a:prstGeom>
                    <a:noFill/>
                    <a:ln>
                      <a:noFill/>
                    </a:ln>
                  </pic:spPr>
                </pic:pic>
              </a:graphicData>
            </a:graphic>
          </wp:inline>
        </w:drawing>
      </w:r>
    </w:p>
    <w:p w14:paraId="78F08943" w14:textId="38659750" w:rsidR="001B3DD2" w:rsidRDefault="0028327F" w:rsidP="0028327F">
      <w:pPr>
        <w:jc w:val="center"/>
      </w:pPr>
      <w:r>
        <w:rPr>
          <w:noProof/>
        </w:rPr>
        <w:lastRenderedPageBreak/>
        <w:drawing>
          <wp:inline distT="0" distB="0" distL="0" distR="0" wp14:anchorId="27FCEA02" wp14:editId="7708B8B9">
            <wp:extent cx="8165223" cy="6457950"/>
            <wp:effectExtent l="0" t="0" r="762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165223" cy="6457950"/>
                    </a:xfrm>
                    <a:prstGeom prst="rect">
                      <a:avLst/>
                    </a:prstGeom>
                    <a:noFill/>
                    <a:ln>
                      <a:noFill/>
                    </a:ln>
                  </pic:spPr>
                </pic:pic>
              </a:graphicData>
            </a:graphic>
          </wp:inline>
        </w:drawing>
      </w:r>
      <w:r w:rsidR="001B3DD2">
        <w:br w:type="page"/>
      </w:r>
    </w:p>
    <w:p w14:paraId="40934A42" w14:textId="77777777" w:rsidR="001B3DD2" w:rsidRDefault="001B3DD2">
      <w:pPr>
        <w:sectPr w:rsidR="001B3DD2" w:rsidSect="00D739CC">
          <w:pgSz w:w="15840" w:h="12240" w:orient="landscape"/>
          <w:pgMar w:top="567" w:right="567" w:bottom="567" w:left="567" w:header="720" w:footer="720" w:gutter="0"/>
          <w:cols w:space="720"/>
          <w:docGrid w:linePitch="360"/>
        </w:sectPr>
      </w:pPr>
    </w:p>
    <w:p w14:paraId="7A9CC49F" w14:textId="2D8316E9" w:rsidR="00D5410C" w:rsidRDefault="00D5410C" w:rsidP="00830725">
      <w:pPr>
        <w:pStyle w:val="ListParagraph"/>
        <w:numPr>
          <w:ilvl w:val="0"/>
          <w:numId w:val="1"/>
        </w:numPr>
        <w:spacing w:line="360" w:lineRule="auto"/>
        <w:rPr>
          <w:b/>
          <w:bCs/>
        </w:rPr>
      </w:pPr>
      <w:r>
        <w:rPr>
          <w:b/>
          <w:bCs/>
        </w:rPr>
        <w:lastRenderedPageBreak/>
        <w:t>Trends in monthly incidence rates</w:t>
      </w:r>
    </w:p>
    <w:p w14:paraId="1912A4AA" w14:textId="078591C9" w:rsidR="00D5410C" w:rsidRDefault="00D5410C" w:rsidP="00D5410C">
      <w:pPr>
        <w:spacing w:line="360" w:lineRule="auto"/>
      </w:pPr>
      <w:r w:rsidRPr="00D5410C">
        <w:t>Whilst</w:t>
      </w:r>
      <w:r>
        <w:t xml:space="preserve"> clear and fairly strong trends in malaria incidence rates were observed at the national level with seasonality, similar trends and seasonality were also reflected among regions and districts. The highest burden areas also sustained the highest levels of mean monthly incidence rates across the study duration both at regional and</w:t>
      </w:r>
      <w:r w:rsidR="002C5112">
        <w:t xml:space="preserve"> also as shown among</w:t>
      </w:r>
      <w:r>
        <w:t xml:space="preserve"> district</w:t>
      </w:r>
      <w:r w:rsidR="002C5112">
        <w:t>s</w:t>
      </w:r>
      <w:r>
        <w:t xml:space="preserve"> in Fig</w:t>
      </w:r>
      <w:r w:rsidR="000D4CF0">
        <w:t>.</w:t>
      </w:r>
      <w:r>
        <w:t xml:space="preserve"> </w:t>
      </w:r>
      <w:r w:rsidR="001A34F0">
        <w:t>S</w:t>
      </w:r>
      <w:r>
        <w:t>1</w:t>
      </w:r>
      <w:r w:rsidR="002C5112">
        <w:t>2</w:t>
      </w:r>
      <w:r>
        <w:t xml:space="preserve"> below.</w:t>
      </w:r>
    </w:p>
    <w:p w14:paraId="7681169C" w14:textId="77777777" w:rsidR="00D5410C" w:rsidRDefault="00D5410C">
      <w:pPr>
        <w:rPr>
          <w:b/>
          <w:bCs/>
        </w:rPr>
        <w:sectPr w:rsidR="00D5410C" w:rsidSect="001B3DD2">
          <w:pgSz w:w="12240" w:h="15840"/>
          <w:pgMar w:top="1440" w:right="1440" w:bottom="1440" w:left="1440" w:header="720" w:footer="720" w:gutter="0"/>
          <w:cols w:space="720"/>
          <w:docGrid w:linePitch="360"/>
        </w:sectPr>
      </w:pPr>
    </w:p>
    <w:p w14:paraId="498EC431" w14:textId="00A9BA8F" w:rsidR="006F080C" w:rsidRPr="006F080C" w:rsidRDefault="006F080C" w:rsidP="006F080C">
      <w:pPr>
        <w:pStyle w:val="Caption"/>
        <w:keepNext/>
        <w:rPr>
          <w:b/>
          <w:bCs/>
          <w:i w:val="0"/>
          <w:iCs w:val="0"/>
          <w:color w:val="auto"/>
          <w:sz w:val="22"/>
          <w:szCs w:val="22"/>
        </w:rPr>
      </w:pPr>
      <w:r w:rsidRPr="006F080C">
        <w:rPr>
          <w:b/>
          <w:bCs/>
          <w:i w:val="0"/>
          <w:iCs w:val="0"/>
          <w:color w:val="auto"/>
          <w:sz w:val="22"/>
          <w:szCs w:val="22"/>
        </w:rPr>
        <w:lastRenderedPageBreak/>
        <w:t xml:space="preserve">Fig </w:t>
      </w:r>
      <w:r w:rsidR="00962132">
        <w:rPr>
          <w:b/>
          <w:bCs/>
          <w:i w:val="0"/>
          <w:iCs w:val="0"/>
          <w:color w:val="auto"/>
          <w:sz w:val="22"/>
          <w:szCs w:val="22"/>
        </w:rPr>
        <w:t>S</w:t>
      </w:r>
      <w:r w:rsidRPr="006F080C">
        <w:rPr>
          <w:b/>
          <w:bCs/>
          <w:i w:val="0"/>
          <w:iCs w:val="0"/>
          <w:color w:val="auto"/>
          <w:sz w:val="22"/>
          <w:szCs w:val="22"/>
        </w:rPr>
        <w:fldChar w:fldCharType="begin"/>
      </w:r>
      <w:r w:rsidRPr="006F080C">
        <w:rPr>
          <w:b/>
          <w:bCs/>
          <w:i w:val="0"/>
          <w:iCs w:val="0"/>
          <w:color w:val="auto"/>
          <w:sz w:val="22"/>
          <w:szCs w:val="22"/>
        </w:rPr>
        <w:instrText xml:space="preserve"> SEQ Fig \* ARABIC </w:instrText>
      </w:r>
      <w:r w:rsidRPr="006F080C">
        <w:rPr>
          <w:b/>
          <w:bCs/>
          <w:i w:val="0"/>
          <w:iCs w:val="0"/>
          <w:color w:val="auto"/>
          <w:sz w:val="22"/>
          <w:szCs w:val="22"/>
        </w:rPr>
        <w:fldChar w:fldCharType="separate"/>
      </w:r>
      <w:r w:rsidR="009A11D8">
        <w:rPr>
          <w:b/>
          <w:bCs/>
          <w:i w:val="0"/>
          <w:iCs w:val="0"/>
          <w:noProof/>
          <w:color w:val="auto"/>
          <w:sz w:val="22"/>
          <w:szCs w:val="22"/>
        </w:rPr>
        <w:t>12</w:t>
      </w:r>
      <w:r w:rsidRPr="006F080C">
        <w:rPr>
          <w:b/>
          <w:bCs/>
          <w:i w:val="0"/>
          <w:iCs w:val="0"/>
          <w:color w:val="auto"/>
          <w:sz w:val="22"/>
          <w:szCs w:val="22"/>
        </w:rPr>
        <w:fldChar w:fldCharType="end"/>
      </w:r>
      <w:r w:rsidRPr="006F080C">
        <w:rPr>
          <w:b/>
          <w:bCs/>
          <w:i w:val="0"/>
          <w:iCs w:val="0"/>
          <w:color w:val="auto"/>
          <w:sz w:val="22"/>
          <w:szCs w:val="22"/>
        </w:rPr>
        <w:t>. Trends in the mean monthly incidence rates by the 128 districts of Uganda as of 2018</w:t>
      </w:r>
    </w:p>
    <w:p w14:paraId="09654B0B" w14:textId="77777777" w:rsidR="006F080C" w:rsidRDefault="006F080C">
      <w:r>
        <w:rPr>
          <w:noProof/>
        </w:rPr>
        <w:drawing>
          <wp:inline distT="0" distB="0" distL="0" distR="0" wp14:anchorId="1A63BBB0" wp14:editId="2089110D">
            <wp:extent cx="8742799" cy="4491990"/>
            <wp:effectExtent l="0" t="0" r="1270" b="381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20">
                      <a:extLst>
                        <a:ext uri="{28A0092B-C50C-407E-A947-70E740481C1C}">
                          <a14:useLocalDpi xmlns:a14="http://schemas.microsoft.com/office/drawing/2010/main" val="0"/>
                        </a:ext>
                      </a:extLst>
                    </a:blip>
                    <a:srcRect t="2883"/>
                    <a:stretch/>
                  </pic:blipFill>
                  <pic:spPr bwMode="auto">
                    <a:xfrm>
                      <a:off x="0" y="0"/>
                      <a:ext cx="8746177" cy="4493725"/>
                    </a:xfrm>
                    <a:prstGeom prst="rect">
                      <a:avLst/>
                    </a:prstGeom>
                    <a:noFill/>
                    <a:ln>
                      <a:noFill/>
                    </a:ln>
                    <a:extLst>
                      <a:ext uri="{53640926-AAD7-44D8-BBD7-CCE9431645EC}">
                        <a14:shadowObscured xmlns:a14="http://schemas.microsoft.com/office/drawing/2010/main"/>
                      </a:ext>
                    </a:extLst>
                  </pic:spPr>
                </pic:pic>
              </a:graphicData>
            </a:graphic>
          </wp:inline>
        </w:drawing>
      </w:r>
    </w:p>
    <w:p w14:paraId="74E5175C" w14:textId="2FB13672" w:rsidR="00D5410C" w:rsidRPr="00D5410C" w:rsidRDefault="004135BF" w:rsidP="004135BF">
      <w:pPr>
        <w:spacing w:line="360" w:lineRule="auto"/>
      </w:pPr>
      <w:r>
        <w:t>Here, we observe two groups of districts with the highest incidence rates. The first comprised the three districts of Moyo, Lamwo, and Adjumani while the second group included Amuru, Pader, Nwoya, and Maracha. Consistent with seasonality observed at national level, all districts both how and high burden, showed the same seasonality pattern with June-July as the highest incidence rates months and February-March being the lowest incidence rates months across the study duration.</w:t>
      </w:r>
      <w:r w:rsidR="00D5410C" w:rsidRPr="00D5410C">
        <w:br w:type="page"/>
      </w:r>
    </w:p>
    <w:p w14:paraId="040A093F" w14:textId="77777777" w:rsidR="006F080C" w:rsidRDefault="006F080C" w:rsidP="00830725">
      <w:pPr>
        <w:pStyle w:val="ListParagraph"/>
        <w:numPr>
          <w:ilvl w:val="0"/>
          <w:numId w:val="5"/>
        </w:numPr>
        <w:spacing w:line="360" w:lineRule="auto"/>
        <w:rPr>
          <w:b/>
          <w:bCs/>
        </w:rPr>
        <w:sectPr w:rsidR="006F080C" w:rsidSect="00D5410C">
          <w:pgSz w:w="15840" w:h="12240" w:orient="landscape"/>
          <w:pgMar w:top="1440" w:right="1440" w:bottom="1440" w:left="1440" w:header="720" w:footer="720" w:gutter="0"/>
          <w:cols w:space="720"/>
          <w:docGrid w:linePitch="360"/>
        </w:sectPr>
      </w:pPr>
    </w:p>
    <w:p w14:paraId="3DB0BA3B" w14:textId="6C04825D" w:rsidR="00FD16CC" w:rsidRPr="00D41AA7" w:rsidRDefault="00FD16CC" w:rsidP="00830725">
      <w:pPr>
        <w:pStyle w:val="ListParagraph"/>
        <w:numPr>
          <w:ilvl w:val="0"/>
          <w:numId w:val="1"/>
        </w:numPr>
        <w:spacing w:line="360" w:lineRule="auto"/>
        <w:rPr>
          <w:b/>
          <w:bCs/>
        </w:rPr>
      </w:pPr>
      <w:r w:rsidRPr="00D41AA7">
        <w:rPr>
          <w:b/>
          <w:bCs/>
        </w:rPr>
        <w:lastRenderedPageBreak/>
        <w:t>Annual estimates of confirmed malaria cases</w:t>
      </w:r>
    </w:p>
    <w:p w14:paraId="3FE54A9E" w14:textId="57C10E24" w:rsidR="00FD16CC" w:rsidRPr="00A66EC9" w:rsidRDefault="00FD16CC" w:rsidP="00FD16CC">
      <w:pPr>
        <w:spacing w:line="360" w:lineRule="auto"/>
      </w:pPr>
      <w:r>
        <w:t xml:space="preserve">National estimates of annual total confirmed malaria cases in Uganda are obtainable through routine surveillance data. However, these are not the fully utilized in global burden estimates of malaria for Uganda or other countries in the region. To evaluate how HMIS-based estimates compared with global estimates, annual estimates for each calendar year were compared with the most recent estimates reported in the WHO’s world malaria report 2019. Given that global reports are provided in complete years, the respective calendar years for which data included in our study was not from the entire 12 months of the year, the comparisons were considered not applicable. These results are presented in Table </w:t>
      </w:r>
      <w:r w:rsidR="001A34F0">
        <w:t>S</w:t>
      </w:r>
      <w:r w:rsidR="006A2D8B">
        <w:t>4</w:t>
      </w:r>
      <w:r>
        <w:t xml:space="preserve"> below.</w:t>
      </w:r>
    </w:p>
    <w:p w14:paraId="5A6C596D" w14:textId="7296F819" w:rsidR="00FD16CC" w:rsidRPr="00F83A6A" w:rsidRDefault="00FD16CC" w:rsidP="00FD16CC">
      <w:pPr>
        <w:pStyle w:val="Caption"/>
        <w:keepNext/>
        <w:rPr>
          <w:b/>
          <w:bCs/>
          <w:i w:val="0"/>
          <w:iCs w:val="0"/>
          <w:color w:val="auto"/>
          <w:sz w:val="22"/>
          <w:szCs w:val="22"/>
        </w:rPr>
      </w:pPr>
      <w:r w:rsidRPr="00F83A6A">
        <w:rPr>
          <w:b/>
          <w:bCs/>
          <w:i w:val="0"/>
          <w:iCs w:val="0"/>
          <w:color w:val="auto"/>
          <w:sz w:val="22"/>
          <w:szCs w:val="22"/>
        </w:rPr>
        <w:t xml:space="preserve">Table </w:t>
      </w:r>
      <w:r w:rsidR="00962132">
        <w:rPr>
          <w:b/>
          <w:bCs/>
          <w:i w:val="0"/>
          <w:iCs w:val="0"/>
          <w:color w:val="auto"/>
          <w:sz w:val="22"/>
          <w:szCs w:val="22"/>
        </w:rPr>
        <w:t>S</w:t>
      </w:r>
      <w:r w:rsidRPr="00F83A6A">
        <w:rPr>
          <w:b/>
          <w:bCs/>
          <w:i w:val="0"/>
          <w:iCs w:val="0"/>
          <w:color w:val="auto"/>
          <w:sz w:val="22"/>
          <w:szCs w:val="22"/>
        </w:rPr>
        <w:fldChar w:fldCharType="begin"/>
      </w:r>
      <w:r w:rsidRPr="00F83A6A">
        <w:rPr>
          <w:b/>
          <w:bCs/>
          <w:i w:val="0"/>
          <w:iCs w:val="0"/>
          <w:color w:val="auto"/>
          <w:sz w:val="22"/>
          <w:szCs w:val="22"/>
        </w:rPr>
        <w:instrText xml:space="preserve"> SEQ Table \* ARABIC </w:instrText>
      </w:r>
      <w:r w:rsidRPr="00F83A6A">
        <w:rPr>
          <w:b/>
          <w:bCs/>
          <w:i w:val="0"/>
          <w:iCs w:val="0"/>
          <w:color w:val="auto"/>
          <w:sz w:val="22"/>
          <w:szCs w:val="22"/>
        </w:rPr>
        <w:fldChar w:fldCharType="separate"/>
      </w:r>
      <w:r w:rsidR="00CE5C15">
        <w:rPr>
          <w:b/>
          <w:bCs/>
          <w:i w:val="0"/>
          <w:iCs w:val="0"/>
          <w:noProof/>
          <w:color w:val="auto"/>
          <w:sz w:val="22"/>
          <w:szCs w:val="22"/>
        </w:rPr>
        <w:t>4</w:t>
      </w:r>
      <w:r w:rsidRPr="00F83A6A">
        <w:rPr>
          <w:b/>
          <w:bCs/>
          <w:i w:val="0"/>
          <w:iCs w:val="0"/>
          <w:color w:val="auto"/>
          <w:sz w:val="22"/>
          <w:szCs w:val="22"/>
        </w:rPr>
        <w:fldChar w:fldCharType="end"/>
      </w:r>
      <w:r w:rsidRPr="00F83A6A">
        <w:rPr>
          <w:b/>
          <w:bCs/>
          <w:i w:val="0"/>
          <w:iCs w:val="0"/>
          <w:color w:val="auto"/>
          <w:sz w:val="22"/>
          <w:szCs w:val="22"/>
        </w:rPr>
        <w:t>. Estimated number of confirmed malaria cases</w:t>
      </w:r>
      <w:r w:rsidRPr="00F83A6A">
        <w:rPr>
          <w:b/>
          <w:bCs/>
          <w:i w:val="0"/>
          <w:iCs w:val="0"/>
          <w:noProof/>
          <w:color w:val="auto"/>
          <w:sz w:val="22"/>
          <w:szCs w:val="22"/>
        </w:rPr>
        <w:t xml:space="preserve"> from this study compared with estimates from the WHO estimates</w:t>
      </w:r>
    </w:p>
    <w:tbl>
      <w:tblPr>
        <w:tblW w:w="5000" w:type="pct"/>
        <w:tblBorders>
          <w:top w:val="single" w:sz="12" w:space="0" w:color="auto"/>
          <w:bottom w:val="single" w:sz="12" w:space="0" w:color="auto"/>
        </w:tblBorders>
        <w:tblLook w:val="04A0" w:firstRow="1" w:lastRow="0" w:firstColumn="1" w:lastColumn="0" w:noHBand="0" w:noVBand="1"/>
      </w:tblPr>
      <w:tblGrid>
        <w:gridCol w:w="1612"/>
        <w:gridCol w:w="2497"/>
        <w:gridCol w:w="2411"/>
        <w:gridCol w:w="2840"/>
      </w:tblGrid>
      <w:tr w:rsidR="00CF4EE7" w:rsidRPr="00011185" w14:paraId="092F0939" w14:textId="77777777" w:rsidTr="004D4010">
        <w:trPr>
          <w:trHeight w:val="873"/>
        </w:trPr>
        <w:tc>
          <w:tcPr>
            <w:tcW w:w="861" w:type="pct"/>
            <w:tcBorders>
              <w:top w:val="single" w:sz="12" w:space="0" w:color="auto"/>
              <w:bottom w:val="single" w:sz="4" w:space="0" w:color="auto"/>
            </w:tcBorders>
            <w:shd w:val="clear" w:color="auto" w:fill="auto"/>
            <w:noWrap/>
            <w:vAlign w:val="center"/>
            <w:hideMark/>
          </w:tcPr>
          <w:p w14:paraId="09AF9620" w14:textId="77777777" w:rsidR="00CF4EE7" w:rsidRPr="00011185" w:rsidRDefault="00CF4EE7" w:rsidP="00886847">
            <w:pPr>
              <w:spacing w:after="0" w:line="240" w:lineRule="auto"/>
              <w:jc w:val="center"/>
              <w:rPr>
                <w:rFonts w:ascii="Calibri" w:eastAsia="Times New Roman" w:hAnsi="Calibri" w:cs="Times New Roman"/>
                <w:b/>
                <w:bCs/>
                <w:color w:val="000000"/>
                <w:lang w:val="en-GB" w:eastAsia="en-GB"/>
              </w:rPr>
            </w:pPr>
            <w:r w:rsidRPr="00011185">
              <w:rPr>
                <w:rFonts w:ascii="Calibri" w:eastAsia="Times New Roman" w:hAnsi="Calibri" w:cs="Times New Roman"/>
                <w:b/>
                <w:bCs/>
                <w:color w:val="000000"/>
                <w:lang w:val="en-GB" w:eastAsia="en-GB"/>
              </w:rPr>
              <w:t>Year / duration</w:t>
            </w:r>
          </w:p>
        </w:tc>
        <w:tc>
          <w:tcPr>
            <w:tcW w:w="1334" w:type="pct"/>
            <w:tcBorders>
              <w:top w:val="single" w:sz="12" w:space="0" w:color="auto"/>
              <w:bottom w:val="single" w:sz="4" w:space="0" w:color="auto"/>
            </w:tcBorders>
            <w:shd w:val="clear" w:color="auto" w:fill="auto"/>
            <w:vAlign w:val="center"/>
            <w:hideMark/>
          </w:tcPr>
          <w:p w14:paraId="2DE3D702" w14:textId="1A37805A" w:rsidR="00CF4EE7" w:rsidRPr="00011185" w:rsidRDefault="00CF4EE7" w:rsidP="00061900">
            <w:pPr>
              <w:spacing w:after="0" w:line="240" w:lineRule="auto"/>
              <w:jc w:val="center"/>
              <w:rPr>
                <w:rFonts w:ascii="Calibri" w:eastAsia="Times New Roman" w:hAnsi="Calibri" w:cs="Times New Roman"/>
                <w:b/>
                <w:bCs/>
                <w:color w:val="000000"/>
                <w:lang w:val="en-GB" w:eastAsia="en-GB"/>
              </w:rPr>
            </w:pPr>
            <w:r w:rsidRPr="00011185">
              <w:rPr>
                <w:rFonts w:ascii="Calibri" w:eastAsia="Times New Roman" w:hAnsi="Calibri" w:cs="Times New Roman"/>
                <w:b/>
                <w:bCs/>
                <w:color w:val="000000"/>
                <w:lang w:val="en-GB" w:eastAsia="en-GB"/>
              </w:rPr>
              <w:t xml:space="preserve">Confirmed malaria cases </w:t>
            </w:r>
            <w:r w:rsidRPr="00F83A6A">
              <w:rPr>
                <w:rFonts w:ascii="Calibri" w:eastAsia="Times New Roman" w:hAnsi="Calibri" w:cs="Times New Roman"/>
                <w:b/>
                <w:bCs/>
                <w:color w:val="000000"/>
                <w:lang w:val="en-GB" w:eastAsia="en-GB"/>
              </w:rPr>
              <w:t xml:space="preserve">in </w:t>
            </w:r>
            <w:r w:rsidRPr="00011185">
              <w:rPr>
                <w:rFonts w:ascii="Calibri" w:eastAsia="Times New Roman" w:hAnsi="Calibri" w:cs="Times New Roman"/>
                <w:b/>
                <w:bCs/>
                <w:color w:val="000000"/>
                <w:lang w:val="en-GB" w:eastAsia="en-GB"/>
              </w:rPr>
              <w:t>millions</w:t>
            </w:r>
            <w:r w:rsidRPr="00F83A6A">
              <w:rPr>
                <w:rFonts w:ascii="Calibri" w:eastAsia="Times New Roman" w:hAnsi="Calibri" w:cs="Times New Roman"/>
                <w:b/>
                <w:bCs/>
                <w:color w:val="000000"/>
                <w:lang w:val="en-GB" w:eastAsia="en-GB"/>
              </w:rPr>
              <w:t xml:space="preserve"> (</w:t>
            </w:r>
            <w:r w:rsidRPr="00011185">
              <w:rPr>
                <w:rFonts w:ascii="Calibri" w:eastAsia="Times New Roman" w:hAnsi="Calibri" w:cs="Times New Roman"/>
                <w:b/>
                <w:bCs/>
                <w:color w:val="000000"/>
                <w:lang w:val="en-GB" w:eastAsia="en-GB"/>
              </w:rPr>
              <w:t>95% C</w:t>
            </w:r>
            <w:r w:rsidR="00061900">
              <w:rPr>
                <w:rFonts w:ascii="Calibri" w:eastAsia="Times New Roman" w:hAnsi="Calibri" w:cs="Times New Roman"/>
                <w:b/>
                <w:bCs/>
                <w:color w:val="000000"/>
                <w:lang w:val="en-GB" w:eastAsia="en-GB"/>
              </w:rPr>
              <w:t>I</w:t>
            </w:r>
            <w:r w:rsidRPr="00F83A6A">
              <w:rPr>
                <w:rFonts w:ascii="Calibri" w:eastAsia="Times New Roman" w:hAnsi="Calibri" w:cs="Times New Roman"/>
                <w:b/>
                <w:bCs/>
                <w:color w:val="000000"/>
                <w:lang w:val="en-GB" w:eastAsia="en-GB"/>
              </w:rPr>
              <w:t>)</w:t>
            </w:r>
          </w:p>
        </w:tc>
        <w:tc>
          <w:tcPr>
            <w:tcW w:w="1288" w:type="pct"/>
            <w:tcBorders>
              <w:top w:val="single" w:sz="12" w:space="0" w:color="auto"/>
              <w:bottom w:val="single" w:sz="4" w:space="0" w:color="auto"/>
            </w:tcBorders>
          </w:tcPr>
          <w:p w14:paraId="03F58DE5" w14:textId="5F021C1F" w:rsidR="00CF4EE7" w:rsidRPr="00011185" w:rsidRDefault="00CF4EE7" w:rsidP="00886847">
            <w:pPr>
              <w:spacing w:after="0" w:line="240" w:lineRule="auto"/>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 xml:space="preserve">Estimated cases from Malaria atlas project </w:t>
            </w:r>
            <w:r w:rsidRPr="00F83A6A">
              <w:rPr>
                <w:rFonts w:ascii="Calibri" w:eastAsia="Times New Roman" w:hAnsi="Calibri" w:cs="Times New Roman"/>
                <w:b/>
                <w:bCs/>
                <w:color w:val="000000"/>
                <w:lang w:val="en-GB" w:eastAsia="en-GB"/>
              </w:rPr>
              <w:t xml:space="preserve">in </w:t>
            </w:r>
            <w:r w:rsidRPr="00011185">
              <w:rPr>
                <w:rFonts w:ascii="Calibri" w:eastAsia="Times New Roman" w:hAnsi="Calibri" w:cs="Times New Roman"/>
                <w:b/>
                <w:bCs/>
                <w:color w:val="000000"/>
                <w:lang w:val="en-GB" w:eastAsia="en-GB"/>
              </w:rPr>
              <w:t>millions</w:t>
            </w:r>
            <w:r w:rsidRPr="00F83A6A">
              <w:rPr>
                <w:rFonts w:ascii="Calibri" w:eastAsia="Times New Roman" w:hAnsi="Calibri" w:cs="Times New Roman"/>
                <w:b/>
                <w:bCs/>
                <w:color w:val="000000"/>
                <w:lang w:val="en-GB" w:eastAsia="en-GB"/>
              </w:rPr>
              <w:t xml:space="preserve"> (95% Conf</w:t>
            </w:r>
            <w:r w:rsidR="00061900">
              <w:rPr>
                <w:rFonts w:ascii="Calibri" w:eastAsia="Times New Roman" w:hAnsi="Calibri" w:cs="Times New Roman"/>
                <w:b/>
                <w:bCs/>
                <w:color w:val="000000"/>
                <w:lang w:val="en-GB" w:eastAsia="en-GB"/>
              </w:rPr>
              <w:t>.</w:t>
            </w:r>
            <w:r w:rsidRPr="00F83A6A">
              <w:rPr>
                <w:rFonts w:ascii="Calibri" w:eastAsia="Times New Roman" w:hAnsi="Calibri" w:cs="Times New Roman"/>
                <w:b/>
                <w:bCs/>
                <w:color w:val="000000"/>
                <w:lang w:val="en-GB" w:eastAsia="en-GB"/>
              </w:rPr>
              <w:t xml:space="preserve"> </w:t>
            </w:r>
            <w:r w:rsidR="00061900">
              <w:rPr>
                <w:rFonts w:ascii="Calibri" w:eastAsia="Times New Roman" w:hAnsi="Calibri" w:cs="Times New Roman"/>
                <w:b/>
                <w:bCs/>
                <w:color w:val="000000"/>
                <w:lang w:val="en-GB" w:eastAsia="en-GB"/>
              </w:rPr>
              <w:t>I</w:t>
            </w:r>
            <w:r w:rsidRPr="00F83A6A">
              <w:rPr>
                <w:rFonts w:ascii="Calibri" w:eastAsia="Times New Roman" w:hAnsi="Calibri" w:cs="Times New Roman"/>
                <w:b/>
                <w:bCs/>
                <w:color w:val="000000"/>
                <w:lang w:val="en-GB" w:eastAsia="en-GB"/>
              </w:rPr>
              <w:t>)</w:t>
            </w:r>
          </w:p>
        </w:tc>
        <w:tc>
          <w:tcPr>
            <w:tcW w:w="1517" w:type="pct"/>
            <w:tcBorders>
              <w:top w:val="single" w:sz="12" w:space="0" w:color="auto"/>
              <w:bottom w:val="single" w:sz="4" w:space="0" w:color="auto"/>
            </w:tcBorders>
            <w:shd w:val="clear" w:color="auto" w:fill="auto"/>
            <w:vAlign w:val="center"/>
            <w:hideMark/>
          </w:tcPr>
          <w:p w14:paraId="18BC41A5" w14:textId="6EFDACAC" w:rsidR="00CF4EE7" w:rsidRPr="00011185" w:rsidRDefault="00CF4EE7" w:rsidP="004D4010">
            <w:pPr>
              <w:spacing w:after="0" w:line="240" w:lineRule="auto"/>
              <w:jc w:val="center"/>
              <w:rPr>
                <w:rFonts w:ascii="Calibri" w:eastAsia="Times New Roman" w:hAnsi="Calibri" w:cs="Times New Roman"/>
                <w:b/>
                <w:bCs/>
                <w:color w:val="000000"/>
                <w:lang w:val="en-GB" w:eastAsia="en-GB"/>
              </w:rPr>
            </w:pPr>
            <w:r w:rsidRPr="00011185">
              <w:rPr>
                <w:rFonts w:ascii="Calibri" w:eastAsia="Times New Roman" w:hAnsi="Calibri" w:cs="Times New Roman"/>
                <w:b/>
                <w:bCs/>
                <w:color w:val="000000"/>
                <w:lang w:val="en-GB" w:eastAsia="en-GB"/>
              </w:rPr>
              <w:t xml:space="preserve">WHO malaria report 2019 </w:t>
            </w:r>
            <w:r w:rsidRPr="00F83A6A">
              <w:rPr>
                <w:rFonts w:ascii="Calibri" w:eastAsia="Times New Roman" w:hAnsi="Calibri" w:cs="Times New Roman"/>
                <w:b/>
                <w:bCs/>
                <w:color w:val="000000"/>
                <w:lang w:val="en-GB" w:eastAsia="en-GB"/>
              </w:rPr>
              <w:t xml:space="preserve">in </w:t>
            </w:r>
            <w:r w:rsidRPr="00011185">
              <w:rPr>
                <w:rFonts w:ascii="Calibri" w:eastAsia="Times New Roman" w:hAnsi="Calibri" w:cs="Times New Roman"/>
                <w:b/>
                <w:bCs/>
                <w:color w:val="000000"/>
                <w:lang w:val="en-GB" w:eastAsia="en-GB"/>
              </w:rPr>
              <w:t>millions</w:t>
            </w:r>
            <w:r w:rsidRPr="00F83A6A">
              <w:rPr>
                <w:rFonts w:ascii="Calibri" w:eastAsia="Times New Roman" w:hAnsi="Calibri" w:cs="Times New Roman"/>
                <w:b/>
                <w:bCs/>
                <w:color w:val="000000"/>
                <w:lang w:val="en-GB" w:eastAsia="en-GB"/>
              </w:rPr>
              <w:t xml:space="preserve"> (95% Conf</w:t>
            </w:r>
            <w:r w:rsidR="00061900">
              <w:rPr>
                <w:rFonts w:ascii="Calibri" w:eastAsia="Times New Roman" w:hAnsi="Calibri" w:cs="Times New Roman"/>
                <w:b/>
                <w:bCs/>
                <w:color w:val="000000"/>
                <w:lang w:val="en-GB" w:eastAsia="en-GB"/>
              </w:rPr>
              <w:t>.</w:t>
            </w:r>
            <w:r w:rsidRPr="00F83A6A">
              <w:rPr>
                <w:rFonts w:ascii="Calibri" w:eastAsia="Times New Roman" w:hAnsi="Calibri" w:cs="Times New Roman"/>
                <w:b/>
                <w:bCs/>
                <w:color w:val="000000"/>
                <w:lang w:val="en-GB" w:eastAsia="en-GB"/>
              </w:rPr>
              <w:t xml:space="preserve"> </w:t>
            </w:r>
            <w:r w:rsidR="00061900">
              <w:rPr>
                <w:rFonts w:ascii="Calibri" w:eastAsia="Times New Roman" w:hAnsi="Calibri" w:cs="Times New Roman"/>
                <w:b/>
                <w:bCs/>
                <w:color w:val="000000"/>
                <w:lang w:val="en-GB" w:eastAsia="en-GB"/>
              </w:rPr>
              <w:t>I</w:t>
            </w:r>
            <w:r w:rsidRPr="00F83A6A">
              <w:rPr>
                <w:rFonts w:ascii="Calibri" w:eastAsia="Times New Roman" w:hAnsi="Calibri" w:cs="Times New Roman"/>
                <w:b/>
                <w:bCs/>
                <w:color w:val="000000"/>
                <w:lang w:val="en-GB" w:eastAsia="en-GB"/>
              </w:rPr>
              <w:t>)</w:t>
            </w:r>
          </w:p>
        </w:tc>
      </w:tr>
      <w:tr w:rsidR="00CF4EE7" w:rsidRPr="00011185" w14:paraId="2DC24705" w14:textId="77777777" w:rsidTr="004D4010">
        <w:trPr>
          <w:trHeight w:val="397"/>
        </w:trPr>
        <w:tc>
          <w:tcPr>
            <w:tcW w:w="861" w:type="pct"/>
            <w:tcBorders>
              <w:top w:val="single" w:sz="4" w:space="0" w:color="auto"/>
            </w:tcBorders>
            <w:shd w:val="clear" w:color="auto" w:fill="auto"/>
            <w:noWrap/>
            <w:vAlign w:val="center"/>
            <w:hideMark/>
          </w:tcPr>
          <w:p w14:paraId="6C817E9C" w14:textId="6B45E754" w:rsidR="00CF4EE7" w:rsidRPr="00011185" w:rsidRDefault="00CF4EE7" w:rsidP="00886847">
            <w:pPr>
              <w:spacing w:after="0" w:line="240" w:lineRule="auto"/>
              <w:rPr>
                <w:rFonts w:ascii="Calibri" w:eastAsia="Times New Roman" w:hAnsi="Calibri" w:cs="Times New Roman"/>
                <w:color w:val="000000"/>
                <w:lang w:val="en-GB" w:eastAsia="en-GB"/>
              </w:rPr>
            </w:pPr>
            <w:r w:rsidRPr="00011185">
              <w:rPr>
                <w:rFonts w:ascii="Calibri" w:eastAsia="Times New Roman" w:hAnsi="Calibri" w:cs="Times New Roman"/>
                <w:color w:val="000000"/>
                <w:lang w:val="en-GB" w:eastAsia="en-GB"/>
              </w:rPr>
              <w:t>Jul-Dec, 2015</w:t>
            </w:r>
          </w:p>
        </w:tc>
        <w:tc>
          <w:tcPr>
            <w:tcW w:w="1334" w:type="pct"/>
            <w:tcBorders>
              <w:top w:val="single" w:sz="4" w:space="0" w:color="auto"/>
            </w:tcBorders>
            <w:shd w:val="clear" w:color="auto" w:fill="auto"/>
            <w:noWrap/>
            <w:vAlign w:val="center"/>
            <w:hideMark/>
          </w:tcPr>
          <w:p w14:paraId="3EE31BA3" w14:textId="77777777" w:rsidR="00CF4EE7" w:rsidRPr="00011185" w:rsidRDefault="00CF4EE7" w:rsidP="00886847">
            <w:pPr>
              <w:spacing w:after="0" w:line="240" w:lineRule="auto"/>
              <w:jc w:val="center"/>
              <w:rPr>
                <w:rFonts w:ascii="Calibri" w:eastAsia="Times New Roman" w:hAnsi="Calibri" w:cs="Times New Roman"/>
                <w:color w:val="000000"/>
                <w:lang w:val="en-GB" w:eastAsia="en-GB"/>
              </w:rPr>
            </w:pPr>
            <w:r w:rsidRPr="00011185">
              <w:rPr>
                <w:rFonts w:ascii="Calibri" w:eastAsia="Times New Roman" w:hAnsi="Calibri" w:cs="Times New Roman"/>
                <w:color w:val="000000"/>
                <w:lang w:val="en-GB" w:eastAsia="en-GB"/>
              </w:rPr>
              <w:t>4.759</w:t>
            </w:r>
            <w:r>
              <w:rPr>
                <w:rFonts w:ascii="Calibri" w:eastAsia="Times New Roman" w:hAnsi="Calibri" w:cs="Times New Roman"/>
                <w:color w:val="000000"/>
                <w:lang w:val="en-GB" w:eastAsia="en-GB"/>
              </w:rPr>
              <w:t xml:space="preserve"> (</w:t>
            </w:r>
            <w:r w:rsidRPr="00011185">
              <w:rPr>
                <w:rFonts w:ascii="Calibri" w:eastAsia="Times New Roman" w:hAnsi="Calibri" w:cs="Times New Roman"/>
                <w:color w:val="000000"/>
                <w:lang w:val="en-GB" w:eastAsia="en-GB"/>
              </w:rPr>
              <w:t>4.642 - 5.017</w:t>
            </w:r>
            <w:r>
              <w:rPr>
                <w:rFonts w:ascii="Calibri" w:eastAsia="Times New Roman" w:hAnsi="Calibri" w:cs="Times New Roman"/>
                <w:color w:val="000000"/>
                <w:lang w:val="en-GB" w:eastAsia="en-GB"/>
              </w:rPr>
              <w:t>)</w:t>
            </w:r>
          </w:p>
        </w:tc>
        <w:tc>
          <w:tcPr>
            <w:tcW w:w="1288" w:type="pct"/>
            <w:tcBorders>
              <w:top w:val="single" w:sz="4" w:space="0" w:color="auto"/>
            </w:tcBorders>
          </w:tcPr>
          <w:p w14:paraId="0B397782" w14:textId="4C712FA1" w:rsidR="00CF4EE7" w:rsidRPr="00011185" w:rsidRDefault="00CF4EE7" w:rsidP="00886847">
            <w:pPr>
              <w:spacing w:after="0" w:line="240" w:lineRule="auto"/>
              <w:jc w:val="center"/>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N/A</w:t>
            </w:r>
          </w:p>
        </w:tc>
        <w:tc>
          <w:tcPr>
            <w:tcW w:w="1517" w:type="pct"/>
            <w:tcBorders>
              <w:top w:val="single" w:sz="4" w:space="0" w:color="auto"/>
            </w:tcBorders>
            <w:shd w:val="clear" w:color="auto" w:fill="auto"/>
            <w:noWrap/>
            <w:vAlign w:val="center"/>
            <w:hideMark/>
          </w:tcPr>
          <w:p w14:paraId="29A80486" w14:textId="7E512D08" w:rsidR="00CF4EE7" w:rsidRPr="00011185" w:rsidRDefault="00CF4EE7" w:rsidP="00886847">
            <w:pPr>
              <w:spacing w:after="0" w:line="240" w:lineRule="auto"/>
              <w:jc w:val="center"/>
              <w:rPr>
                <w:rFonts w:ascii="Calibri" w:eastAsia="Times New Roman" w:hAnsi="Calibri" w:cs="Times New Roman"/>
                <w:color w:val="000000"/>
                <w:lang w:val="en-GB" w:eastAsia="en-GB"/>
              </w:rPr>
            </w:pPr>
            <w:r w:rsidRPr="00011185">
              <w:rPr>
                <w:rFonts w:ascii="Calibri" w:eastAsia="Times New Roman" w:hAnsi="Calibri" w:cs="Times New Roman"/>
                <w:color w:val="000000"/>
                <w:lang w:val="en-GB" w:eastAsia="en-GB"/>
              </w:rPr>
              <w:t>N/A</w:t>
            </w:r>
          </w:p>
        </w:tc>
      </w:tr>
      <w:tr w:rsidR="00CF4EE7" w:rsidRPr="00011185" w14:paraId="3C357FDC" w14:textId="77777777" w:rsidTr="004D4010">
        <w:trPr>
          <w:trHeight w:val="397"/>
        </w:trPr>
        <w:tc>
          <w:tcPr>
            <w:tcW w:w="861" w:type="pct"/>
            <w:shd w:val="clear" w:color="auto" w:fill="auto"/>
            <w:noWrap/>
            <w:vAlign w:val="center"/>
            <w:hideMark/>
          </w:tcPr>
          <w:p w14:paraId="112B6974" w14:textId="34FA58D4" w:rsidR="00CF4EE7" w:rsidRPr="00011185" w:rsidRDefault="00CF4EE7" w:rsidP="00CF4EE7">
            <w:pPr>
              <w:spacing w:after="0" w:line="240" w:lineRule="auto"/>
              <w:rPr>
                <w:rFonts w:ascii="Calibri" w:eastAsia="Times New Roman" w:hAnsi="Calibri" w:cs="Times New Roman"/>
                <w:color w:val="000000"/>
                <w:lang w:val="en-GB" w:eastAsia="en-GB"/>
              </w:rPr>
            </w:pPr>
            <w:r w:rsidRPr="00011185">
              <w:rPr>
                <w:rFonts w:ascii="Calibri" w:eastAsia="Times New Roman" w:hAnsi="Calibri" w:cs="Times New Roman"/>
                <w:color w:val="000000"/>
                <w:lang w:val="en-GB" w:eastAsia="en-GB"/>
              </w:rPr>
              <w:t>Jan-Dec, 2016</w:t>
            </w:r>
          </w:p>
        </w:tc>
        <w:tc>
          <w:tcPr>
            <w:tcW w:w="1334" w:type="pct"/>
            <w:shd w:val="clear" w:color="auto" w:fill="auto"/>
            <w:noWrap/>
            <w:vAlign w:val="center"/>
            <w:hideMark/>
          </w:tcPr>
          <w:p w14:paraId="49794A6D" w14:textId="77777777" w:rsidR="00CF4EE7" w:rsidRPr="00011185" w:rsidRDefault="00CF4EE7" w:rsidP="00CF4EE7">
            <w:pPr>
              <w:spacing w:after="0" w:line="240" w:lineRule="auto"/>
              <w:jc w:val="center"/>
              <w:rPr>
                <w:rFonts w:ascii="Calibri" w:eastAsia="Times New Roman" w:hAnsi="Calibri" w:cs="Times New Roman"/>
                <w:color w:val="000000"/>
                <w:lang w:val="en-GB" w:eastAsia="en-GB"/>
              </w:rPr>
            </w:pPr>
            <w:r w:rsidRPr="00011185">
              <w:rPr>
                <w:rFonts w:ascii="Calibri" w:eastAsia="Times New Roman" w:hAnsi="Calibri" w:cs="Times New Roman"/>
                <w:color w:val="000000"/>
                <w:lang w:val="en-GB" w:eastAsia="en-GB"/>
              </w:rPr>
              <w:t>10.151</w:t>
            </w:r>
            <w:r>
              <w:rPr>
                <w:rFonts w:ascii="Calibri" w:eastAsia="Times New Roman" w:hAnsi="Calibri" w:cs="Times New Roman"/>
                <w:color w:val="000000"/>
                <w:lang w:val="en-GB" w:eastAsia="en-GB"/>
              </w:rPr>
              <w:t xml:space="preserve"> (</w:t>
            </w:r>
            <w:r w:rsidRPr="00011185">
              <w:rPr>
                <w:rFonts w:ascii="Calibri" w:eastAsia="Times New Roman" w:hAnsi="Calibri" w:cs="Times New Roman"/>
                <w:color w:val="000000"/>
                <w:lang w:val="en-GB" w:eastAsia="en-GB"/>
              </w:rPr>
              <w:t>9.904 - 10.688</w:t>
            </w:r>
            <w:r>
              <w:rPr>
                <w:rFonts w:ascii="Calibri" w:eastAsia="Times New Roman" w:hAnsi="Calibri" w:cs="Times New Roman"/>
                <w:color w:val="000000"/>
                <w:lang w:val="en-GB" w:eastAsia="en-GB"/>
              </w:rPr>
              <w:t>)</w:t>
            </w:r>
          </w:p>
        </w:tc>
        <w:tc>
          <w:tcPr>
            <w:tcW w:w="1288" w:type="pct"/>
            <w:vAlign w:val="center"/>
          </w:tcPr>
          <w:p w14:paraId="41B47AED" w14:textId="351EEE41" w:rsidR="00CF4EE7" w:rsidRPr="00011185" w:rsidRDefault="00CF4EE7" w:rsidP="00CF4EE7">
            <w:pPr>
              <w:spacing w:after="0" w:line="240" w:lineRule="auto"/>
              <w:jc w:val="center"/>
              <w:rPr>
                <w:rFonts w:ascii="Calibri" w:eastAsia="Times New Roman" w:hAnsi="Calibri" w:cs="Times New Roman"/>
                <w:color w:val="000000"/>
                <w:lang w:val="en-GB" w:eastAsia="en-GB"/>
              </w:rPr>
            </w:pPr>
            <w:r w:rsidRPr="00011185">
              <w:rPr>
                <w:rFonts w:ascii="Calibri" w:eastAsia="Times New Roman" w:hAnsi="Calibri" w:cs="Times New Roman"/>
                <w:color w:val="000000"/>
                <w:lang w:val="en-GB" w:eastAsia="en-GB"/>
              </w:rPr>
              <w:t>10.</w:t>
            </w:r>
            <w:r>
              <w:rPr>
                <w:rFonts w:ascii="Calibri" w:eastAsia="Times New Roman" w:hAnsi="Calibri" w:cs="Times New Roman"/>
                <w:color w:val="000000"/>
                <w:lang w:val="en-GB" w:eastAsia="en-GB"/>
              </w:rPr>
              <w:t>876 (8</w:t>
            </w:r>
            <w:r w:rsidRPr="00011185">
              <w:rPr>
                <w:rFonts w:ascii="Calibri" w:eastAsia="Times New Roman" w:hAnsi="Calibri" w:cs="Times New Roman"/>
                <w:color w:val="000000"/>
                <w:lang w:val="en-GB" w:eastAsia="en-GB"/>
              </w:rPr>
              <w:t>.4</w:t>
            </w:r>
            <w:r>
              <w:rPr>
                <w:rFonts w:ascii="Calibri" w:eastAsia="Times New Roman" w:hAnsi="Calibri" w:cs="Times New Roman"/>
                <w:color w:val="000000"/>
                <w:lang w:val="en-GB" w:eastAsia="en-GB"/>
              </w:rPr>
              <w:t>39</w:t>
            </w:r>
            <w:r w:rsidRPr="00011185">
              <w:rPr>
                <w:rFonts w:ascii="Calibri" w:eastAsia="Times New Roman" w:hAnsi="Calibri" w:cs="Times New Roman"/>
                <w:color w:val="000000"/>
                <w:lang w:val="en-GB" w:eastAsia="en-GB"/>
              </w:rPr>
              <w:t xml:space="preserve"> - 1</w:t>
            </w:r>
            <w:r>
              <w:rPr>
                <w:rFonts w:ascii="Calibri" w:eastAsia="Times New Roman" w:hAnsi="Calibri" w:cs="Times New Roman"/>
                <w:color w:val="000000"/>
                <w:lang w:val="en-GB" w:eastAsia="en-GB"/>
              </w:rPr>
              <w:t>4</w:t>
            </w:r>
            <w:r w:rsidRPr="00011185">
              <w:rPr>
                <w:rFonts w:ascii="Calibri" w:eastAsia="Times New Roman" w:hAnsi="Calibri" w:cs="Times New Roman"/>
                <w:color w:val="000000"/>
                <w:lang w:val="en-GB" w:eastAsia="en-GB"/>
              </w:rPr>
              <w:t>.</w:t>
            </w:r>
            <w:r>
              <w:rPr>
                <w:rFonts w:ascii="Calibri" w:eastAsia="Times New Roman" w:hAnsi="Calibri" w:cs="Times New Roman"/>
                <w:color w:val="000000"/>
                <w:lang w:val="en-GB" w:eastAsia="en-GB"/>
              </w:rPr>
              <w:t>007)</w:t>
            </w:r>
          </w:p>
        </w:tc>
        <w:tc>
          <w:tcPr>
            <w:tcW w:w="1517" w:type="pct"/>
            <w:shd w:val="clear" w:color="auto" w:fill="auto"/>
            <w:noWrap/>
            <w:vAlign w:val="center"/>
            <w:hideMark/>
          </w:tcPr>
          <w:p w14:paraId="4D2915C8" w14:textId="36AA6369" w:rsidR="00CF4EE7" w:rsidRPr="00011185" w:rsidRDefault="00CF4EE7" w:rsidP="00CF4EE7">
            <w:pPr>
              <w:spacing w:after="0" w:line="240" w:lineRule="auto"/>
              <w:jc w:val="center"/>
              <w:rPr>
                <w:rFonts w:ascii="Calibri" w:eastAsia="Times New Roman" w:hAnsi="Calibri" w:cs="Times New Roman"/>
                <w:color w:val="000000"/>
                <w:lang w:val="en-GB" w:eastAsia="en-GB"/>
              </w:rPr>
            </w:pPr>
            <w:r w:rsidRPr="00011185">
              <w:rPr>
                <w:rFonts w:ascii="Calibri" w:eastAsia="Times New Roman" w:hAnsi="Calibri" w:cs="Times New Roman"/>
                <w:color w:val="000000"/>
                <w:lang w:val="en-GB" w:eastAsia="en-GB"/>
              </w:rPr>
              <w:t>12.070 (9.342 - 15.300)</w:t>
            </w:r>
          </w:p>
        </w:tc>
      </w:tr>
      <w:tr w:rsidR="00CF4EE7" w:rsidRPr="00011185" w14:paraId="26804202" w14:textId="77777777" w:rsidTr="004D4010">
        <w:trPr>
          <w:trHeight w:val="397"/>
        </w:trPr>
        <w:tc>
          <w:tcPr>
            <w:tcW w:w="861" w:type="pct"/>
            <w:shd w:val="clear" w:color="auto" w:fill="auto"/>
            <w:noWrap/>
            <w:vAlign w:val="center"/>
            <w:hideMark/>
          </w:tcPr>
          <w:p w14:paraId="6B76EB78" w14:textId="33748A00" w:rsidR="00CF4EE7" w:rsidRPr="00011185" w:rsidRDefault="00CF4EE7" w:rsidP="00CF4EE7">
            <w:pPr>
              <w:spacing w:after="0" w:line="240" w:lineRule="auto"/>
              <w:rPr>
                <w:rFonts w:ascii="Calibri" w:eastAsia="Times New Roman" w:hAnsi="Calibri" w:cs="Times New Roman"/>
                <w:color w:val="000000"/>
                <w:lang w:val="en-GB" w:eastAsia="en-GB"/>
              </w:rPr>
            </w:pPr>
            <w:r w:rsidRPr="00011185">
              <w:rPr>
                <w:rFonts w:ascii="Calibri" w:eastAsia="Times New Roman" w:hAnsi="Calibri" w:cs="Times New Roman"/>
                <w:color w:val="000000"/>
                <w:lang w:val="en-GB" w:eastAsia="en-GB"/>
              </w:rPr>
              <w:t>Jan-Dec, 2017</w:t>
            </w:r>
          </w:p>
        </w:tc>
        <w:tc>
          <w:tcPr>
            <w:tcW w:w="1334" w:type="pct"/>
            <w:shd w:val="clear" w:color="auto" w:fill="auto"/>
            <w:noWrap/>
            <w:vAlign w:val="center"/>
            <w:hideMark/>
          </w:tcPr>
          <w:p w14:paraId="4C343E8C" w14:textId="77777777" w:rsidR="00CF4EE7" w:rsidRPr="00011185" w:rsidRDefault="00CF4EE7" w:rsidP="00CF4EE7">
            <w:pPr>
              <w:spacing w:after="0" w:line="240" w:lineRule="auto"/>
              <w:jc w:val="center"/>
              <w:rPr>
                <w:rFonts w:ascii="Calibri" w:eastAsia="Times New Roman" w:hAnsi="Calibri" w:cs="Times New Roman"/>
                <w:color w:val="000000"/>
                <w:lang w:val="en-GB" w:eastAsia="en-GB"/>
              </w:rPr>
            </w:pPr>
            <w:r w:rsidRPr="00011185">
              <w:rPr>
                <w:rFonts w:ascii="Calibri" w:eastAsia="Times New Roman" w:hAnsi="Calibri" w:cs="Times New Roman"/>
                <w:color w:val="000000"/>
                <w:lang w:val="en-GB" w:eastAsia="en-GB"/>
              </w:rPr>
              <w:t>9.439</w:t>
            </w:r>
            <w:r>
              <w:rPr>
                <w:rFonts w:ascii="Calibri" w:eastAsia="Times New Roman" w:hAnsi="Calibri" w:cs="Times New Roman"/>
                <w:color w:val="000000"/>
                <w:lang w:val="en-GB" w:eastAsia="en-GB"/>
              </w:rPr>
              <w:t xml:space="preserve"> (</w:t>
            </w:r>
            <w:r w:rsidRPr="00011185">
              <w:rPr>
                <w:rFonts w:ascii="Calibri" w:eastAsia="Times New Roman" w:hAnsi="Calibri" w:cs="Times New Roman"/>
                <w:color w:val="000000"/>
                <w:lang w:val="en-GB" w:eastAsia="en-GB"/>
              </w:rPr>
              <w:t>9.210 - 9.927</w:t>
            </w:r>
            <w:r>
              <w:rPr>
                <w:rFonts w:ascii="Calibri" w:eastAsia="Times New Roman" w:hAnsi="Calibri" w:cs="Times New Roman"/>
                <w:color w:val="000000"/>
                <w:lang w:val="en-GB" w:eastAsia="en-GB"/>
              </w:rPr>
              <w:t>)</w:t>
            </w:r>
          </w:p>
        </w:tc>
        <w:tc>
          <w:tcPr>
            <w:tcW w:w="1288" w:type="pct"/>
            <w:vAlign w:val="center"/>
          </w:tcPr>
          <w:p w14:paraId="04679B16" w14:textId="461738AE" w:rsidR="00CF4EE7" w:rsidRPr="00011185" w:rsidRDefault="00CF4EE7" w:rsidP="00CF4EE7">
            <w:pPr>
              <w:spacing w:after="0" w:line="240" w:lineRule="auto"/>
              <w:jc w:val="center"/>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11</w:t>
            </w:r>
            <w:r w:rsidRPr="00011185">
              <w:rPr>
                <w:rFonts w:ascii="Calibri" w:eastAsia="Times New Roman" w:hAnsi="Calibri" w:cs="Times New Roman"/>
                <w:color w:val="000000"/>
                <w:lang w:val="en-GB" w:eastAsia="en-GB"/>
              </w:rPr>
              <w:t>.</w:t>
            </w:r>
            <w:r>
              <w:rPr>
                <w:rFonts w:ascii="Calibri" w:eastAsia="Times New Roman" w:hAnsi="Calibri" w:cs="Times New Roman"/>
                <w:color w:val="000000"/>
                <w:lang w:val="en-GB" w:eastAsia="en-GB"/>
              </w:rPr>
              <w:t>096 (8</w:t>
            </w:r>
            <w:r w:rsidRPr="00011185">
              <w:rPr>
                <w:rFonts w:ascii="Calibri" w:eastAsia="Times New Roman" w:hAnsi="Calibri" w:cs="Times New Roman"/>
                <w:color w:val="000000"/>
                <w:lang w:val="en-GB" w:eastAsia="en-GB"/>
              </w:rPr>
              <w:t>.</w:t>
            </w:r>
            <w:r>
              <w:rPr>
                <w:rFonts w:ascii="Calibri" w:eastAsia="Times New Roman" w:hAnsi="Calibri" w:cs="Times New Roman"/>
                <w:color w:val="000000"/>
                <w:lang w:val="en-GB" w:eastAsia="en-GB"/>
              </w:rPr>
              <w:t>613</w:t>
            </w:r>
            <w:r w:rsidRPr="00011185">
              <w:rPr>
                <w:rFonts w:ascii="Calibri" w:eastAsia="Times New Roman" w:hAnsi="Calibri" w:cs="Times New Roman"/>
                <w:color w:val="000000"/>
                <w:lang w:val="en-GB" w:eastAsia="en-GB"/>
              </w:rPr>
              <w:t xml:space="preserve"> - </w:t>
            </w:r>
            <w:r>
              <w:rPr>
                <w:rFonts w:ascii="Calibri" w:eastAsia="Times New Roman" w:hAnsi="Calibri" w:cs="Times New Roman"/>
                <w:color w:val="000000"/>
                <w:lang w:val="en-GB" w:eastAsia="en-GB"/>
              </w:rPr>
              <w:t>14</w:t>
            </w:r>
            <w:r w:rsidRPr="00011185">
              <w:rPr>
                <w:rFonts w:ascii="Calibri" w:eastAsia="Times New Roman" w:hAnsi="Calibri" w:cs="Times New Roman"/>
                <w:color w:val="000000"/>
                <w:lang w:val="en-GB" w:eastAsia="en-GB"/>
              </w:rPr>
              <w:t>.</w:t>
            </w:r>
            <w:r>
              <w:rPr>
                <w:rFonts w:ascii="Calibri" w:eastAsia="Times New Roman" w:hAnsi="Calibri" w:cs="Times New Roman"/>
                <w:color w:val="000000"/>
                <w:lang w:val="en-GB" w:eastAsia="en-GB"/>
              </w:rPr>
              <w:t>286)</w:t>
            </w:r>
          </w:p>
        </w:tc>
        <w:tc>
          <w:tcPr>
            <w:tcW w:w="1517" w:type="pct"/>
            <w:shd w:val="clear" w:color="auto" w:fill="auto"/>
            <w:noWrap/>
            <w:vAlign w:val="center"/>
            <w:hideMark/>
          </w:tcPr>
          <w:p w14:paraId="0B5066B1" w14:textId="43DCB063" w:rsidR="00CF4EE7" w:rsidRPr="00011185" w:rsidRDefault="00CF4EE7" w:rsidP="00CF4EE7">
            <w:pPr>
              <w:spacing w:after="0" w:line="240" w:lineRule="auto"/>
              <w:jc w:val="center"/>
              <w:rPr>
                <w:rFonts w:ascii="Calibri" w:eastAsia="Times New Roman" w:hAnsi="Calibri" w:cs="Times New Roman"/>
                <w:color w:val="000000"/>
                <w:lang w:val="en-GB" w:eastAsia="en-GB"/>
              </w:rPr>
            </w:pPr>
            <w:r w:rsidRPr="00011185">
              <w:rPr>
                <w:rFonts w:ascii="Calibri" w:eastAsia="Times New Roman" w:hAnsi="Calibri" w:cs="Times New Roman"/>
                <w:color w:val="000000"/>
                <w:lang w:val="en-GB" w:eastAsia="en-GB"/>
              </w:rPr>
              <w:t>13.863 (10.840 - 17.470)</w:t>
            </w:r>
          </w:p>
        </w:tc>
      </w:tr>
      <w:tr w:rsidR="00CF4EE7" w:rsidRPr="00011185" w14:paraId="31EF31C0" w14:textId="77777777" w:rsidTr="004D4010">
        <w:trPr>
          <w:trHeight w:val="397"/>
        </w:trPr>
        <w:tc>
          <w:tcPr>
            <w:tcW w:w="861" w:type="pct"/>
            <w:shd w:val="clear" w:color="auto" w:fill="auto"/>
            <w:noWrap/>
            <w:vAlign w:val="center"/>
            <w:hideMark/>
          </w:tcPr>
          <w:p w14:paraId="217118ED" w14:textId="68378805" w:rsidR="00CF4EE7" w:rsidRPr="00011185" w:rsidRDefault="00CF4EE7" w:rsidP="00CF4EE7">
            <w:pPr>
              <w:spacing w:after="0" w:line="240" w:lineRule="auto"/>
              <w:rPr>
                <w:rFonts w:ascii="Calibri" w:eastAsia="Times New Roman" w:hAnsi="Calibri" w:cs="Times New Roman"/>
                <w:color w:val="000000"/>
                <w:lang w:val="en-GB" w:eastAsia="en-GB"/>
              </w:rPr>
            </w:pPr>
            <w:r w:rsidRPr="00011185">
              <w:rPr>
                <w:rFonts w:ascii="Calibri" w:eastAsia="Times New Roman" w:hAnsi="Calibri" w:cs="Times New Roman"/>
                <w:color w:val="000000"/>
                <w:lang w:val="en-GB" w:eastAsia="en-GB"/>
              </w:rPr>
              <w:t>Jan-Dec, 2018</w:t>
            </w:r>
          </w:p>
        </w:tc>
        <w:tc>
          <w:tcPr>
            <w:tcW w:w="1334" w:type="pct"/>
            <w:shd w:val="clear" w:color="auto" w:fill="auto"/>
            <w:noWrap/>
            <w:vAlign w:val="center"/>
            <w:hideMark/>
          </w:tcPr>
          <w:p w14:paraId="0AD5F98B" w14:textId="77777777" w:rsidR="00CF4EE7" w:rsidRPr="00011185" w:rsidRDefault="00CF4EE7" w:rsidP="00CF4EE7">
            <w:pPr>
              <w:spacing w:after="0" w:line="240" w:lineRule="auto"/>
              <w:jc w:val="center"/>
              <w:rPr>
                <w:rFonts w:ascii="Calibri" w:eastAsia="Times New Roman" w:hAnsi="Calibri" w:cs="Times New Roman"/>
                <w:color w:val="000000"/>
                <w:lang w:val="en-GB" w:eastAsia="en-GB"/>
              </w:rPr>
            </w:pPr>
            <w:r w:rsidRPr="00011185">
              <w:rPr>
                <w:rFonts w:ascii="Calibri" w:eastAsia="Times New Roman" w:hAnsi="Calibri" w:cs="Times New Roman"/>
                <w:color w:val="000000"/>
                <w:lang w:val="en-GB" w:eastAsia="en-GB"/>
              </w:rPr>
              <w:t>6.527</w:t>
            </w:r>
            <w:r>
              <w:rPr>
                <w:rFonts w:ascii="Calibri" w:eastAsia="Times New Roman" w:hAnsi="Calibri" w:cs="Times New Roman"/>
                <w:color w:val="000000"/>
                <w:lang w:val="en-GB" w:eastAsia="en-GB"/>
              </w:rPr>
              <w:t xml:space="preserve"> (</w:t>
            </w:r>
            <w:r w:rsidRPr="00011185">
              <w:rPr>
                <w:rFonts w:ascii="Calibri" w:eastAsia="Times New Roman" w:hAnsi="Calibri" w:cs="Times New Roman"/>
                <w:color w:val="000000"/>
                <w:lang w:val="en-GB" w:eastAsia="en-GB"/>
              </w:rPr>
              <w:t>6.368 - 6.865</w:t>
            </w:r>
            <w:r>
              <w:rPr>
                <w:rFonts w:ascii="Calibri" w:eastAsia="Times New Roman" w:hAnsi="Calibri" w:cs="Times New Roman"/>
                <w:color w:val="000000"/>
                <w:lang w:val="en-GB" w:eastAsia="en-GB"/>
              </w:rPr>
              <w:t>)</w:t>
            </w:r>
          </w:p>
        </w:tc>
        <w:tc>
          <w:tcPr>
            <w:tcW w:w="1288" w:type="pct"/>
          </w:tcPr>
          <w:p w14:paraId="698A0C81" w14:textId="345B50BD" w:rsidR="00CF4EE7" w:rsidRPr="00011185" w:rsidRDefault="00CF4EE7" w:rsidP="00CF4EE7">
            <w:pPr>
              <w:spacing w:after="0" w:line="240" w:lineRule="auto"/>
              <w:jc w:val="center"/>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N/A</w:t>
            </w:r>
          </w:p>
        </w:tc>
        <w:tc>
          <w:tcPr>
            <w:tcW w:w="1517" w:type="pct"/>
            <w:shd w:val="clear" w:color="auto" w:fill="auto"/>
            <w:noWrap/>
            <w:vAlign w:val="center"/>
            <w:hideMark/>
          </w:tcPr>
          <w:p w14:paraId="4DD2FAE0" w14:textId="15B55BA9" w:rsidR="00CF4EE7" w:rsidRPr="00011185" w:rsidRDefault="00CF4EE7" w:rsidP="00CF4EE7">
            <w:pPr>
              <w:spacing w:after="0" w:line="240" w:lineRule="auto"/>
              <w:jc w:val="center"/>
              <w:rPr>
                <w:rFonts w:ascii="Calibri" w:eastAsia="Times New Roman" w:hAnsi="Calibri" w:cs="Times New Roman"/>
                <w:color w:val="000000"/>
                <w:lang w:val="en-GB" w:eastAsia="en-GB"/>
              </w:rPr>
            </w:pPr>
            <w:r w:rsidRPr="00011185">
              <w:rPr>
                <w:rFonts w:ascii="Calibri" w:eastAsia="Times New Roman" w:hAnsi="Calibri" w:cs="Times New Roman"/>
                <w:color w:val="000000"/>
                <w:lang w:val="en-GB" w:eastAsia="en-GB"/>
              </w:rPr>
              <w:t>12.357 (7.623 - 18.970)</w:t>
            </w:r>
          </w:p>
        </w:tc>
      </w:tr>
      <w:tr w:rsidR="00CF4EE7" w:rsidRPr="00011185" w14:paraId="1A85B226" w14:textId="77777777" w:rsidTr="004D4010">
        <w:trPr>
          <w:trHeight w:val="397"/>
        </w:trPr>
        <w:tc>
          <w:tcPr>
            <w:tcW w:w="861" w:type="pct"/>
            <w:shd w:val="clear" w:color="auto" w:fill="auto"/>
            <w:noWrap/>
            <w:vAlign w:val="center"/>
            <w:hideMark/>
          </w:tcPr>
          <w:p w14:paraId="40546C71" w14:textId="6AE0208D" w:rsidR="00CF4EE7" w:rsidRPr="00011185" w:rsidRDefault="00CF4EE7" w:rsidP="00CF4EE7">
            <w:pPr>
              <w:spacing w:after="0" w:line="240" w:lineRule="auto"/>
              <w:rPr>
                <w:rFonts w:ascii="Calibri" w:eastAsia="Times New Roman" w:hAnsi="Calibri" w:cs="Times New Roman"/>
                <w:color w:val="000000"/>
                <w:lang w:val="en-GB" w:eastAsia="en-GB"/>
              </w:rPr>
            </w:pPr>
            <w:r w:rsidRPr="00011185">
              <w:rPr>
                <w:rFonts w:ascii="Calibri" w:eastAsia="Times New Roman" w:hAnsi="Calibri" w:cs="Times New Roman"/>
                <w:color w:val="000000"/>
                <w:lang w:val="en-GB" w:eastAsia="en-GB"/>
              </w:rPr>
              <w:t>Jan-Sep, 2019</w:t>
            </w:r>
          </w:p>
        </w:tc>
        <w:tc>
          <w:tcPr>
            <w:tcW w:w="1334" w:type="pct"/>
            <w:shd w:val="clear" w:color="auto" w:fill="auto"/>
            <w:noWrap/>
            <w:vAlign w:val="center"/>
            <w:hideMark/>
          </w:tcPr>
          <w:p w14:paraId="01D0EECA" w14:textId="77777777" w:rsidR="00CF4EE7" w:rsidRPr="00011185" w:rsidRDefault="00CF4EE7" w:rsidP="00CF4EE7">
            <w:pPr>
              <w:spacing w:after="0" w:line="240" w:lineRule="auto"/>
              <w:jc w:val="center"/>
              <w:rPr>
                <w:rFonts w:ascii="Calibri" w:eastAsia="Times New Roman" w:hAnsi="Calibri" w:cs="Times New Roman"/>
                <w:color w:val="000000"/>
                <w:lang w:val="en-GB" w:eastAsia="en-GB"/>
              </w:rPr>
            </w:pPr>
            <w:r w:rsidRPr="00011185">
              <w:rPr>
                <w:rFonts w:ascii="Calibri" w:eastAsia="Times New Roman" w:hAnsi="Calibri" w:cs="Times New Roman"/>
                <w:color w:val="000000"/>
                <w:lang w:val="en-GB" w:eastAsia="en-GB"/>
              </w:rPr>
              <w:t>7.951</w:t>
            </w:r>
            <w:r>
              <w:rPr>
                <w:rFonts w:ascii="Calibri" w:eastAsia="Times New Roman" w:hAnsi="Calibri" w:cs="Times New Roman"/>
                <w:color w:val="000000"/>
                <w:lang w:val="en-GB" w:eastAsia="en-GB"/>
              </w:rPr>
              <w:t xml:space="preserve"> (</w:t>
            </w:r>
            <w:r w:rsidRPr="00011185">
              <w:rPr>
                <w:rFonts w:ascii="Calibri" w:eastAsia="Times New Roman" w:hAnsi="Calibri" w:cs="Times New Roman"/>
                <w:color w:val="000000"/>
                <w:lang w:val="en-GB" w:eastAsia="en-GB"/>
              </w:rPr>
              <w:t>7.760 - 8.362</w:t>
            </w:r>
            <w:r>
              <w:rPr>
                <w:rFonts w:ascii="Calibri" w:eastAsia="Times New Roman" w:hAnsi="Calibri" w:cs="Times New Roman"/>
                <w:color w:val="000000"/>
                <w:lang w:val="en-GB" w:eastAsia="en-GB"/>
              </w:rPr>
              <w:t>)</w:t>
            </w:r>
          </w:p>
        </w:tc>
        <w:tc>
          <w:tcPr>
            <w:tcW w:w="1288" w:type="pct"/>
          </w:tcPr>
          <w:p w14:paraId="7964A7A1" w14:textId="2E354125" w:rsidR="00CF4EE7" w:rsidRPr="00011185" w:rsidRDefault="00CF4EE7" w:rsidP="00CF4EE7">
            <w:pPr>
              <w:spacing w:after="0" w:line="240" w:lineRule="auto"/>
              <w:jc w:val="center"/>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N/A</w:t>
            </w:r>
          </w:p>
        </w:tc>
        <w:tc>
          <w:tcPr>
            <w:tcW w:w="1517" w:type="pct"/>
            <w:shd w:val="clear" w:color="auto" w:fill="auto"/>
            <w:noWrap/>
            <w:vAlign w:val="center"/>
            <w:hideMark/>
          </w:tcPr>
          <w:p w14:paraId="476576A7" w14:textId="700E8DD9" w:rsidR="00CF4EE7" w:rsidRPr="00011185" w:rsidRDefault="00CF4EE7" w:rsidP="00CF4EE7">
            <w:pPr>
              <w:spacing w:after="0" w:line="240" w:lineRule="auto"/>
              <w:jc w:val="center"/>
              <w:rPr>
                <w:rFonts w:ascii="Calibri" w:eastAsia="Times New Roman" w:hAnsi="Calibri" w:cs="Times New Roman"/>
                <w:color w:val="000000"/>
                <w:lang w:val="en-GB" w:eastAsia="en-GB"/>
              </w:rPr>
            </w:pPr>
            <w:r w:rsidRPr="00011185">
              <w:rPr>
                <w:rFonts w:ascii="Calibri" w:eastAsia="Times New Roman" w:hAnsi="Calibri" w:cs="Times New Roman"/>
                <w:color w:val="000000"/>
                <w:lang w:val="en-GB" w:eastAsia="en-GB"/>
              </w:rPr>
              <w:t>N/A</w:t>
            </w:r>
          </w:p>
        </w:tc>
      </w:tr>
    </w:tbl>
    <w:p w14:paraId="0D78A38A" w14:textId="52CF8D72" w:rsidR="00061900" w:rsidRDefault="00061900" w:rsidP="00061900">
      <w:pPr>
        <w:spacing w:after="120" w:line="240" w:lineRule="auto"/>
        <w:rPr>
          <w:i/>
          <w:iCs/>
        </w:rPr>
      </w:pPr>
      <w:r w:rsidRPr="00061900">
        <w:rPr>
          <w:i/>
          <w:iCs/>
        </w:rPr>
        <w:t>CI – Credible interval</w:t>
      </w:r>
    </w:p>
    <w:p w14:paraId="5CB8B6D3" w14:textId="3884F043" w:rsidR="00061900" w:rsidRDefault="00061900" w:rsidP="00061900">
      <w:pPr>
        <w:spacing w:after="120" w:line="240" w:lineRule="auto"/>
        <w:rPr>
          <w:i/>
          <w:iCs/>
        </w:rPr>
      </w:pPr>
      <w:r>
        <w:rPr>
          <w:i/>
          <w:iCs/>
        </w:rPr>
        <w:t>Conf. I – Confidence interval</w:t>
      </w:r>
    </w:p>
    <w:p w14:paraId="16101F3E" w14:textId="06C0639B" w:rsidR="00FD16CC" w:rsidRDefault="00FD16CC" w:rsidP="00364E39">
      <w:pPr>
        <w:pStyle w:val="Caption"/>
        <w:keepNext/>
        <w:spacing w:before="240" w:line="360" w:lineRule="auto"/>
        <w:rPr>
          <w:i w:val="0"/>
          <w:iCs w:val="0"/>
          <w:color w:val="auto"/>
          <w:sz w:val="22"/>
          <w:szCs w:val="22"/>
        </w:rPr>
      </w:pPr>
      <w:r>
        <w:rPr>
          <w:i w:val="0"/>
          <w:iCs w:val="0"/>
          <w:color w:val="auto"/>
          <w:sz w:val="22"/>
          <w:szCs w:val="22"/>
        </w:rPr>
        <w:t xml:space="preserve">Given that estimates from this study included only the health facilities that were geo-located across the country, we argue that this may explain the lower estimates of confirmed malaria cases per year from this study compared to WHO reported estimates as seen in Table </w:t>
      </w:r>
      <w:r w:rsidR="001A34F0">
        <w:rPr>
          <w:i w:val="0"/>
          <w:iCs w:val="0"/>
          <w:color w:val="auto"/>
          <w:sz w:val="22"/>
          <w:szCs w:val="22"/>
        </w:rPr>
        <w:t>S</w:t>
      </w:r>
      <w:r w:rsidR="006A2D8B">
        <w:rPr>
          <w:i w:val="0"/>
          <w:iCs w:val="0"/>
          <w:color w:val="auto"/>
          <w:sz w:val="22"/>
          <w:szCs w:val="22"/>
        </w:rPr>
        <w:t>4</w:t>
      </w:r>
      <w:r>
        <w:rPr>
          <w:i w:val="0"/>
          <w:iCs w:val="0"/>
          <w:color w:val="auto"/>
          <w:sz w:val="22"/>
          <w:szCs w:val="22"/>
        </w:rPr>
        <w:t xml:space="preserve">. Notably however, the trend observed from this study with total annual confirmed cases reducing between 2016 and 2018 is not observable from WHO reported estimates </w:t>
      </w:r>
      <w:r>
        <w:rPr>
          <w:i w:val="0"/>
          <w:iCs w:val="0"/>
          <w:color w:val="auto"/>
          <w:sz w:val="22"/>
          <w:szCs w:val="22"/>
        </w:rPr>
        <w:fldChar w:fldCharType="begin"/>
      </w:r>
      <w:r w:rsidR="00830725">
        <w:rPr>
          <w:i w:val="0"/>
          <w:iCs w:val="0"/>
          <w:color w:val="auto"/>
          <w:sz w:val="22"/>
          <w:szCs w:val="22"/>
        </w:rPr>
        <w:instrText xml:space="preserve"> ADDIN EN.CITE &lt;EndNote&gt;&lt;Cite&gt;&lt;Author&gt;WHO&lt;/Author&gt;&lt;Year&gt;2019&lt;/Year&gt;&lt;RecNum&gt;1580&lt;/RecNum&gt;&lt;DisplayText&gt;[6]&lt;/DisplayText&gt;&lt;record&gt;&lt;rec-number&gt;1580&lt;/rec-number&gt;&lt;foreign-keys&gt;&lt;key app="EN" db-id="p0rz5wvzrvd50qex2snvaft1et2zsewp95td" timestamp="1575489457"&gt;1580&lt;/key&gt;&lt;/foreign-keys&gt;&lt;ref-type name="Report"&gt;27&lt;/ref-type&gt;&lt;contributors&gt;&lt;authors&gt;&lt;author&gt;WHO&lt;/author&gt;&lt;/authors&gt;&lt;tertiary-authors&gt;&lt;author&gt;World Health Organization&lt;/author&gt;&lt;/tertiary-authors&gt;&lt;/contributors&gt;&lt;auth-address&gt;Geneva, Switzerland&lt;/auth-address&gt;&lt;titles&gt;&lt;title&gt;World Malaria Report 2019 &lt;/title&gt;&lt;/titles&gt;&lt;dates&gt;&lt;year&gt;2019&lt;/year&gt;&lt;pub-dates&gt;&lt;date&gt;2019&lt;/date&gt;&lt;/pub-dates&gt;&lt;/dates&gt;&lt;pub-location&gt;Geneva, Switzerland&lt;/pub-location&gt;&lt;publisher&gt;World Health Organization&lt;/publisher&gt;&lt;urls&gt;&lt;related-urls&gt;&lt;url&gt;https://www.who.int/publications-detail/world-malaria-report-2019&lt;/url&gt;&lt;/related-urls&gt;&lt;/urls&gt;&lt;access-date&gt;04/12/2019&lt;/access-date&gt;&lt;/record&gt;&lt;/Cite&gt;&lt;/EndNote&gt;</w:instrText>
      </w:r>
      <w:r>
        <w:rPr>
          <w:i w:val="0"/>
          <w:iCs w:val="0"/>
          <w:color w:val="auto"/>
          <w:sz w:val="22"/>
          <w:szCs w:val="22"/>
        </w:rPr>
        <w:fldChar w:fldCharType="separate"/>
      </w:r>
      <w:r w:rsidR="00830725">
        <w:rPr>
          <w:i w:val="0"/>
          <w:iCs w:val="0"/>
          <w:noProof/>
          <w:color w:val="auto"/>
          <w:sz w:val="22"/>
          <w:szCs w:val="22"/>
        </w:rPr>
        <w:t>[6]</w:t>
      </w:r>
      <w:r>
        <w:rPr>
          <w:i w:val="0"/>
          <w:iCs w:val="0"/>
          <w:color w:val="auto"/>
          <w:sz w:val="22"/>
          <w:szCs w:val="22"/>
        </w:rPr>
        <w:fldChar w:fldCharType="end"/>
      </w:r>
      <w:r w:rsidR="00CF4EE7">
        <w:rPr>
          <w:i w:val="0"/>
          <w:iCs w:val="0"/>
          <w:color w:val="auto"/>
          <w:sz w:val="22"/>
          <w:szCs w:val="22"/>
        </w:rPr>
        <w:t xml:space="preserve"> or with Malaria Atlas project estimates</w:t>
      </w:r>
      <w:r>
        <w:rPr>
          <w:i w:val="0"/>
          <w:iCs w:val="0"/>
          <w:color w:val="auto"/>
          <w:sz w:val="22"/>
          <w:szCs w:val="22"/>
        </w:rPr>
        <w:t>. From this study, 2016 registered the highest total confirmed number of cases and 2018 the lowest of the three years, while the global reports indicated 2017 as the highest with 2016 the lowest of the three years. This may be attributable to differences in the approaches used for the estimates reported between these sources.</w:t>
      </w:r>
    </w:p>
    <w:p w14:paraId="4C6FFA68" w14:textId="00625AFF" w:rsidR="00B16486" w:rsidRPr="00B16486" w:rsidRDefault="00B16486" w:rsidP="00061900">
      <w:pPr>
        <w:spacing w:line="360" w:lineRule="auto"/>
      </w:pPr>
      <w:r w:rsidRPr="00B16486">
        <w:rPr>
          <w:b/>
          <w:bCs/>
        </w:rPr>
        <w:t xml:space="preserve">National monthly incidence rates: </w:t>
      </w:r>
      <w:r>
        <w:t xml:space="preserve">Examining monthly estimates of national </w:t>
      </w:r>
      <w:r w:rsidR="00061900">
        <w:t xml:space="preserve">mean </w:t>
      </w:r>
      <w:r>
        <w:t>incidence rates, results showed that across the 51 months, June-July experienced the highest incidence rates</w:t>
      </w:r>
      <w:r w:rsidR="00061900">
        <w:t xml:space="preserve"> for all the </w:t>
      </w:r>
      <w:r w:rsidR="00061900">
        <w:lastRenderedPageBreak/>
        <w:t>years,</w:t>
      </w:r>
      <w:r>
        <w:t xml:space="preserve"> while the lowest estimates were observed variably but mostly during February-March as shown in Table </w:t>
      </w:r>
      <w:r w:rsidR="00F31C76">
        <w:t>S</w:t>
      </w:r>
      <w:r w:rsidR="006A2D8B">
        <w:t>5</w:t>
      </w:r>
      <w:r>
        <w:t>.</w:t>
      </w:r>
      <w:r w:rsidR="00061900">
        <w:t xml:space="preserve"> For 2015 where only 7 months were included in this study starting from July, however, the lowest estimate was observed during </w:t>
      </w:r>
      <w:r w:rsidR="00F31C76">
        <w:t>October.</w:t>
      </w:r>
    </w:p>
    <w:p w14:paraId="6408487D" w14:textId="3B29B2D7" w:rsidR="00B16486" w:rsidRPr="00E23D1C" w:rsidRDefault="00B16486" w:rsidP="00B16486">
      <w:pPr>
        <w:pStyle w:val="Caption"/>
        <w:keepNext/>
        <w:rPr>
          <w:b/>
          <w:bCs/>
          <w:i w:val="0"/>
          <w:iCs w:val="0"/>
          <w:color w:val="auto"/>
          <w:sz w:val="22"/>
          <w:szCs w:val="22"/>
        </w:rPr>
      </w:pPr>
      <w:r w:rsidRPr="00E23D1C">
        <w:rPr>
          <w:b/>
          <w:bCs/>
          <w:i w:val="0"/>
          <w:iCs w:val="0"/>
          <w:color w:val="auto"/>
          <w:sz w:val="22"/>
          <w:szCs w:val="22"/>
        </w:rPr>
        <w:t xml:space="preserve">Table </w:t>
      </w:r>
      <w:r w:rsidR="00962132">
        <w:rPr>
          <w:b/>
          <w:bCs/>
          <w:i w:val="0"/>
          <w:iCs w:val="0"/>
          <w:color w:val="auto"/>
          <w:sz w:val="22"/>
          <w:szCs w:val="22"/>
        </w:rPr>
        <w:t>S</w:t>
      </w:r>
      <w:r w:rsidRPr="00E23D1C">
        <w:rPr>
          <w:b/>
          <w:bCs/>
          <w:i w:val="0"/>
          <w:iCs w:val="0"/>
          <w:color w:val="auto"/>
          <w:sz w:val="22"/>
          <w:szCs w:val="22"/>
        </w:rPr>
        <w:fldChar w:fldCharType="begin"/>
      </w:r>
      <w:r w:rsidRPr="00E23D1C">
        <w:rPr>
          <w:b/>
          <w:bCs/>
          <w:i w:val="0"/>
          <w:iCs w:val="0"/>
          <w:color w:val="auto"/>
          <w:sz w:val="22"/>
          <w:szCs w:val="22"/>
        </w:rPr>
        <w:instrText xml:space="preserve"> SEQ Table \* ARABIC </w:instrText>
      </w:r>
      <w:r w:rsidRPr="00E23D1C">
        <w:rPr>
          <w:b/>
          <w:bCs/>
          <w:i w:val="0"/>
          <w:iCs w:val="0"/>
          <w:color w:val="auto"/>
          <w:sz w:val="22"/>
          <w:szCs w:val="22"/>
        </w:rPr>
        <w:fldChar w:fldCharType="separate"/>
      </w:r>
      <w:r w:rsidR="00CE5C15">
        <w:rPr>
          <w:b/>
          <w:bCs/>
          <w:i w:val="0"/>
          <w:iCs w:val="0"/>
          <w:noProof/>
          <w:color w:val="auto"/>
          <w:sz w:val="22"/>
          <w:szCs w:val="22"/>
        </w:rPr>
        <w:t>5</w:t>
      </w:r>
      <w:r w:rsidRPr="00E23D1C">
        <w:rPr>
          <w:b/>
          <w:bCs/>
          <w:i w:val="0"/>
          <w:iCs w:val="0"/>
          <w:color w:val="auto"/>
          <w:sz w:val="22"/>
          <w:szCs w:val="22"/>
        </w:rPr>
        <w:fldChar w:fldCharType="end"/>
      </w:r>
      <w:r w:rsidRPr="00E23D1C">
        <w:rPr>
          <w:b/>
          <w:bCs/>
          <w:i w:val="0"/>
          <w:iCs w:val="0"/>
          <w:color w:val="auto"/>
          <w:sz w:val="22"/>
          <w:szCs w:val="22"/>
        </w:rPr>
        <w:t xml:space="preserve">. </w:t>
      </w:r>
      <w:r>
        <w:rPr>
          <w:b/>
          <w:bCs/>
          <w:i w:val="0"/>
          <w:iCs w:val="0"/>
          <w:color w:val="auto"/>
          <w:sz w:val="22"/>
          <w:szCs w:val="22"/>
        </w:rPr>
        <w:t>National</w:t>
      </w:r>
      <w:r w:rsidR="00F245DA">
        <w:rPr>
          <w:b/>
          <w:bCs/>
          <w:i w:val="0"/>
          <w:iCs w:val="0"/>
          <w:color w:val="auto"/>
          <w:sz w:val="22"/>
          <w:szCs w:val="22"/>
        </w:rPr>
        <w:t>, regional and health facility catchment</w:t>
      </w:r>
      <w:r>
        <w:rPr>
          <w:b/>
          <w:bCs/>
          <w:i w:val="0"/>
          <w:iCs w:val="0"/>
          <w:color w:val="auto"/>
          <w:sz w:val="22"/>
          <w:szCs w:val="22"/>
        </w:rPr>
        <w:t xml:space="preserve"> h</w:t>
      </w:r>
      <w:r w:rsidRPr="00E23D1C">
        <w:rPr>
          <w:b/>
          <w:bCs/>
          <w:i w:val="0"/>
          <w:iCs w:val="0"/>
          <w:color w:val="auto"/>
          <w:sz w:val="22"/>
          <w:szCs w:val="22"/>
        </w:rPr>
        <w:t xml:space="preserve">ighest and lowest </w:t>
      </w:r>
      <w:r>
        <w:rPr>
          <w:b/>
          <w:bCs/>
          <w:i w:val="0"/>
          <w:iCs w:val="0"/>
          <w:color w:val="auto"/>
          <w:sz w:val="22"/>
          <w:szCs w:val="22"/>
        </w:rPr>
        <w:t xml:space="preserve">estimated </w:t>
      </w:r>
      <w:r w:rsidRPr="00E23D1C">
        <w:rPr>
          <w:b/>
          <w:bCs/>
          <w:i w:val="0"/>
          <w:iCs w:val="0"/>
          <w:color w:val="auto"/>
          <w:sz w:val="22"/>
          <w:szCs w:val="22"/>
        </w:rPr>
        <w:t xml:space="preserve">monthly incidence rates </w:t>
      </w:r>
      <w:r>
        <w:rPr>
          <w:b/>
          <w:bCs/>
          <w:i w:val="0"/>
          <w:iCs w:val="0"/>
          <w:color w:val="auto"/>
          <w:sz w:val="22"/>
          <w:szCs w:val="22"/>
        </w:rPr>
        <w:t>per study calendar year</w:t>
      </w:r>
      <w:r w:rsidRPr="00E23D1C">
        <w:rPr>
          <w:b/>
          <w:bCs/>
          <w:i w:val="0"/>
          <w:iCs w:val="0"/>
          <w:color w:val="auto"/>
          <w:sz w:val="22"/>
          <w:szCs w:val="22"/>
        </w:rPr>
        <w:t xml:space="preserve"> in Uganda</w:t>
      </w:r>
    </w:p>
    <w:tbl>
      <w:tblPr>
        <w:tblW w:w="5000" w:type="pct"/>
        <w:tblBorders>
          <w:top w:val="single" w:sz="18" w:space="0" w:color="auto"/>
          <w:bottom w:val="single" w:sz="18" w:space="0" w:color="auto"/>
        </w:tblBorders>
        <w:tblLook w:val="04A0" w:firstRow="1" w:lastRow="0" w:firstColumn="1" w:lastColumn="0" w:noHBand="0" w:noVBand="1"/>
      </w:tblPr>
      <w:tblGrid>
        <w:gridCol w:w="2010"/>
        <w:gridCol w:w="1118"/>
        <w:gridCol w:w="2383"/>
        <w:gridCol w:w="1464"/>
        <w:gridCol w:w="2385"/>
      </w:tblGrid>
      <w:tr w:rsidR="00B16486" w:rsidRPr="00E23D1C" w14:paraId="619432BC" w14:textId="77777777" w:rsidTr="00F97E87">
        <w:trPr>
          <w:trHeight w:val="482"/>
        </w:trPr>
        <w:tc>
          <w:tcPr>
            <w:tcW w:w="1074" w:type="pct"/>
            <w:vMerge w:val="restart"/>
            <w:tcBorders>
              <w:top w:val="single" w:sz="18" w:space="0" w:color="auto"/>
              <w:bottom w:val="nil"/>
            </w:tcBorders>
            <w:shd w:val="clear" w:color="auto" w:fill="auto"/>
            <w:noWrap/>
            <w:vAlign w:val="center"/>
            <w:hideMark/>
          </w:tcPr>
          <w:p w14:paraId="2CD1C4F8" w14:textId="77777777" w:rsidR="00B16486" w:rsidRPr="00E23D1C" w:rsidRDefault="00B16486" w:rsidP="00F97E87">
            <w:pPr>
              <w:spacing w:after="0" w:line="240" w:lineRule="auto"/>
              <w:jc w:val="center"/>
              <w:rPr>
                <w:rFonts w:ascii="Calibri" w:eastAsia="Times New Roman" w:hAnsi="Calibri" w:cs="Times New Roman"/>
                <w:b/>
                <w:bCs/>
                <w:color w:val="000000"/>
                <w:lang w:val="en-GB" w:eastAsia="en-GB"/>
              </w:rPr>
            </w:pPr>
            <w:r w:rsidRPr="00E23D1C">
              <w:rPr>
                <w:rFonts w:ascii="Calibri" w:eastAsia="Times New Roman" w:hAnsi="Calibri" w:cs="Times New Roman"/>
                <w:b/>
                <w:bCs/>
                <w:color w:val="000000"/>
                <w:lang w:val="en-GB" w:eastAsia="en-GB"/>
              </w:rPr>
              <w:t>Annual duration</w:t>
            </w:r>
          </w:p>
        </w:tc>
        <w:tc>
          <w:tcPr>
            <w:tcW w:w="1870" w:type="pct"/>
            <w:gridSpan w:val="2"/>
            <w:tcBorders>
              <w:top w:val="single" w:sz="18" w:space="0" w:color="auto"/>
              <w:bottom w:val="single" w:sz="4" w:space="0" w:color="auto"/>
            </w:tcBorders>
            <w:shd w:val="clear" w:color="auto" w:fill="auto"/>
            <w:vAlign w:val="center"/>
            <w:hideMark/>
          </w:tcPr>
          <w:p w14:paraId="067E249B" w14:textId="77777777" w:rsidR="00B16486" w:rsidRPr="00E23D1C" w:rsidRDefault="00B16486" w:rsidP="00F97E87">
            <w:pPr>
              <w:spacing w:after="0" w:line="240" w:lineRule="auto"/>
              <w:jc w:val="center"/>
              <w:rPr>
                <w:rFonts w:ascii="Calibri" w:eastAsia="Times New Roman" w:hAnsi="Calibri" w:cs="Times New Roman"/>
                <w:b/>
                <w:bCs/>
                <w:color w:val="000000"/>
                <w:lang w:val="en-GB" w:eastAsia="en-GB"/>
              </w:rPr>
            </w:pPr>
            <w:r w:rsidRPr="00E23D1C">
              <w:rPr>
                <w:rFonts w:ascii="Calibri" w:eastAsia="Times New Roman" w:hAnsi="Calibri" w:cs="Times New Roman"/>
                <w:b/>
                <w:bCs/>
                <w:color w:val="000000"/>
                <w:lang w:val="en-GB" w:eastAsia="en-GB"/>
              </w:rPr>
              <w:t>Peak monthly incidence rates</w:t>
            </w:r>
          </w:p>
        </w:tc>
        <w:tc>
          <w:tcPr>
            <w:tcW w:w="2056" w:type="pct"/>
            <w:gridSpan w:val="2"/>
            <w:tcBorders>
              <w:top w:val="single" w:sz="18" w:space="0" w:color="auto"/>
              <w:bottom w:val="single" w:sz="4" w:space="0" w:color="auto"/>
            </w:tcBorders>
            <w:shd w:val="clear" w:color="auto" w:fill="auto"/>
            <w:vAlign w:val="center"/>
            <w:hideMark/>
          </w:tcPr>
          <w:p w14:paraId="304EFEDD" w14:textId="77777777" w:rsidR="00B16486" w:rsidRPr="00E23D1C" w:rsidRDefault="00B16486" w:rsidP="00F97E87">
            <w:pPr>
              <w:spacing w:after="0" w:line="240" w:lineRule="auto"/>
              <w:jc w:val="center"/>
              <w:rPr>
                <w:rFonts w:ascii="Calibri" w:eastAsia="Times New Roman" w:hAnsi="Calibri" w:cs="Times New Roman"/>
                <w:b/>
                <w:bCs/>
                <w:color w:val="000000"/>
                <w:lang w:val="en-GB" w:eastAsia="en-GB"/>
              </w:rPr>
            </w:pPr>
            <w:r w:rsidRPr="00E23D1C">
              <w:rPr>
                <w:rFonts w:ascii="Calibri" w:eastAsia="Times New Roman" w:hAnsi="Calibri" w:cs="Times New Roman"/>
                <w:b/>
                <w:bCs/>
                <w:color w:val="000000"/>
                <w:lang w:val="en-GB" w:eastAsia="en-GB"/>
              </w:rPr>
              <w:t>Lowest monthly incidence rates</w:t>
            </w:r>
          </w:p>
        </w:tc>
      </w:tr>
      <w:tr w:rsidR="00B16486" w:rsidRPr="00E23D1C" w14:paraId="581501E4" w14:textId="77777777" w:rsidTr="00F97E87">
        <w:trPr>
          <w:trHeight w:val="482"/>
        </w:trPr>
        <w:tc>
          <w:tcPr>
            <w:tcW w:w="1074" w:type="pct"/>
            <w:vMerge/>
            <w:tcBorders>
              <w:top w:val="nil"/>
              <w:bottom w:val="single" w:sz="4" w:space="0" w:color="auto"/>
            </w:tcBorders>
            <w:vAlign w:val="center"/>
            <w:hideMark/>
          </w:tcPr>
          <w:p w14:paraId="0D6B36F5" w14:textId="77777777" w:rsidR="00B16486" w:rsidRPr="00E23D1C" w:rsidRDefault="00B16486" w:rsidP="00F97E87">
            <w:pPr>
              <w:spacing w:after="0" w:line="240" w:lineRule="auto"/>
              <w:rPr>
                <w:rFonts w:ascii="Calibri" w:eastAsia="Times New Roman" w:hAnsi="Calibri" w:cs="Times New Roman"/>
                <w:color w:val="000000"/>
                <w:lang w:val="en-GB" w:eastAsia="en-GB"/>
              </w:rPr>
            </w:pPr>
          </w:p>
        </w:tc>
        <w:tc>
          <w:tcPr>
            <w:tcW w:w="597" w:type="pct"/>
            <w:tcBorders>
              <w:top w:val="single" w:sz="4" w:space="0" w:color="auto"/>
              <w:bottom w:val="single" w:sz="4" w:space="0" w:color="auto"/>
            </w:tcBorders>
            <w:shd w:val="clear" w:color="auto" w:fill="auto"/>
            <w:vAlign w:val="center"/>
            <w:hideMark/>
          </w:tcPr>
          <w:p w14:paraId="6528149E" w14:textId="77777777" w:rsidR="00B16486" w:rsidRPr="00A336F2" w:rsidRDefault="00B16486" w:rsidP="00F97E87">
            <w:pPr>
              <w:spacing w:after="0" w:line="240" w:lineRule="auto"/>
              <w:jc w:val="center"/>
              <w:rPr>
                <w:rFonts w:ascii="Calibri" w:eastAsia="Times New Roman" w:hAnsi="Calibri" w:cs="Times New Roman"/>
                <w:b/>
                <w:bCs/>
                <w:color w:val="000000"/>
                <w:lang w:val="en-GB" w:eastAsia="en-GB"/>
              </w:rPr>
            </w:pPr>
            <w:r w:rsidRPr="00A336F2">
              <w:rPr>
                <w:rFonts w:ascii="Calibri" w:eastAsia="Times New Roman" w:hAnsi="Calibri" w:cs="Times New Roman"/>
                <w:b/>
                <w:bCs/>
                <w:color w:val="000000"/>
                <w:lang w:val="en-GB" w:eastAsia="en-GB"/>
              </w:rPr>
              <w:t>month</w:t>
            </w:r>
          </w:p>
        </w:tc>
        <w:tc>
          <w:tcPr>
            <w:tcW w:w="1273" w:type="pct"/>
            <w:tcBorders>
              <w:top w:val="single" w:sz="4" w:space="0" w:color="auto"/>
              <w:bottom w:val="single" w:sz="4" w:space="0" w:color="auto"/>
            </w:tcBorders>
            <w:shd w:val="clear" w:color="auto" w:fill="auto"/>
            <w:vAlign w:val="center"/>
            <w:hideMark/>
          </w:tcPr>
          <w:p w14:paraId="4DABD367" w14:textId="77777777" w:rsidR="00B16486" w:rsidRPr="00A336F2" w:rsidRDefault="00B16486" w:rsidP="00F97E87">
            <w:pPr>
              <w:spacing w:after="0" w:line="240" w:lineRule="auto"/>
              <w:jc w:val="center"/>
              <w:rPr>
                <w:rFonts w:ascii="Calibri" w:eastAsia="Times New Roman" w:hAnsi="Calibri" w:cs="Times New Roman"/>
                <w:b/>
                <w:bCs/>
                <w:color w:val="000000"/>
                <w:lang w:val="en-GB" w:eastAsia="en-GB"/>
              </w:rPr>
            </w:pPr>
            <w:r w:rsidRPr="00A336F2">
              <w:rPr>
                <w:rFonts w:ascii="Calibri" w:eastAsia="Times New Roman" w:hAnsi="Calibri" w:cs="Times New Roman"/>
                <w:b/>
                <w:bCs/>
                <w:color w:val="000000"/>
                <w:lang w:val="en-GB" w:eastAsia="en-GB"/>
              </w:rPr>
              <w:t>IR (95% CI)</w:t>
            </w:r>
          </w:p>
        </w:tc>
        <w:tc>
          <w:tcPr>
            <w:tcW w:w="782" w:type="pct"/>
            <w:tcBorders>
              <w:top w:val="single" w:sz="4" w:space="0" w:color="auto"/>
              <w:bottom w:val="single" w:sz="4" w:space="0" w:color="auto"/>
            </w:tcBorders>
            <w:shd w:val="clear" w:color="auto" w:fill="auto"/>
            <w:vAlign w:val="center"/>
            <w:hideMark/>
          </w:tcPr>
          <w:p w14:paraId="53DA06BC" w14:textId="77777777" w:rsidR="00B16486" w:rsidRPr="00A336F2" w:rsidRDefault="00B16486" w:rsidP="00F97E87">
            <w:pPr>
              <w:spacing w:after="0" w:line="240" w:lineRule="auto"/>
              <w:jc w:val="center"/>
              <w:rPr>
                <w:rFonts w:ascii="Calibri" w:eastAsia="Times New Roman" w:hAnsi="Calibri" w:cs="Times New Roman"/>
                <w:b/>
                <w:bCs/>
                <w:color w:val="000000"/>
                <w:lang w:val="en-GB" w:eastAsia="en-GB"/>
              </w:rPr>
            </w:pPr>
            <w:r w:rsidRPr="00A336F2">
              <w:rPr>
                <w:rFonts w:ascii="Calibri" w:eastAsia="Times New Roman" w:hAnsi="Calibri" w:cs="Times New Roman"/>
                <w:b/>
                <w:bCs/>
                <w:color w:val="000000"/>
                <w:lang w:val="en-GB" w:eastAsia="en-GB"/>
              </w:rPr>
              <w:t>month</w:t>
            </w:r>
          </w:p>
        </w:tc>
        <w:tc>
          <w:tcPr>
            <w:tcW w:w="1274" w:type="pct"/>
            <w:tcBorders>
              <w:top w:val="single" w:sz="4" w:space="0" w:color="auto"/>
              <w:bottom w:val="single" w:sz="4" w:space="0" w:color="auto"/>
            </w:tcBorders>
            <w:shd w:val="clear" w:color="auto" w:fill="auto"/>
            <w:vAlign w:val="center"/>
            <w:hideMark/>
          </w:tcPr>
          <w:p w14:paraId="6E413ED9" w14:textId="77777777" w:rsidR="00B16486" w:rsidRPr="00A336F2" w:rsidRDefault="00B16486" w:rsidP="00F97E87">
            <w:pPr>
              <w:spacing w:after="0" w:line="240" w:lineRule="auto"/>
              <w:jc w:val="center"/>
              <w:rPr>
                <w:rFonts w:ascii="Calibri" w:eastAsia="Times New Roman" w:hAnsi="Calibri" w:cs="Times New Roman"/>
                <w:b/>
                <w:bCs/>
                <w:color w:val="000000"/>
                <w:lang w:val="en-GB" w:eastAsia="en-GB"/>
              </w:rPr>
            </w:pPr>
            <w:r w:rsidRPr="00A336F2">
              <w:rPr>
                <w:rFonts w:ascii="Calibri" w:eastAsia="Times New Roman" w:hAnsi="Calibri" w:cs="Times New Roman"/>
                <w:b/>
                <w:bCs/>
                <w:color w:val="000000"/>
                <w:lang w:val="en-GB" w:eastAsia="en-GB"/>
              </w:rPr>
              <w:t>IR (95% CI)</w:t>
            </w:r>
          </w:p>
        </w:tc>
      </w:tr>
      <w:tr w:rsidR="00B16486" w:rsidRPr="00E23D1C" w14:paraId="67081C2F" w14:textId="77777777" w:rsidTr="00F97E87">
        <w:trPr>
          <w:trHeight w:val="482"/>
        </w:trPr>
        <w:tc>
          <w:tcPr>
            <w:tcW w:w="1074" w:type="pct"/>
            <w:tcBorders>
              <w:top w:val="single" w:sz="4" w:space="0" w:color="auto"/>
            </w:tcBorders>
            <w:shd w:val="clear" w:color="auto" w:fill="auto"/>
            <w:noWrap/>
            <w:vAlign w:val="center"/>
            <w:hideMark/>
          </w:tcPr>
          <w:p w14:paraId="38F679CB" w14:textId="77777777" w:rsidR="00B16486" w:rsidRPr="00E23D1C" w:rsidRDefault="00B16486" w:rsidP="00F97E87">
            <w:pPr>
              <w:spacing w:after="0" w:line="240" w:lineRule="auto"/>
              <w:jc w:val="center"/>
              <w:rPr>
                <w:rFonts w:ascii="Calibri" w:eastAsia="Times New Roman" w:hAnsi="Calibri" w:cs="Times New Roman"/>
                <w:color w:val="000000"/>
                <w:lang w:val="en-GB" w:eastAsia="en-GB"/>
              </w:rPr>
            </w:pPr>
            <w:r w:rsidRPr="00E23D1C">
              <w:rPr>
                <w:rFonts w:ascii="Calibri" w:eastAsia="Times New Roman" w:hAnsi="Calibri" w:cs="Times New Roman"/>
                <w:color w:val="000000"/>
                <w:lang w:val="en-GB" w:eastAsia="en-GB"/>
              </w:rPr>
              <w:t>Jul-Dec 2015</w:t>
            </w:r>
          </w:p>
        </w:tc>
        <w:tc>
          <w:tcPr>
            <w:tcW w:w="597" w:type="pct"/>
            <w:tcBorders>
              <w:top w:val="single" w:sz="4" w:space="0" w:color="auto"/>
            </w:tcBorders>
            <w:shd w:val="clear" w:color="auto" w:fill="auto"/>
            <w:noWrap/>
            <w:vAlign w:val="center"/>
            <w:hideMark/>
          </w:tcPr>
          <w:p w14:paraId="62AB4526" w14:textId="77777777" w:rsidR="00B16486" w:rsidRPr="00E23D1C" w:rsidRDefault="00B16486" w:rsidP="00F97E87">
            <w:pPr>
              <w:spacing w:after="0" w:line="240" w:lineRule="auto"/>
              <w:jc w:val="center"/>
              <w:rPr>
                <w:rFonts w:ascii="Calibri" w:eastAsia="Times New Roman" w:hAnsi="Calibri" w:cs="Times New Roman"/>
                <w:color w:val="000000"/>
                <w:lang w:val="en-GB" w:eastAsia="en-GB"/>
              </w:rPr>
            </w:pPr>
            <w:r w:rsidRPr="00E23D1C">
              <w:rPr>
                <w:rFonts w:ascii="Calibri" w:eastAsia="Times New Roman" w:hAnsi="Calibri" w:cs="Times New Roman"/>
                <w:color w:val="000000"/>
                <w:lang w:val="en-GB" w:eastAsia="en-GB"/>
              </w:rPr>
              <w:t>July</w:t>
            </w:r>
          </w:p>
        </w:tc>
        <w:tc>
          <w:tcPr>
            <w:tcW w:w="1273" w:type="pct"/>
            <w:tcBorders>
              <w:top w:val="single" w:sz="4" w:space="0" w:color="auto"/>
            </w:tcBorders>
            <w:shd w:val="clear" w:color="auto" w:fill="auto"/>
            <w:noWrap/>
            <w:vAlign w:val="center"/>
            <w:hideMark/>
          </w:tcPr>
          <w:p w14:paraId="5F88ABED" w14:textId="77777777" w:rsidR="00B16486" w:rsidRPr="00E23D1C" w:rsidRDefault="00B16486" w:rsidP="00F97E87">
            <w:pPr>
              <w:spacing w:after="0" w:line="240" w:lineRule="auto"/>
              <w:jc w:val="center"/>
              <w:rPr>
                <w:rFonts w:ascii="Calibri" w:eastAsia="Times New Roman" w:hAnsi="Calibri" w:cs="Times New Roman"/>
                <w:color w:val="000000"/>
                <w:lang w:val="en-GB" w:eastAsia="en-GB"/>
              </w:rPr>
            </w:pPr>
            <w:r w:rsidRPr="00E23D1C">
              <w:rPr>
                <w:rFonts w:ascii="Calibri" w:eastAsia="Times New Roman" w:hAnsi="Calibri" w:cs="Times New Roman"/>
                <w:color w:val="000000"/>
                <w:lang w:val="en-GB" w:eastAsia="en-GB"/>
              </w:rPr>
              <w:t>27.6 (27.0 - 29.1)</w:t>
            </w:r>
          </w:p>
        </w:tc>
        <w:tc>
          <w:tcPr>
            <w:tcW w:w="782" w:type="pct"/>
            <w:tcBorders>
              <w:top w:val="single" w:sz="4" w:space="0" w:color="auto"/>
            </w:tcBorders>
            <w:shd w:val="clear" w:color="auto" w:fill="auto"/>
            <w:noWrap/>
            <w:vAlign w:val="center"/>
            <w:hideMark/>
          </w:tcPr>
          <w:p w14:paraId="19389D3C" w14:textId="747DE0B2" w:rsidR="00B16486" w:rsidRPr="00F31C76" w:rsidRDefault="00F31C76" w:rsidP="00F97E87">
            <w:pPr>
              <w:spacing w:after="0" w:line="240" w:lineRule="auto"/>
              <w:jc w:val="center"/>
              <w:rPr>
                <w:rFonts w:ascii="Calibri" w:eastAsia="Times New Roman" w:hAnsi="Calibri" w:cs="Times New Roman"/>
                <w:color w:val="000000"/>
                <w:lang w:val="en-GB" w:eastAsia="en-GB"/>
              </w:rPr>
            </w:pPr>
            <w:r w:rsidRPr="00F31C76">
              <w:rPr>
                <w:rFonts w:ascii="Calibri" w:eastAsia="Times New Roman" w:hAnsi="Calibri" w:cs="Times New Roman"/>
                <w:color w:val="000000"/>
                <w:lang w:val="en-GB" w:eastAsia="en-GB"/>
              </w:rPr>
              <w:t>October</w:t>
            </w:r>
          </w:p>
        </w:tc>
        <w:tc>
          <w:tcPr>
            <w:tcW w:w="1274" w:type="pct"/>
            <w:tcBorders>
              <w:top w:val="single" w:sz="4" w:space="0" w:color="auto"/>
            </w:tcBorders>
            <w:shd w:val="clear" w:color="auto" w:fill="auto"/>
            <w:noWrap/>
            <w:vAlign w:val="center"/>
            <w:hideMark/>
          </w:tcPr>
          <w:p w14:paraId="2BF4BD1F" w14:textId="7FB73C22" w:rsidR="00B16486" w:rsidRPr="00F31C76" w:rsidRDefault="00F31C76" w:rsidP="00F97E87">
            <w:pPr>
              <w:spacing w:after="0" w:line="240" w:lineRule="auto"/>
              <w:jc w:val="center"/>
              <w:rPr>
                <w:rFonts w:ascii="Calibri" w:eastAsia="Times New Roman" w:hAnsi="Calibri" w:cs="Times New Roman"/>
                <w:lang w:val="en-GB" w:eastAsia="en-GB"/>
              </w:rPr>
            </w:pPr>
            <w:r w:rsidRPr="00F31C76">
              <w:rPr>
                <w:rFonts w:ascii="Calibri" w:eastAsia="Times New Roman" w:hAnsi="Calibri" w:cs="Times New Roman"/>
                <w:lang w:val="en-GB" w:eastAsia="en-GB"/>
              </w:rPr>
              <w:t>20.1 (20.6 – 21.7)</w:t>
            </w:r>
          </w:p>
        </w:tc>
      </w:tr>
      <w:tr w:rsidR="00B16486" w:rsidRPr="00E23D1C" w14:paraId="77D2BA39" w14:textId="77777777" w:rsidTr="00F97E87">
        <w:trPr>
          <w:trHeight w:val="482"/>
        </w:trPr>
        <w:tc>
          <w:tcPr>
            <w:tcW w:w="1074" w:type="pct"/>
            <w:shd w:val="clear" w:color="auto" w:fill="auto"/>
            <w:noWrap/>
            <w:vAlign w:val="center"/>
            <w:hideMark/>
          </w:tcPr>
          <w:p w14:paraId="3D2E33AE" w14:textId="77777777" w:rsidR="00B16486" w:rsidRPr="00E23D1C" w:rsidRDefault="00B16486" w:rsidP="00F97E87">
            <w:pPr>
              <w:spacing w:after="0" w:line="240" w:lineRule="auto"/>
              <w:jc w:val="center"/>
              <w:rPr>
                <w:rFonts w:ascii="Calibri" w:eastAsia="Times New Roman" w:hAnsi="Calibri" w:cs="Times New Roman"/>
                <w:color w:val="000000"/>
                <w:lang w:val="en-GB" w:eastAsia="en-GB"/>
              </w:rPr>
            </w:pPr>
            <w:r w:rsidRPr="00E23D1C">
              <w:rPr>
                <w:rFonts w:ascii="Calibri" w:eastAsia="Times New Roman" w:hAnsi="Calibri" w:cs="Times New Roman"/>
                <w:color w:val="000000"/>
                <w:lang w:val="en-GB" w:eastAsia="en-GB"/>
              </w:rPr>
              <w:t>Jan-Dec 2016</w:t>
            </w:r>
          </w:p>
        </w:tc>
        <w:tc>
          <w:tcPr>
            <w:tcW w:w="597" w:type="pct"/>
            <w:shd w:val="clear" w:color="auto" w:fill="auto"/>
            <w:noWrap/>
            <w:vAlign w:val="center"/>
            <w:hideMark/>
          </w:tcPr>
          <w:p w14:paraId="308176AC" w14:textId="77777777" w:rsidR="00B16486" w:rsidRPr="00E23D1C" w:rsidRDefault="00B16486" w:rsidP="00F97E87">
            <w:pPr>
              <w:spacing w:after="0" w:line="240" w:lineRule="auto"/>
              <w:jc w:val="center"/>
              <w:rPr>
                <w:rFonts w:ascii="Calibri" w:eastAsia="Times New Roman" w:hAnsi="Calibri" w:cs="Times New Roman"/>
                <w:color w:val="000000"/>
                <w:lang w:val="en-GB" w:eastAsia="en-GB"/>
              </w:rPr>
            </w:pPr>
            <w:r w:rsidRPr="00E23D1C">
              <w:rPr>
                <w:rFonts w:ascii="Calibri" w:eastAsia="Times New Roman" w:hAnsi="Calibri" w:cs="Times New Roman"/>
                <w:color w:val="000000"/>
                <w:lang w:val="en-GB" w:eastAsia="en-GB"/>
              </w:rPr>
              <w:t>June</w:t>
            </w:r>
          </w:p>
        </w:tc>
        <w:tc>
          <w:tcPr>
            <w:tcW w:w="1273" w:type="pct"/>
            <w:shd w:val="clear" w:color="auto" w:fill="auto"/>
            <w:noWrap/>
            <w:vAlign w:val="center"/>
            <w:hideMark/>
          </w:tcPr>
          <w:p w14:paraId="71B283DE" w14:textId="77777777" w:rsidR="00B16486" w:rsidRPr="00E23D1C" w:rsidRDefault="00B16486" w:rsidP="00F97E87">
            <w:pPr>
              <w:spacing w:after="0" w:line="240" w:lineRule="auto"/>
              <w:jc w:val="center"/>
              <w:rPr>
                <w:rFonts w:ascii="Calibri" w:eastAsia="Times New Roman" w:hAnsi="Calibri" w:cs="Times New Roman"/>
                <w:color w:val="000000"/>
                <w:lang w:val="en-GB" w:eastAsia="en-GB"/>
              </w:rPr>
            </w:pPr>
            <w:r w:rsidRPr="00E23D1C">
              <w:rPr>
                <w:rFonts w:ascii="Calibri" w:eastAsia="Times New Roman" w:hAnsi="Calibri" w:cs="Times New Roman"/>
                <w:color w:val="000000"/>
                <w:lang w:val="en-GB" w:eastAsia="en-GB"/>
              </w:rPr>
              <w:t>32.1 (31.3 - 33.8)</w:t>
            </w:r>
          </w:p>
        </w:tc>
        <w:tc>
          <w:tcPr>
            <w:tcW w:w="782" w:type="pct"/>
            <w:shd w:val="clear" w:color="auto" w:fill="auto"/>
            <w:noWrap/>
            <w:vAlign w:val="center"/>
            <w:hideMark/>
          </w:tcPr>
          <w:p w14:paraId="6879BE40" w14:textId="77777777" w:rsidR="00B16486" w:rsidRPr="00E23D1C" w:rsidRDefault="00B16486" w:rsidP="00F97E87">
            <w:pPr>
              <w:spacing w:after="0" w:line="240" w:lineRule="auto"/>
              <w:jc w:val="center"/>
              <w:rPr>
                <w:rFonts w:ascii="Calibri" w:eastAsia="Times New Roman" w:hAnsi="Calibri" w:cs="Times New Roman"/>
                <w:color w:val="000000"/>
                <w:lang w:val="en-GB" w:eastAsia="en-GB"/>
              </w:rPr>
            </w:pPr>
            <w:r w:rsidRPr="00E23D1C">
              <w:rPr>
                <w:rFonts w:ascii="Calibri" w:eastAsia="Times New Roman" w:hAnsi="Calibri" w:cs="Times New Roman"/>
                <w:color w:val="000000"/>
                <w:lang w:val="en-GB" w:eastAsia="en-GB"/>
              </w:rPr>
              <w:t>March</w:t>
            </w:r>
          </w:p>
        </w:tc>
        <w:tc>
          <w:tcPr>
            <w:tcW w:w="1274" w:type="pct"/>
            <w:shd w:val="clear" w:color="auto" w:fill="auto"/>
            <w:noWrap/>
            <w:vAlign w:val="center"/>
            <w:hideMark/>
          </w:tcPr>
          <w:p w14:paraId="21849EF4" w14:textId="77777777" w:rsidR="00B16486" w:rsidRPr="00E23D1C" w:rsidRDefault="00B16486" w:rsidP="00F97E87">
            <w:pPr>
              <w:spacing w:after="0" w:line="240" w:lineRule="auto"/>
              <w:jc w:val="center"/>
              <w:rPr>
                <w:rFonts w:ascii="Calibri" w:eastAsia="Times New Roman" w:hAnsi="Calibri" w:cs="Times New Roman"/>
                <w:color w:val="000000"/>
                <w:lang w:val="en-GB" w:eastAsia="en-GB"/>
              </w:rPr>
            </w:pPr>
            <w:r w:rsidRPr="00E23D1C">
              <w:rPr>
                <w:rFonts w:ascii="Calibri" w:eastAsia="Times New Roman" w:hAnsi="Calibri" w:cs="Times New Roman"/>
                <w:color w:val="000000"/>
                <w:lang w:val="en-GB" w:eastAsia="en-GB"/>
              </w:rPr>
              <w:t>17.2 (16.8 - 18.1)</w:t>
            </w:r>
          </w:p>
        </w:tc>
      </w:tr>
      <w:tr w:rsidR="00B16486" w:rsidRPr="00E23D1C" w14:paraId="38423DC1" w14:textId="77777777" w:rsidTr="00F97E87">
        <w:trPr>
          <w:trHeight w:val="482"/>
        </w:trPr>
        <w:tc>
          <w:tcPr>
            <w:tcW w:w="1074" w:type="pct"/>
            <w:shd w:val="clear" w:color="auto" w:fill="auto"/>
            <w:noWrap/>
            <w:vAlign w:val="center"/>
            <w:hideMark/>
          </w:tcPr>
          <w:p w14:paraId="6A3F16C3" w14:textId="77777777" w:rsidR="00B16486" w:rsidRPr="00E23D1C" w:rsidRDefault="00B16486" w:rsidP="00F97E87">
            <w:pPr>
              <w:spacing w:after="0" w:line="240" w:lineRule="auto"/>
              <w:jc w:val="center"/>
              <w:rPr>
                <w:rFonts w:ascii="Calibri" w:eastAsia="Times New Roman" w:hAnsi="Calibri" w:cs="Times New Roman"/>
                <w:color w:val="000000"/>
                <w:lang w:val="en-GB" w:eastAsia="en-GB"/>
              </w:rPr>
            </w:pPr>
            <w:r w:rsidRPr="00E23D1C">
              <w:rPr>
                <w:rFonts w:ascii="Calibri" w:eastAsia="Times New Roman" w:hAnsi="Calibri" w:cs="Times New Roman"/>
                <w:color w:val="000000"/>
                <w:lang w:val="en-GB" w:eastAsia="en-GB"/>
              </w:rPr>
              <w:t>Jan-Dec 2017</w:t>
            </w:r>
          </w:p>
        </w:tc>
        <w:tc>
          <w:tcPr>
            <w:tcW w:w="597" w:type="pct"/>
            <w:shd w:val="clear" w:color="auto" w:fill="auto"/>
            <w:noWrap/>
            <w:vAlign w:val="center"/>
            <w:hideMark/>
          </w:tcPr>
          <w:p w14:paraId="11593300" w14:textId="77777777" w:rsidR="00B16486" w:rsidRPr="00E23D1C" w:rsidRDefault="00B16486" w:rsidP="00F97E87">
            <w:pPr>
              <w:spacing w:after="0" w:line="240" w:lineRule="auto"/>
              <w:jc w:val="center"/>
              <w:rPr>
                <w:rFonts w:ascii="Calibri" w:eastAsia="Times New Roman" w:hAnsi="Calibri" w:cs="Times New Roman"/>
                <w:color w:val="000000"/>
                <w:lang w:val="en-GB" w:eastAsia="en-GB"/>
              </w:rPr>
            </w:pPr>
            <w:r w:rsidRPr="00E23D1C">
              <w:rPr>
                <w:rFonts w:ascii="Calibri" w:eastAsia="Times New Roman" w:hAnsi="Calibri" w:cs="Times New Roman"/>
                <w:color w:val="000000"/>
                <w:lang w:val="en-GB" w:eastAsia="en-GB"/>
              </w:rPr>
              <w:t>June</w:t>
            </w:r>
          </w:p>
        </w:tc>
        <w:tc>
          <w:tcPr>
            <w:tcW w:w="1273" w:type="pct"/>
            <w:shd w:val="clear" w:color="auto" w:fill="auto"/>
            <w:noWrap/>
            <w:vAlign w:val="center"/>
            <w:hideMark/>
          </w:tcPr>
          <w:p w14:paraId="260639A7" w14:textId="77777777" w:rsidR="00B16486" w:rsidRPr="00E23D1C" w:rsidRDefault="00B16486" w:rsidP="00F97E87">
            <w:pPr>
              <w:spacing w:after="0" w:line="240" w:lineRule="auto"/>
              <w:jc w:val="center"/>
              <w:rPr>
                <w:rFonts w:ascii="Calibri" w:eastAsia="Times New Roman" w:hAnsi="Calibri" w:cs="Times New Roman"/>
                <w:color w:val="000000"/>
                <w:lang w:val="en-GB" w:eastAsia="en-GB"/>
              </w:rPr>
            </w:pPr>
            <w:r w:rsidRPr="00E23D1C">
              <w:rPr>
                <w:rFonts w:ascii="Calibri" w:eastAsia="Times New Roman" w:hAnsi="Calibri" w:cs="Times New Roman"/>
                <w:color w:val="000000"/>
                <w:lang w:val="en-GB" w:eastAsia="en-GB"/>
              </w:rPr>
              <w:t>36.6 (35.7 - 38.5)</w:t>
            </w:r>
          </w:p>
        </w:tc>
        <w:tc>
          <w:tcPr>
            <w:tcW w:w="782" w:type="pct"/>
            <w:shd w:val="clear" w:color="auto" w:fill="auto"/>
            <w:noWrap/>
            <w:vAlign w:val="center"/>
            <w:hideMark/>
          </w:tcPr>
          <w:p w14:paraId="57DE8D6A" w14:textId="77777777" w:rsidR="00B16486" w:rsidRPr="00E23D1C" w:rsidRDefault="00B16486" w:rsidP="00F97E87">
            <w:pPr>
              <w:spacing w:after="0" w:line="240" w:lineRule="auto"/>
              <w:jc w:val="center"/>
              <w:rPr>
                <w:rFonts w:ascii="Calibri" w:eastAsia="Times New Roman" w:hAnsi="Calibri" w:cs="Times New Roman"/>
                <w:color w:val="000000"/>
                <w:lang w:val="en-GB" w:eastAsia="en-GB"/>
              </w:rPr>
            </w:pPr>
            <w:r w:rsidRPr="00E23D1C">
              <w:rPr>
                <w:rFonts w:ascii="Calibri" w:eastAsia="Times New Roman" w:hAnsi="Calibri" w:cs="Times New Roman"/>
                <w:color w:val="000000"/>
                <w:lang w:val="en-GB" w:eastAsia="en-GB"/>
              </w:rPr>
              <w:t>December</w:t>
            </w:r>
          </w:p>
        </w:tc>
        <w:tc>
          <w:tcPr>
            <w:tcW w:w="1274" w:type="pct"/>
            <w:shd w:val="clear" w:color="auto" w:fill="auto"/>
            <w:noWrap/>
            <w:vAlign w:val="center"/>
            <w:hideMark/>
          </w:tcPr>
          <w:p w14:paraId="0FE3FBDE" w14:textId="77777777" w:rsidR="00B16486" w:rsidRPr="00E23D1C" w:rsidRDefault="00B16486" w:rsidP="00F97E87">
            <w:pPr>
              <w:spacing w:after="0" w:line="240" w:lineRule="auto"/>
              <w:jc w:val="center"/>
              <w:rPr>
                <w:rFonts w:ascii="Calibri" w:eastAsia="Times New Roman" w:hAnsi="Calibri" w:cs="Times New Roman"/>
                <w:color w:val="000000"/>
                <w:lang w:val="en-GB" w:eastAsia="en-GB"/>
              </w:rPr>
            </w:pPr>
            <w:r w:rsidRPr="00E23D1C">
              <w:rPr>
                <w:rFonts w:ascii="Calibri" w:eastAsia="Times New Roman" w:hAnsi="Calibri" w:cs="Times New Roman"/>
                <w:color w:val="000000"/>
                <w:lang w:val="en-GB" w:eastAsia="en-GB"/>
              </w:rPr>
              <w:t>12.3 (12.0 - 13.0)</w:t>
            </w:r>
          </w:p>
        </w:tc>
      </w:tr>
      <w:tr w:rsidR="00B16486" w:rsidRPr="00E23D1C" w14:paraId="702D8904" w14:textId="77777777" w:rsidTr="00F97E87">
        <w:trPr>
          <w:trHeight w:val="482"/>
        </w:trPr>
        <w:tc>
          <w:tcPr>
            <w:tcW w:w="1074" w:type="pct"/>
            <w:shd w:val="clear" w:color="auto" w:fill="auto"/>
            <w:noWrap/>
            <w:vAlign w:val="center"/>
            <w:hideMark/>
          </w:tcPr>
          <w:p w14:paraId="6047E13D" w14:textId="77777777" w:rsidR="00B16486" w:rsidRPr="00E23D1C" w:rsidRDefault="00B16486" w:rsidP="00F97E87">
            <w:pPr>
              <w:spacing w:after="0" w:line="240" w:lineRule="auto"/>
              <w:jc w:val="center"/>
              <w:rPr>
                <w:rFonts w:ascii="Calibri" w:eastAsia="Times New Roman" w:hAnsi="Calibri" w:cs="Times New Roman"/>
                <w:color w:val="000000"/>
                <w:lang w:val="en-GB" w:eastAsia="en-GB"/>
              </w:rPr>
            </w:pPr>
            <w:r w:rsidRPr="00E23D1C">
              <w:rPr>
                <w:rFonts w:ascii="Calibri" w:eastAsia="Times New Roman" w:hAnsi="Calibri" w:cs="Times New Roman"/>
                <w:color w:val="000000"/>
                <w:lang w:val="en-GB" w:eastAsia="en-GB"/>
              </w:rPr>
              <w:t>Jan-Dec 2018</w:t>
            </w:r>
          </w:p>
        </w:tc>
        <w:tc>
          <w:tcPr>
            <w:tcW w:w="597" w:type="pct"/>
            <w:shd w:val="clear" w:color="auto" w:fill="auto"/>
            <w:noWrap/>
            <w:vAlign w:val="center"/>
            <w:hideMark/>
          </w:tcPr>
          <w:p w14:paraId="4098CFFB" w14:textId="77777777" w:rsidR="00B16486" w:rsidRPr="00E23D1C" w:rsidRDefault="00B16486" w:rsidP="00F97E87">
            <w:pPr>
              <w:spacing w:after="0" w:line="240" w:lineRule="auto"/>
              <w:jc w:val="center"/>
              <w:rPr>
                <w:rFonts w:ascii="Calibri" w:eastAsia="Times New Roman" w:hAnsi="Calibri" w:cs="Times New Roman"/>
                <w:color w:val="000000"/>
                <w:lang w:val="en-GB" w:eastAsia="en-GB"/>
              </w:rPr>
            </w:pPr>
            <w:r w:rsidRPr="00E23D1C">
              <w:rPr>
                <w:rFonts w:ascii="Calibri" w:eastAsia="Times New Roman" w:hAnsi="Calibri" w:cs="Times New Roman"/>
                <w:color w:val="000000"/>
                <w:lang w:val="en-GB" w:eastAsia="en-GB"/>
              </w:rPr>
              <w:t>June</w:t>
            </w:r>
          </w:p>
        </w:tc>
        <w:tc>
          <w:tcPr>
            <w:tcW w:w="1273" w:type="pct"/>
            <w:shd w:val="clear" w:color="auto" w:fill="auto"/>
            <w:noWrap/>
            <w:vAlign w:val="center"/>
            <w:hideMark/>
          </w:tcPr>
          <w:p w14:paraId="416F9C76" w14:textId="77777777" w:rsidR="00B16486" w:rsidRPr="00E23D1C" w:rsidRDefault="00B16486" w:rsidP="00F97E87">
            <w:pPr>
              <w:spacing w:after="0" w:line="240" w:lineRule="auto"/>
              <w:jc w:val="center"/>
              <w:rPr>
                <w:rFonts w:ascii="Calibri" w:eastAsia="Times New Roman" w:hAnsi="Calibri" w:cs="Times New Roman"/>
                <w:color w:val="000000"/>
                <w:lang w:val="en-GB" w:eastAsia="en-GB"/>
              </w:rPr>
            </w:pPr>
            <w:r w:rsidRPr="00E23D1C">
              <w:rPr>
                <w:rFonts w:ascii="Calibri" w:eastAsia="Times New Roman" w:hAnsi="Calibri" w:cs="Times New Roman"/>
                <w:color w:val="000000"/>
                <w:lang w:val="en-GB" w:eastAsia="en-GB"/>
              </w:rPr>
              <w:t>18.9 (18.4 - 19.9)</w:t>
            </w:r>
          </w:p>
        </w:tc>
        <w:tc>
          <w:tcPr>
            <w:tcW w:w="782" w:type="pct"/>
            <w:shd w:val="clear" w:color="auto" w:fill="auto"/>
            <w:noWrap/>
            <w:vAlign w:val="center"/>
            <w:hideMark/>
          </w:tcPr>
          <w:p w14:paraId="71D23142" w14:textId="77777777" w:rsidR="00B16486" w:rsidRPr="00E23D1C" w:rsidRDefault="00B16486" w:rsidP="00F97E87">
            <w:pPr>
              <w:spacing w:after="0" w:line="240" w:lineRule="auto"/>
              <w:jc w:val="center"/>
              <w:rPr>
                <w:rFonts w:ascii="Calibri" w:eastAsia="Times New Roman" w:hAnsi="Calibri" w:cs="Times New Roman"/>
                <w:color w:val="000000"/>
                <w:lang w:val="en-GB" w:eastAsia="en-GB"/>
              </w:rPr>
            </w:pPr>
            <w:r w:rsidRPr="00E23D1C">
              <w:rPr>
                <w:rFonts w:ascii="Calibri" w:eastAsia="Times New Roman" w:hAnsi="Calibri" w:cs="Times New Roman"/>
                <w:color w:val="000000"/>
                <w:lang w:val="en-GB" w:eastAsia="en-GB"/>
              </w:rPr>
              <w:t>February</w:t>
            </w:r>
          </w:p>
        </w:tc>
        <w:tc>
          <w:tcPr>
            <w:tcW w:w="1274" w:type="pct"/>
            <w:shd w:val="clear" w:color="auto" w:fill="auto"/>
            <w:noWrap/>
            <w:vAlign w:val="center"/>
            <w:hideMark/>
          </w:tcPr>
          <w:p w14:paraId="27B89B60" w14:textId="77777777" w:rsidR="00B16486" w:rsidRPr="00E23D1C" w:rsidRDefault="00B16486" w:rsidP="00F97E87">
            <w:pPr>
              <w:spacing w:after="0" w:line="240" w:lineRule="auto"/>
              <w:jc w:val="center"/>
              <w:rPr>
                <w:rFonts w:ascii="Calibri" w:eastAsia="Times New Roman" w:hAnsi="Calibri" w:cs="Times New Roman"/>
                <w:color w:val="000000"/>
                <w:lang w:val="en-GB" w:eastAsia="en-GB"/>
              </w:rPr>
            </w:pPr>
            <w:r w:rsidRPr="00E23D1C">
              <w:rPr>
                <w:rFonts w:ascii="Calibri" w:eastAsia="Times New Roman" w:hAnsi="Calibri" w:cs="Times New Roman"/>
                <w:color w:val="000000"/>
                <w:lang w:val="en-GB" w:eastAsia="en-GB"/>
              </w:rPr>
              <w:t>8.9 (8.7 - 9.4)</w:t>
            </w:r>
          </w:p>
        </w:tc>
      </w:tr>
      <w:tr w:rsidR="00B16486" w:rsidRPr="00E23D1C" w14:paraId="4A34064B" w14:textId="77777777" w:rsidTr="00F97E87">
        <w:trPr>
          <w:trHeight w:val="482"/>
        </w:trPr>
        <w:tc>
          <w:tcPr>
            <w:tcW w:w="1074" w:type="pct"/>
            <w:shd w:val="clear" w:color="auto" w:fill="auto"/>
            <w:noWrap/>
            <w:vAlign w:val="center"/>
            <w:hideMark/>
          </w:tcPr>
          <w:p w14:paraId="1DEE41CF" w14:textId="77777777" w:rsidR="00B16486" w:rsidRPr="00E23D1C" w:rsidRDefault="00B16486" w:rsidP="00F97E87">
            <w:pPr>
              <w:spacing w:after="0" w:line="240" w:lineRule="auto"/>
              <w:jc w:val="center"/>
              <w:rPr>
                <w:rFonts w:ascii="Calibri" w:eastAsia="Times New Roman" w:hAnsi="Calibri" w:cs="Times New Roman"/>
                <w:color w:val="000000"/>
                <w:lang w:val="en-GB" w:eastAsia="en-GB"/>
              </w:rPr>
            </w:pPr>
            <w:r w:rsidRPr="00E23D1C">
              <w:rPr>
                <w:rFonts w:ascii="Calibri" w:eastAsia="Times New Roman" w:hAnsi="Calibri" w:cs="Times New Roman"/>
                <w:color w:val="000000"/>
                <w:lang w:val="en-GB" w:eastAsia="en-GB"/>
              </w:rPr>
              <w:t>Jan-Sep 2019</w:t>
            </w:r>
          </w:p>
        </w:tc>
        <w:tc>
          <w:tcPr>
            <w:tcW w:w="597" w:type="pct"/>
            <w:shd w:val="clear" w:color="auto" w:fill="auto"/>
            <w:noWrap/>
            <w:vAlign w:val="center"/>
            <w:hideMark/>
          </w:tcPr>
          <w:p w14:paraId="585F76A4" w14:textId="77777777" w:rsidR="00B16486" w:rsidRPr="00E23D1C" w:rsidRDefault="00B16486" w:rsidP="00F97E87">
            <w:pPr>
              <w:spacing w:after="0" w:line="240" w:lineRule="auto"/>
              <w:jc w:val="center"/>
              <w:rPr>
                <w:rFonts w:ascii="Calibri" w:eastAsia="Times New Roman" w:hAnsi="Calibri" w:cs="Times New Roman"/>
                <w:color w:val="000000"/>
                <w:lang w:val="en-GB" w:eastAsia="en-GB"/>
              </w:rPr>
            </w:pPr>
            <w:r w:rsidRPr="00E23D1C">
              <w:rPr>
                <w:rFonts w:ascii="Calibri" w:eastAsia="Times New Roman" w:hAnsi="Calibri" w:cs="Times New Roman"/>
                <w:color w:val="000000"/>
                <w:lang w:val="en-GB" w:eastAsia="en-GB"/>
              </w:rPr>
              <w:t>July</w:t>
            </w:r>
          </w:p>
        </w:tc>
        <w:tc>
          <w:tcPr>
            <w:tcW w:w="1273" w:type="pct"/>
            <w:shd w:val="clear" w:color="auto" w:fill="auto"/>
            <w:noWrap/>
            <w:vAlign w:val="center"/>
            <w:hideMark/>
          </w:tcPr>
          <w:p w14:paraId="6157669D" w14:textId="77777777" w:rsidR="00B16486" w:rsidRPr="00E23D1C" w:rsidRDefault="00B16486" w:rsidP="00F97E87">
            <w:pPr>
              <w:spacing w:after="0" w:line="240" w:lineRule="auto"/>
              <w:jc w:val="center"/>
              <w:rPr>
                <w:rFonts w:ascii="Calibri" w:eastAsia="Times New Roman" w:hAnsi="Calibri" w:cs="Times New Roman"/>
                <w:color w:val="000000"/>
                <w:lang w:val="en-GB" w:eastAsia="en-GB"/>
              </w:rPr>
            </w:pPr>
            <w:r w:rsidRPr="00E23D1C">
              <w:rPr>
                <w:rFonts w:ascii="Calibri" w:eastAsia="Times New Roman" w:hAnsi="Calibri" w:cs="Times New Roman"/>
                <w:color w:val="000000"/>
                <w:lang w:val="en-GB" w:eastAsia="en-GB"/>
              </w:rPr>
              <w:t>36.3 (35.4 - 38.1)</w:t>
            </w:r>
          </w:p>
        </w:tc>
        <w:tc>
          <w:tcPr>
            <w:tcW w:w="782" w:type="pct"/>
            <w:shd w:val="clear" w:color="auto" w:fill="auto"/>
            <w:noWrap/>
            <w:vAlign w:val="center"/>
            <w:hideMark/>
          </w:tcPr>
          <w:p w14:paraId="71088A98" w14:textId="77777777" w:rsidR="00B16486" w:rsidRPr="00E23D1C" w:rsidRDefault="00B16486" w:rsidP="00F97E87">
            <w:pPr>
              <w:spacing w:after="0" w:line="240" w:lineRule="auto"/>
              <w:jc w:val="center"/>
              <w:rPr>
                <w:rFonts w:ascii="Calibri" w:eastAsia="Times New Roman" w:hAnsi="Calibri" w:cs="Times New Roman"/>
                <w:color w:val="000000"/>
                <w:lang w:val="en-GB" w:eastAsia="en-GB"/>
              </w:rPr>
            </w:pPr>
            <w:r w:rsidRPr="00E23D1C">
              <w:rPr>
                <w:rFonts w:ascii="Calibri" w:eastAsia="Times New Roman" w:hAnsi="Calibri" w:cs="Times New Roman"/>
                <w:color w:val="000000"/>
                <w:lang w:val="en-GB" w:eastAsia="en-GB"/>
              </w:rPr>
              <w:t>February</w:t>
            </w:r>
          </w:p>
        </w:tc>
        <w:tc>
          <w:tcPr>
            <w:tcW w:w="1274" w:type="pct"/>
            <w:shd w:val="clear" w:color="auto" w:fill="auto"/>
            <w:noWrap/>
            <w:vAlign w:val="center"/>
            <w:hideMark/>
          </w:tcPr>
          <w:p w14:paraId="6FB9E932" w14:textId="77777777" w:rsidR="00B16486" w:rsidRPr="00E23D1C" w:rsidRDefault="00B16486" w:rsidP="00F97E87">
            <w:pPr>
              <w:spacing w:after="0" w:line="240" w:lineRule="auto"/>
              <w:jc w:val="center"/>
              <w:rPr>
                <w:rFonts w:ascii="Calibri" w:eastAsia="Times New Roman" w:hAnsi="Calibri" w:cs="Times New Roman"/>
                <w:color w:val="000000"/>
                <w:lang w:val="en-GB" w:eastAsia="en-GB"/>
              </w:rPr>
            </w:pPr>
            <w:r w:rsidRPr="00E23D1C">
              <w:rPr>
                <w:rFonts w:ascii="Calibri" w:eastAsia="Times New Roman" w:hAnsi="Calibri" w:cs="Times New Roman"/>
                <w:color w:val="000000"/>
                <w:lang w:val="en-GB" w:eastAsia="en-GB"/>
              </w:rPr>
              <w:t>12.7 (12.3 - 13.3)</w:t>
            </w:r>
          </w:p>
        </w:tc>
      </w:tr>
    </w:tbl>
    <w:p w14:paraId="17C7B8C6" w14:textId="54CAFA37" w:rsidR="00B16486" w:rsidRPr="00061900" w:rsidRDefault="00B16486" w:rsidP="00061900">
      <w:pPr>
        <w:spacing w:after="120" w:line="240" w:lineRule="auto"/>
        <w:rPr>
          <w:i/>
          <w:iCs/>
        </w:rPr>
      </w:pPr>
      <w:r w:rsidRPr="00061900">
        <w:rPr>
          <w:i/>
          <w:iCs/>
        </w:rPr>
        <w:t>CI – Credible interval</w:t>
      </w:r>
    </w:p>
    <w:p w14:paraId="09EDFB6E" w14:textId="2ECF7277" w:rsidR="00B16486" w:rsidRPr="00061900" w:rsidRDefault="00B16486" w:rsidP="00061900">
      <w:pPr>
        <w:spacing w:line="240" w:lineRule="auto"/>
        <w:rPr>
          <w:i/>
          <w:iCs/>
        </w:rPr>
      </w:pPr>
      <w:r w:rsidRPr="00061900">
        <w:rPr>
          <w:i/>
          <w:iCs/>
        </w:rPr>
        <w:t>IR – Incidence rate estimated</w:t>
      </w:r>
    </w:p>
    <w:p w14:paraId="67518AB6" w14:textId="1A923ABD" w:rsidR="00787333" w:rsidRDefault="00787333" w:rsidP="00364E39">
      <w:pPr>
        <w:spacing w:line="360" w:lineRule="auto"/>
      </w:pPr>
      <w:r>
        <w:t xml:space="preserve">Further, the five highest risk regions both during the highest and lowest burden months being identified across the country as Acholi, West Nile, Karamoja, East Central – Busoga, and Teso. Within these regions, the highest burden districts were also identifiable, the highest four districts in each shown in Table </w:t>
      </w:r>
      <w:r w:rsidR="001A34F0">
        <w:t>S</w:t>
      </w:r>
      <w:r w:rsidR="006A2D8B">
        <w:t>6</w:t>
      </w:r>
      <w:r>
        <w:t xml:space="preserve"> below between the two seasons.</w:t>
      </w:r>
    </w:p>
    <w:p w14:paraId="4318B54D" w14:textId="77777777" w:rsidR="00787333" w:rsidRDefault="00787333">
      <w:r>
        <w:br w:type="page"/>
      </w:r>
    </w:p>
    <w:p w14:paraId="63B7EDC9" w14:textId="77777777" w:rsidR="00F87CEC" w:rsidRDefault="00F87CEC" w:rsidP="00364E39">
      <w:pPr>
        <w:spacing w:line="360" w:lineRule="auto"/>
      </w:pPr>
    </w:p>
    <w:p w14:paraId="619436F8" w14:textId="5E3CAD89" w:rsidR="00A336F2" w:rsidRPr="00A336F2" w:rsidRDefault="00A336F2" w:rsidP="00A336F2">
      <w:pPr>
        <w:pStyle w:val="Caption"/>
        <w:keepNext/>
        <w:rPr>
          <w:b/>
          <w:bCs/>
          <w:i w:val="0"/>
          <w:iCs w:val="0"/>
          <w:color w:val="auto"/>
          <w:sz w:val="22"/>
          <w:szCs w:val="22"/>
        </w:rPr>
      </w:pPr>
      <w:r w:rsidRPr="00A336F2">
        <w:rPr>
          <w:b/>
          <w:bCs/>
          <w:i w:val="0"/>
          <w:iCs w:val="0"/>
          <w:color w:val="auto"/>
          <w:sz w:val="22"/>
          <w:szCs w:val="22"/>
        </w:rPr>
        <w:t xml:space="preserve">Table </w:t>
      </w:r>
      <w:r w:rsidR="00962132">
        <w:rPr>
          <w:b/>
          <w:bCs/>
          <w:i w:val="0"/>
          <w:iCs w:val="0"/>
          <w:color w:val="auto"/>
          <w:sz w:val="22"/>
          <w:szCs w:val="22"/>
        </w:rPr>
        <w:t>S</w:t>
      </w:r>
      <w:r w:rsidRPr="00A336F2">
        <w:rPr>
          <w:b/>
          <w:bCs/>
          <w:i w:val="0"/>
          <w:iCs w:val="0"/>
          <w:color w:val="auto"/>
          <w:sz w:val="22"/>
          <w:szCs w:val="22"/>
        </w:rPr>
        <w:fldChar w:fldCharType="begin"/>
      </w:r>
      <w:r w:rsidRPr="00A336F2">
        <w:rPr>
          <w:b/>
          <w:bCs/>
          <w:i w:val="0"/>
          <w:iCs w:val="0"/>
          <w:color w:val="auto"/>
          <w:sz w:val="22"/>
          <w:szCs w:val="22"/>
        </w:rPr>
        <w:instrText xml:space="preserve"> SEQ Table \* ARABIC </w:instrText>
      </w:r>
      <w:r w:rsidRPr="00A336F2">
        <w:rPr>
          <w:b/>
          <w:bCs/>
          <w:i w:val="0"/>
          <w:iCs w:val="0"/>
          <w:color w:val="auto"/>
          <w:sz w:val="22"/>
          <w:szCs w:val="22"/>
        </w:rPr>
        <w:fldChar w:fldCharType="separate"/>
      </w:r>
      <w:r w:rsidR="00CE5C15">
        <w:rPr>
          <w:b/>
          <w:bCs/>
          <w:i w:val="0"/>
          <w:iCs w:val="0"/>
          <w:noProof/>
          <w:color w:val="auto"/>
          <w:sz w:val="22"/>
          <w:szCs w:val="22"/>
        </w:rPr>
        <w:t>6</w:t>
      </w:r>
      <w:r w:rsidRPr="00A336F2">
        <w:rPr>
          <w:b/>
          <w:bCs/>
          <w:i w:val="0"/>
          <w:iCs w:val="0"/>
          <w:color w:val="auto"/>
          <w:sz w:val="22"/>
          <w:szCs w:val="22"/>
        </w:rPr>
        <w:fldChar w:fldCharType="end"/>
      </w:r>
      <w:r w:rsidRPr="00A336F2">
        <w:rPr>
          <w:b/>
          <w:bCs/>
          <w:i w:val="0"/>
          <w:iCs w:val="0"/>
          <w:color w:val="auto"/>
          <w:sz w:val="22"/>
          <w:szCs w:val="22"/>
        </w:rPr>
        <w:t xml:space="preserve">. The four highest burden districts within the five highest risk regions across the country </w:t>
      </w:r>
      <w:r>
        <w:rPr>
          <w:b/>
          <w:bCs/>
          <w:i w:val="0"/>
          <w:iCs w:val="0"/>
          <w:color w:val="auto"/>
          <w:sz w:val="22"/>
          <w:szCs w:val="22"/>
        </w:rPr>
        <w:t>during July-2017 and February-2018,</w:t>
      </w:r>
      <w:r w:rsidRPr="00A336F2">
        <w:rPr>
          <w:b/>
          <w:bCs/>
          <w:i w:val="0"/>
          <w:iCs w:val="0"/>
          <w:color w:val="auto"/>
          <w:sz w:val="22"/>
          <w:szCs w:val="22"/>
        </w:rPr>
        <w:t xml:space="preserve"> the highest and lowest burden months of the study duration.</w:t>
      </w:r>
    </w:p>
    <w:tbl>
      <w:tblPr>
        <w:tblW w:w="8745" w:type="dxa"/>
        <w:tblBorders>
          <w:top w:val="single" w:sz="18" w:space="0" w:color="auto"/>
          <w:bottom w:val="single" w:sz="18" w:space="0" w:color="auto"/>
        </w:tblBorders>
        <w:tblLook w:val="04A0" w:firstRow="1" w:lastRow="0" w:firstColumn="1" w:lastColumn="0" w:noHBand="0" w:noVBand="1"/>
      </w:tblPr>
      <w:tblGrid>
        <w:gridCol w:w="2060"/>
        <w:gridCol w:w="1371"/>
        <w:gridCol w:w="2116"/>
        <w:gridCol w:w="1329"/>
        <w:gridCol w:w="1869"/>
      </w:tblGrid>
      <w:tr w:rsidR="00787333" w:rsidRPr="00787333" w14:paraId="4EBCC298" w14:textId="77777777" w:rsidTr="00A336F2">
        <w:trPr>
          <w:trHeight w:val="482"/>
        </w:trPr>
        <w:tc>
          <w:tcPr>
            <w:tcW w:w="2060" w:type="dxa"/>
            <w:tcBorders>
              <w:bottom w:val="nil"/>
            </w:tcBorders>
            <w:shd w:val="clear" w:color="auto" w:fill="auto"/>
            <w:noWrap/>
            <w:vAlign w:val="center"/>
            <w:hideMark/>
          </w:tcPr>
          <w:p w14:paraId="4EAFFA9F" w14:textId="77777777" w:rsidR="00787333" w:rsidRPr="00787333" w:rsidRDefault="00787333" w:rsidP="00787333">
            <w:pPr>
              <w:spacing w:after="0" w:line="240" w:lineRule="auto"/>
              <w:jc w:val="center"/>
              <w:rPr>
                <w:rFonts w:ascii="Times New Roman" w:eastAsia="Times New Roman" w:hAnsi="Times New Roman" w:cs="Times New Roman"/>
                <w:sz w:val="24"/>
                <w:szCs w:val="24"/>
                <w:lang w:val="en-GB" w:eastAsia="en-GB"/>
              </w:rPr>
            </w:pPr>
          </w:p>
        </w:tc>
        <w:tc>
          <w:tcPr>
            <w:tcW w:w="3487" w:type="dxa"/>
            <w:gridSpan w:val="2"/>
            <w:tcBorders>
              <w:bottom w:val="nil"/>
            </w:tcBorders>
            <w:shd w:val="clear" w:color="auto" w:fill="auto"/>
            <w:noWrap/>
            <w:vAlign w:val="center"/>
            <w:hideMark/>
          </w:tcPr>
          <w:p w14:paraId="502E7782" w14:textId="101719D0" w:rsidR="00787333" w:rsidRPr="00787333" w:rsidRDefault="00787333" w:rsidP="00787333">
            <w:pPr>
              <w:spacing w:after="0" w:line="240" w:lineRule="auto"/>
              <w:jc w:val="center"/>
              <w:rPr>
                <w:rFonts w:ascii="Calibri" w:eastAsia="Times New Roman" w:hAnsi="Calibri" w:cs="Times New Roman"/>
                <w:b/>
                <w:bCs/>
                <w:color w:val="000000"/>
                <w:lang w:val="en-GB" w:eastAsia="en-GB"/>
              </w:rPr>
            </w:pPr>
            <w:r w:rsidRPr="00787333">
              <w:rPr>
                <w:rFonts w:ascii="Calibri" w:eastAsia="Times New Roman" w:hAnsi="Calibri" w:cs="Times New Roman"/>
                <w:b/>
                <w:bCs/>
                <w:color w:val="000000"/>
                <w:lang w:val="en-GB" w:eastAsia="en-GB"/>
              </w:rPr>
              <w:t>Jul</w:t>
            </w:r>
            <w:r w:rsidR="00A336F2">
              <w:rPr>
                <w:rFonts w:ascii="Calibri" w:eastAsia="Times New Roman" w:hAnsi="Calibri" w:cs="Times New Roman"/>
                <w:b/>
                <w:bCs/>
                <w:color w:val="000000"/>
                <w:lang w:val="en-GB" w:eastAsia="en-GB"/>
              </w:rPr>
              <w:t>y 20</w:t>
            </w:r>
            <w:r w:rsidRPr="00787333">
              <w:rPr>
                <w:rFonts w:ascii="Calibri" w:eastAsia="Times New Roman" w:hAnsi="Calibri" w:cs="Times New Roman"/>
                <w:b/>
                <w:bCs/>
                <w:color w:val="000000"/>
                <w:lang w:val="en-GB" w:eastAsia="en-GB"/>
              </w:rPr>
              <w:t>17</w:t>
            </w:r>
            <w:r w:rsidR="00A336F2">
              <w:rPr>
                <w:rFonts w:ascii="Calibri" w:eastAsia="Times New Roman" w:hAnsi="Calibri" w:cs="Times New Roman"/>
                <w:b/>
                <w:bCs/>
                <w:color w:val="000000"/>
                <w:lang w:val="en-GB" w:eastAsia="en-GB"/>
              </w:rPr>
              <w:t xml:space="preserve"> (the highest burden month)</w:t>
            </w:r>
          </w:p>
        </w:tc>
        <w:tc>
          <w:tcPr>
            <w:tcW w:w="3198" w:type="dxa"/>
            <w:gridSpan w:val="2"/>
            <w:tcBorders>
              <w:bottom w:val="nil"/>
            </w:tcBorders>
            <w:shd w:val="clear" w:color="auto" w:fill="auto"/>
            <w:noWrap/>
            <w:vAlign w:val="center"/>
            <w:hideMark/>
          </w:tcPr>
          <w:p w14:paraId="21AB9696" w14:textId="1905C22B" w:rsidR="00787333" w:rsidRPr="00787333" w:rsidRDefault="00787333" w:rsidP="00787333">
            <w:pPr>
              <w:spacing w:after="0" w:line="240" w:lineRule="auto"/>
              <w:jc w:val="center"/>
              <w:rPr>
                <w:rFonts w:ascii="Calibri" w:eastAsia="Times New Roman" w:hAnsi="Calibri" w:cs="Times New Roman"/>
                <w:b/>
                <w:bCs/>
                <w:color w:val="000000"/>
                <w:lang w:val="en-GB" w:eastAsia="en-GB"/>
              </w:rPr>
            </w:pPr>
            <w:r w:rsidRPr="00787333">
              <w:rPr>
                <w:rFonts w:ascii="Calibri" w:eastAsia="Times New Roman" w:hAnsi="Calibri" w:cs="Times New Roman"/>
                <w:b/>
                <w:bCs/>
                <w:color w:val="000000"/>
                <w:lang w:val="en-GB" w:eastAsia="en-GB"/>
              </w:rPr>
              <w:t>Feb</w:t>
            </w:r>
            <w:r w:rsidR="00A336F2">
              <w:rPr>
                <w:rFonts w:ascii="Calibri" w:eastAsia="Times New Roman" w:hAnsi="Calibri" w:cs="Times New Roman"/>
                <w:b/>
                <w:bCs/>
                <w:color w:val="000000"/>
                <w:lang w:val="en-GB" w:eastAsia="en-GB"/>
              </w:rPr>
              <w:t>ruary 20</w:t>
            </w:r>
            <w:r w:rsidRPr="00787333">
              <w:rPr>
                <w:rFonts w:ascii="Calibri" w:eastAsia="Times New Roman" w:hAnsi="Calibri" w:cs="Times New Roman"/>
                <w:b/>
                <w:bCs/>
                <w:color w:val="000000"/>
                <w:lang w:val="en-GB" w:eastAsia="en-GB"/>
              </w:rPr>
              <w:t>18</w:t>
            </w:r>
            <w:r w:rsidR="00A336F2">
              <w:rPr>
                <w:rFonts w:ascii="Calibri" w:eastAsia="Times New Roman" w:hAnsi="Calibri" w:cs="Times New Roman"/>
                <w:b/>
                <w:bCs/>
                <w:color w:val="000000"/>
                <w:lang w:val="en-GB" w:eastAsia="en-GB"/>
              </w:rPr>
              <w:t xml:space="preserve"> (the lowest burden month)</w:t>
            </w:r>
          </w:p>
        </w:tc>
      </w:tr>
      <w:tr w:rsidR="00787333" w:rsidRPr="00787333" w14:paraId="524C021C" w14:textId="77777777" w:rsidTr="00A336F2">
        <w:trPr>
          <w:trHeight w:val="482"/>
        </w:trPr>
        <w:tc>
          <w:tcPr>
            <w:tcW w:w="2060" w:type="dxa"/>
            <w:tcBorders>
              <w:top w:val="nil"/>
              <w:bottom w:val="single" w:sz="4" w:space="0" w:color="auto"/>
            </w:tcBorders>
            <w:shd w:val="clear" w:color="auto" w:fill="auto"/>
            <w:noWrap/>
            <w:vAlign w:val="center"/>
            <w:hideMark/>
          </w:tcPr>
          <w:p w14:paraId="3A8233B6" w14:textId="77777777" w:rsidR="00787333" w:rsidRPr="00787333" w:rsidRDefault="00787333" w:rsidP="00F97E87">
            <w:pPr>
              <w:spacing w:after="0" w:line="240" w:lineRule="auto"/>
              <w:jc w:val="center"/>
              <w:rPr>
                <w:rFonts w:ascii="Calibri" w:eastAsia="Times New Roman" w:hAnsi="Calibri" w:cs="Times New Roman"/>
                <w:b/>
                <w:bCs/>
                <w:color w:val="000000"/>
                <w:lang w:val="en-GB" w:eastAsia="en-GB"/>
              </w:rPr>
            </w:pPr>
            <w:r w:rsidRPr="00787333">
              <w:rPr>
                <w:rFonts w:ascii="Calibri" w:eastAsia="Times New Roman" w:hAnsi="Calibri" w:cs="Times New Roman"/>
                <w:b/>
                <w:bCs/>
                <w:color w:val="000000"/>
                <w:lang w:val="en-GB" w:eastAsia="en-GB"/>
              </w:rPr>
              <w:t>Region</w:t>
            </w:r>
          </w:p>
        </w:tc>
        <w:tc>
          <w:tcPr>
            <w:tcW w:w="1371" w:type="dxa"/>
            <w:tcBorders>
              <w:top w:val="nil"/>
              <w:bottom w:val="single" w:sz="4" w:space="0" w:color="auto"/>
            </w:tcBorders>
            <w:shd w:val="clear" w:color="auto" w:fill="auto"/>
            <w:noWrap/>
            <w:vAlign w:val="center"/>
            <w:hideMark/>
          </w:tcPr>
          <w:p w14:paraId="30069593" w14:textId="77777777" w:rsidR="00787333" w:rsidRPr="00787333" w:rsidRDefault="00787333" w:rsidP="00F97E87">
            <w:pPr>
              <w:spacing w:after="0" w:line="240" w:lineRule="auto"/>
              <w:jc w:val="center"/>
              <w:rPr>
                <w:rFonts w:ascii="Calibri" w:eastAsia="Times New Roman" w:hAnsi="Calibri" w:cs="Times New Roman"/>
                <w:b/>
                <w:bCs/>
                <w:color w:val="000000"/>
                <w:lang w:val="en-GB" w:eastAsia="en-GB"/>
              </w:rPr>
            </w:pPr>
            <w:r w:rsidRPr="00787333">
              <w:rPr>
                <w:rFonts w:ascii="Calibri" w:eastAsia="Times New Roman" w:hAnsi="Calibri" w:cs="Times New Roman"/>
                <w:b/>
                <w:bCs/>
                <w:color w:val="000000"/>
                <w:lang w:val="en-GB" w:eastAsia="en-GB"/>
              </w:rPr>
              <w:t>District</w:t>
            </w:r>
          </w:p>
        </w:tc>
        <w:tc>
          <w:tcPr>
            <w:tcW w:w="2116" w:type="dxa"/>
            <w:tcBorders>
              <w:top w:val="nil"/>
              <w:bottom w:val="single" w:sz="4" w:space="0" w:color="auto"/>
            </w:tcBorders>
            <w:shd w:val="clear" w:color="auto" w:fill="auto"/>
            <w:vAlign w:val="center"/>
            <w:hideMark/>
          </w:tcPr>
          <w:p w14:paraId="07A4F4AF" w14:textId="634DA9DA" w:rsidR="00787333" w:rsidRPr="00787333" w:rsidRDefault="00787333" w:rsidP="00F97E87">
            <w:pPr>
              <w:spacing w:after="0" w:line="240" w:lineRule="auto"/>
              <w:jc w:val="center"/>
              <w:rPr>
                <w:rFonts w:ascii="Calibri" w:eastAsia="Times New Roman" w:hAnsi="Calibri" w:cs="Times New Roman"/>
                <w:b/>
                <w:bCs/>
                <w:color w:val="000000"/>
                <w:lang w:val="en-GB" w:eastAsia="en-GB"/>
              </w:rPr>
            </w:pPr>
            <w:r w:rsidRPr="00787333">
              <w:rPr>
                <w:rFonts w:ascii="Calibri" w:eastAsia="Times New Roman" w:hAnsi="Calibri" w:cs="Times New Roman"/>
                <w:b/>
                <w:bCs/>
                <w:color w:val="000000"/>
                <w:lang w:val="en-GB" w:eastAsia="en-GB"/>
              </w:rPr>
              <w:t>IR (</w:t>
            </w:r>
            <w:r w:rsidR="00A336F2">
              <w:rPr>
                <w:rFonts w:ascii="Calibri" w:eastAsia="Times New Roman" w:hAnsi="Calibri" w:cs="Times New Roman"/>
                <w:b/>
                <w:bCs/>
                <w:color w:val="000000"/>
                <w:lang w:val="en-GB" w:eastAsia="en-GB"/>
              </w:rPr>
              <w:t xml:space="preserve">95% </w:t>
            </w:r>
            <w:r w:rsidRPr="00787333">
              <w:rPr>
                <w:rFonts w:ascii="Calibri" w:eastAsia="Times New Roman" w:hAnsi="Calibri" w:cs="Times New Roman"/>
                <w:b/>
                <w:bCs/>
                <w:color w:val="000000"/>
                <w:lang w:val="en-GB" w:eastAsia="en-GB"/>
              </w:rPr>
              <w:t>CI)</w:t>
            </w:r>
          </w:p>
        </w:tc>
        <w:tc>
          <w:tcPr>
            <w:tcW w:w="1329" w:type="dxa"/>
            <w:tcBorders>
              <w:top w:val="nil"/>
              <w:bottom w:val="single" w:sz="4" w:space="0" w:color="auto"/>
            </w:tcBorders>
            <w:shd w:val="clear" w:color="auto" w:fill="auto"/>
            <w:noWrap/>
            <w:vAlign w:val="center"/>
            <w:hideMark/>
          </w:tcPr>
          <w:p w14:paraId="5E4B8D9A" w14:textId="77777777" w:rsidR="00787333" w:rsidRPr="00787333" w:rsidRDefault="00787333" w:rsidP="00F97E87">
            <w:pPr>
              <w:spacing w:after="0" w:line="240" w:lineRule="auto"/>
              <w:jc w:val="center"/>
              <w:rPr>
                <w:rFonts w:ascii="Calibri" w:eastAsia="Times New Roman" w:hAnsi="Calibri" w:cs="Times New Roman"/>
                <w:b/>
                <w:bCs/>
                <w:color w:val="000000"/>
                <w:lang w:val="en-GB" w:eastAsia="en-GB"/>
              </w:rPr>
            </w:pPr>
            <w:r w:rsidRPr="00787333">
              <w:rPr>
                <w:rFonts w:ascii="Calibri" w:eastAsia="Times New Roman" w:hAnsi="Calibri" w:cs="Times New Roman"/>
                <w:b/>
                <w:bCs/>
                <w:color w:val="000000"/>
                <w:lang w:val="en-GB" w:eastAsia="en-GB"/>
              </w:rPr>
              <w:t>District</w:t>
            </w:r>
          </w:p>
        </w:tc>
        <w:tc>
          <w:tcPr>
            <w:tcW w:w="1869" w:type="dxa"/>
            <w:tcBorders>
              <w:top w:val="nil"/>
              <w:bottom w:val="single" w:sz="4" w:space="0" w:color="auto"/>
            </w:tcBorders>
            <w:shd w:val="clear" w:color="auto" w:fill="auto"/>
            <w:vAlign w:val="center"/>
            <w:hideMark/>
          </w:tcPr>
          <w:p w14:paraId="13843759" w14:textId="4E299B74" w:rsidR="00787333" w:rsidRPr="00787333" w:rsidRDefault="00787333" w:rsidP="00F97E87">
            <w:pPr>
              <w:spacing w:after="0" w:line="240" w:lineRule="auto"/>
              <w:jc w:val="center"/>
              <w:rPr>
                <w:rFonts w:ascii="Calibri" w:eastAsia="Times New Roman" w:hAnsi="Calibri" w:cs="Times New Roman"/>
                <w:b/>
                <w:bCs/>
                <w:color w:val="000000"/>
                <w:lang w:val="en-GB" w:eastAsia="en-GB"/>
              </w:rPr>
            </w:pPr>
            <w:r w:rsidRPr="00787333">
              <w:rPr>
                <w:rFonts w:ascii="Calibri" w:eastAsia="Times New Roman" w:hAnsi="Calibri" w:cs="Times New Roman"/>
                <w:b/>
                <w:bCs/>
                <w:color w:val="000000"/>
                <w:lang w:val="en-GB" w:eastAsia="en-GB"/>
              </w:rPr>
              <w:t>IR (</w:t>
            </w:r>
            <w:r w:rsidR="00A336F2">
              <w:rPr>
                <w:rFonts w:ascii="Calibri" w:eastAsia="Times New Roman" w:hAnsi="Calibri" w:cs="Times New Roman"/>
                <w:b/>
                <w:bCs/>
                <w:color w:val="000000"/>
                <w:lang w:val="en-GB" w:eastAsia="en-GB"/>
              </w:rPr>
              <w:t xml:space="preserve">95% </w:t>
            </w:r>
            <w:r w:rsidRPr="00787333">
              <w:rPr>
                <w:rFonts w:ascii="Calibri" w:eastAsia="Times New Roman" w:hAnsi="Calibri" w:cs="Times New Roman"/>
                <w:b/>
                <w:bCs/>
                <w:color w:val="000000"/>
                <w:lang w:val="en-GB" w:eastAsia="en-GB"/>
              </w:rPr>
              <w:t>CI)</w:t>
            </w:r>
          </w:p>
        </w:tc>
      </w:tr>
      <w:tr w:rsidR="00787333" w:rsidRPr="00787333" w14:paraId="1DC7AAE7" w14:textId="77777777" w:rsidTr="00A336F2">
        <w:trPr>
          <w:trHeight w:val="482"/>
        </w:trPr>
        <w:tc>
          <w:tcPr>
            <w:tcW w:w="2060" w:type="dxa"/>
            <w:vMerge w:val="restart"/>
            <w:tcBorders>
              <w:top w:val="single" w:sz="4" w:space="0" w:color="auto"/>
              <w:bottom w:val="nil"/>
            </w:tcBorders>
            <w:shd w:val="clear" w:color="auto" w:fill="auto"/>
            <w:noWrap/>
            <w:vAlign w:val="center"/>
            <w:hideMark/>
          </w:tcPr>
          <w:p w14:paraId="48F9CF87"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Acholi</w:t>
            </w:r>
          </w:p>
        </w:tc>
        <w:tc>
          <w:tcPr>
            <w:tcW w:w="1371" w:type="dxa"/>
            <w:tcBorders>
              <w:top w:val="single" w:sz="4" w:space="0" w:color="auto"/>
              <w:bottom w:val="nil"/>
            </w:tcBorders>
            <w:shd w:val="clear" w:color="auto" w:fill="auto"/>
            <w:noWrap/>
            <w:vAlign w:val="center"/>
            <w:hideMark/>
          </w:tcPr>
          <w:p w14:paraId="329B4257"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Lamwo</w:t>
            </w:r>
          </w:p>
        </w:tc>
        <w:tc>
          <w:tcPr>
            <w:tcW w:w="2116" w:type="dxa"/>
            <w:tcBorders>
              <w:top w:val="single" w:sz="4" w:space="0" w:color="auto"/>
              <w:bottom w:val="nil"/>
            </w:tcBorders>
            <w:shd w:val="clear" w:color="auto" w:fill="auto"/>
            <w:noWrap/>
            <w:vAlign w:val="bottom"/>
            <w:hideMark/>
          </w:tcPr>
          <w:p w14:paraId="094CC459"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167.6 (165.6 - 169.8)</w:t>
            </w:r>
          </w:p>
        </w:tc>
        <w:tc>
          <w:tcPr>
            <w:tcW w:w="1329" w:type="dxa"/>
            <w:tcBorders>
              <w:top w:val="single" w:sz="4" w:space="0" w:color="auto"/>
              <w:bottom w:val="nil"/>
            </w:tcBorders>
            <w:shd w:val="clear" w:color="auto" w:fill="auto"/>
            <w:noWrap/>
            <w:vAlign w:val="center"/>
            <w:hideMark/>
          </w:tcPr>
          <w:p w14:paraId="61153B69"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Lamwo</w:t>
            </w:r>
          </w:p>
        </w:tc>
        <w:tc>
          <w:tcPr>
            <w:tcW w:w="1869" w:type="dxa"/>
            <w:tcBorders>
              <w:top w:val="single" w:sz="4" w:space="0" w:color="auto"/>
              <w:bottom w:val="nil"/>
            </w:tcBorders>
            <w:shd w:val="clear" w:color="auto" w:fill="auto"/>
            <w:noWrap/>
            <w:vAlign w:val="center"/>
            <w:hideMark/>
          </w:tcPr>
          <w:p w14:paraId="06950403"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36.4 (35.9 - 37.0)</w:t>
            </w:r>
          </w:p>
        </w:tc>
      </w:tr>
      <w:tr w:rsidR="00787333" w:rsidRPr="00787333" w14:paraId="6AE79213" w14:textId="77777777" w:rsidTr="00A336F2">
        <w:trPr>
          <w:trHeight w:val="482"/>
        </w:trPr>
        <w:tc>
          <w:tcPr>
            <w:tcW w:w="2060" w:type="dxa"/>
            <w:vMerge/>
            <w:tcBorders>
              <w:top w:val="nil"/>
              <w:bottom w:val="nil"/>
            </w:tcBorders>
            <w:vAlign w:val="center"/>
            <w:hideMark/>
          </w:tcPr>
          <w:p w14:paraId="0FF42228" w14:textId="77777777" w:rsidR="00787333" w:rsidRPr="00787333" w:rsidRDefault="00787333" w:rsidP="00F97E87">
            <w:pPr>
              <w:spacing w:after="0" w:line="240" w:lineRule="auto"/>
              <w:rPr>
                <w:rFonts w:ascii="Calibri" w:eastAsia="Times New Roman" w:hAnsi="Calibri" w:cs="Times New Roman"/>
                <w:color w:val="000000"/>
                <w:lang w:val="en-GB" w:eastAsia="en-GB"/>
              </w:rPr>
            </w:pPr>
          </w:p>
        </w:tc>
        <w:tc>
          <w:tcPr>
            <w:tcW w:w="1371" w:type="dxa"/>
            <w:tcBorders>
              <w:top w:val="nil"/>
              <w:bottom w:val="nil"/>
            </w:tcBorders>
            <w:shd w:val="clear" w:color="auto" w:fill="auto"/>
            <w:noWrap/>
            <w:vAlign w:val="center"/>
            <w:hideMark/>
          </w:tcPr>
          <w:p w14:paraId="23CF21E3"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Amuru</w:t>
            </w:r>
          </w:p>
        </w:tc>
        <w:tc>
          <w:tcPr>
            <w:tcW w:w="2116" w:type="dxa"/>
            <w:tcBorders>
              <w:top w:val="nil"/>
              <w:bottom w:val="nil"/>
            </w:tcBorders>
            <w:shd w:val="clear" w:color="auto" w:fill="auto"/>
            <w:noWrap/>
            <w:vAlign w:val="bottom"/>
            <w:hideMark/>
          </w:tcPr>
          <w:p w14:paraId="5C53D4A2"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122.5 (118.4 - 138.0)</w:t>
            </w:r>
          </w:p>
        </w:tc>
        <w:tc>
          <w:tcPr>
            <w:tcW w:w="1329" w:type="dxa"/>
            <w:tcBorders>
              <w:top w:val="nil"/>
              <w:bottom w:val="nil"/>
            </w:tcBorders>
            <w:shd w:val="clear" w:color="auto" w:fill="auto"/>
            <w:noWrap/>
            <w:vAlign w:val="center"/>
            <w:hideMark/>
          </w:tcPr>
          <w:p w14:paraId="17113C85"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Amuru</w:t>
            </w:r>
          </w:p>
        </w:tc>
        <w:tc>
          <w:tcPr>
            <w:tcW w:w="1869" w:type="dxa"/>
            <w:tcBorders>
              <w:top w:val="nil"/>
              <w:bottom w:val="nil"/>
            </w:tcBorders>
            <w:shd w:val="clear" w:color="auto" w:fill="auto"/>
            <w:noWrap/>
            <w:vAlign w:val="center"/>
            <w:hideMark/>
          </w:tcPr>
          <w:p w14:paraId="0B4B82DA"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25.1 (24.2 - 28.2)</w:t>
            </w:r>
          </w:p>
        </w:tc>
      </w:tr>
      <w:tr w:rsidR="00787333" w:rsidRPr="00787333" w14:paraId="67F85230" w14:textId="77777777" w:rsidTr="00A336F2">
        <w:trPr>
          <w:trHeight w:val="482"/>
        </w:trPr>
        <w:tc>
          <w:tcPr>
            <w:tcW w:w="2060" w:type="dxa"/>
            <w:vMerge/>
            <w:tcBorders>
              <w:top w:val="nil"/>
              <w:bottom w:val="nil"/>
            </w:tcBorders>
            <w:vAlign w:val="center"/>
            <w:hideMark/>
          </w:tcPr>
          <w:p w14:paraId="50DBDB89" w14:textId="77777777" w:rsidR="00787333" w:rsidRPr="00787333" w:rsidRDefault="00787333" w:rsidP="00F97E87">
            <w:pPr>
              <w:spacing w:after="0" w:line="240" w:lineRule="auto"/>
              <w:rPr>
                <w:rFonts w:ascii="Calibri" w:eastAsia="Times New Roman" w:hAnsi="Calibri" w:cs="Times New Roman"/>
                <w:color w:val="000000"/>
                <w:lang w:val="en-GB" w:eastAsia="en-GB"/>
              </w:rPr>
            </w:pPr>
          </w:p>
        </w:tc>
        <w:tc>
          <w:tcPr>
            <w:tcW w:w="1371" w:type="dxa"/>
            <w:tcBorders>
              <w:top w:val="nil"/>
              <w:bottom w:val="nil"/>
            </w:tcBorders>
            <w:shd w:val="clear" w:color="auto" w:fill="auto"/>
            <w:noWrap/>
            <w:vAlign w:val="center"/>
            <w:hideMark/>
          </w:tcPr>
          <w:p w14:paraId="1D8201B2"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Nwoya</w:t>
            </w:r>
          </w:p>
        </w:tc>
        <w:tc>
          <w:tcPr>
            <w:tcW w:w="2116" w:type="dxa"/>
            <w:tcBorders>
              <w:top w:val="nil"/>
              <w:bottom w:val="nil"/>
            </w:tcBorders>
            <w:shd w:val="clear" w:color="auto" w:fill="auto"/>
            <w:noWrap/>
            <w:vAlign w:val="bottom"/>
            <w:hideMark/>
          </w:tcPr>
          <w:p w14:paraId="1F87C4DC"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118.8 (117.2 - 120.3)</w:t>
            </w:r>
          </w:p>
        </w:tc>
        <w:tc>
          <w:tcPr>
            <w:tcW w:w="1329" w:type="dxa"/>
            <w:tcBorders>
              <w:top w:val="nil"/>
              <w:bottom w:val="nil"/>
            </w:tcBorders>
            <w:shd w:val="clear" w:color="auto" w:fill="auto"/>
            <w:noWrap/>
            <w:vAlign w:val="center"/>
            <w:hideMark/>
          </w:tcPr>
          <w:p w14:paraId="3697F26E"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Pader</w:t>
            </w:r>
          </w:p>
        </w:tc>
        <w:tc>
          <w:tcPr>
            <w:tcW w:w="1869" w:type="dxa"/>
            <w:tcBorders>
              <w:top w:val="nil"/>
              <w:bottom w:val="nil"/>
            </w:tcBorders>
            <w:shd w:val="clear" w:color="auto" w:fill="auto"/>
            <w:noWrap/>
            <w:vAlign w:val="center"/>
            <w:hideMark/>
          </w:tcPr>
          <w:p w14:paraId="7E3C3CE0"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24.3 (23.2 - 28.7)</w:t>
            </w:r>
          </w:p>
        </w:tc>
      </w:tr>
      <w:tr w:rsidR="00787333" w:rsidRPr="00787333" w14:paraId="61149720" w14:textId="77777777" w:rsidTr="00A336F2">
        <w:trPr>
          <w:trHeight w:val="482"/>
        </w:trPr>
        <w:tc>
          <w:tcPr>
            <w:tcW w:w="2060" w:type="dxa"/>
            <w:vMerge/>
            <w:tcBorders>
              <w:top w:val="nil"/>
              <w:bottom w:val="single" w:sz="4" w:space="0" w:color="auto"/>
            </w:tcBorders>
            <w:vAlign w:val="center"/>
            <w:hideMark/>
          </w:tcPr>
          <w:p w14:paraId="3C75DC2C" w14:textId="77777777" w:rsidR="00787333" w:rsidRPr="00787333" w:rsidRDefault="00787333" w:rsidP="00F97E87">
            <w:pPr>
              <w:spacing w:after="0" w:line="240" w:lineRule="auto"/>
              <w:rPr>
                <w:rFonts w:ascii="Calibri" w:eastAsia="Times New Roman" w:hAnsi="Calibri" w:cs="Times New Roman"/>
                <w:color w:val="000000"/>
                <w:lang w:val="en-GB" w:eastAsia="en-GB"/>
              </w:rPr>
            </w:pPr>
          </w:p>
        </w:tc>
        <w:tc>
          <w:tcPr>
            <w:tcW w:w="1371" w:type="dxa"/>
            <w:tcBorders>
              <w:top w:val="nil"/>
              <w:bottom w:val="single" w:sz="4" w:space="0" w:color="auto"/>
            </w:tcBorders>
            <w:shd w:val="clear" w:color="auto" w:fill="auto"/>
            <w:noWrap/>
            <w:vAlign w:val="center"/>
            <w:hideMark/>
          </w:tcPr>
          <w:p w14:paraId="108C4A92"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Pader</w:t>
            </w:r>
          </w:p>
        </w:tc>
        <w:tc>
          <w:tcPr>
            <w:tcW w:w="2116" w:type="dxa"/>
            <w:tcBorders>
              <w:top w:val="nil"/>
              <w:bottom w:val="single" w:sz="4" w:space="0" w:color="auto"/>
            </w:tcBorders>
            <w:shd w:val="clear" w:color="auto" w:fill="auto"/>
            <w:noWrap/>
            <w:vAlign w:val="bottom"/>
            <w:hideMark/>
          </w:tcPr>
          <w:p w14:paraId="71157A8F"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117.3 (111.5 - 118.2)</w:t>
            </w:r>
          </w:p>
        </w:tc>
        <w:tc>
          <w:tcPr>
            <w:tcW w:w="1329" w:type="dxa"/>
            <w:tcBorders>
              <w:top w:val="nil"/>
              <w:bottom w:val="single" w:sz="4" w:space="0" w:color="auto"/>
            </w:tcBorders>
            <w:shd w:val="clear" w:color="auto" w:fill="auto"/>
            <w:noWrap/>
            <w:vAlign w:val="center"/>
            <w:hideMark/>
          </w:tcPr>
          <w:p w14:paraId="600BB0A4"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Nwoya</w:t>
            </w:r>
          </w:p>
        </w:tc>
        <w:tc>
          <w:tcPr>
            <w:tcW w:w="1869" w:type="dxa"/>
            <w:tcBorders>
              <w:top w:val="nil"/>
              <w:bottom w:val="single" w:sz="4" w:space="0" w:color="auto"/>
            </w:tcBorders>
            <w:shd w:val="clear" w:color="auto" w:fill="auto"/>
            <w:noWrap/>
            <w:vAlign w:val="center"/>
            <w:hideMark/>
          </w:tcPr>
          <w:p w14:paraId="3B84649C"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23.9 (23.5 - 24.3)</w:t>
            </w:r>
          </w:p>
        </w:tc>
      </w:tr>
      <w:tr w:rsidR="00787333" w:rsidRPr="00787333" w14:paraId="1300B4E1" w14:textId="77777777" w:rsidTr="00A336F2">
        <w:trPr>
          <w:trHeight w:val="482"/>
        </w:trPr>
        <w:tc>
          <w:tcPr>
            <w:tcW w:w="2060" w:type="dxa"/>
            <w:vMerge w:val="restart"/>
            <w:tcBorders>
              <w:top w:val="single" w:sz="4" w:space="0" w:color="auto"/>
              <w:bottom w:val="nil"/>
            </w:tcBorders>
            <w:shd w:val="clear" w:color="auto" w:fill="auto"/>
            <w:noWrap/>
            <w:vAlign w:val="center"/>
            <w:hideMark/>
          </w:tcPr>
          <w:p w14:paraId="6DF69A63"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West Nile</w:t>
            </w:r>
          </w:p>
        </w:tc>
        <w:tc>
          <w:tcPr>
            <w:tcW w:w="1371" w:type="dxa"/>
            <w:tcBorders>
              <w:top w:val="single" w:sz="4" w:space="0" w:color="auto"/>
              <w:bottom w:val="nil"/>
            </w:tcBorders>
            <w:shd w:val="clear" w:color="auto" w:fill="auto"/>
            <w:noWrap/>
            <w:vAlign w:val="center"/>
            <w:hideMark/>
          </w:tcPr>
          <w:p w14:paraId="288DBA28"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Moyo</w:t>
            </w:r>
          </w:p>
        </w:tc>
        <w:tc>
          <w:tcPr>
            <w:tcW w:w="2116" w:type="dxa"/>
            <w:tcBorders>
              <w:top w:val="single" w:sz="4" w:space="0" w:color="auto"/>
              <w:bottom w:val="nil"/>
            </w:tcBorders>
            <w:shd w:val="clear" w:color="auto" w:fill="auto"/>
            <w:noWrap/>
            <w:vAlign w:val="bottom"/>
            <w:hideMark/>
          </w:tcPr>
          <w:p w14:paraId="602B637A"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192.5 (189.9 - 195.1)</w:t>
            </w:r>
          </w:p>
        </w:tc>
        <w:tc>
          <w:tcPr>
            <w:tcW w:w="1329" w:type="dxa"/>
            <w:tcBorders>
              <w:top w:val="single" w:sz="4" w:space="0" w:color="auto"/>
              <w:bottom w:val="nil"/>
            </w:tcBorders>
            <w:shd w:val="clear" w:color="auto" w:fill="auto"/>
            <w:noWrap/>
            <w:vAlign w:val="center"/>
            <w:hideMark/>
          </w:tcPr>
          <w:p w14:paraId="7B941C14"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Moyo</w:t>
            </w:r>
          </w:p>
        </w:tc>
        <w:tc>
          <w:tcPr>
            <w:tcW w:w="1869" w:type="dxa"/>
            <w:tcBorders>
              <w:top w:val="single" w:sz="4" w:space="0" w:color="auto"/>
              <w:bottom w:val="nil"/>
            </w:tcBorders>
            <w:shd w:val="clear" w:color="auto" w:fill="auto"/>
            <w:noWrap/>
            <w:vAlign w:val="center"/>
            <w:hideMark/>
          </w:tcPr>
          <w:p w14:paraId="7C062685"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48.0 (47.2 - 48.8)</w:t>
            </w:r>
          </w:p>
        </w:tc>
      </w:tr>
      <w:tr w:rsidR="00787333" w:rsidRPr="00787333" w14:paraId="4B4C3463" w14:textId="77777777" w:rsidTr="00A336F2">
        <w:trPr>
          <w:trHeight w:val="482"/>
        </w:trPr>
        <w:tc>
          <w:tcPr>
            <w:tcW w:w="2060" w:type="dxa"/>
            <w:vMerge/>
            <w:tcBorders>
              <w:top w:val="nil"/>
              <w:bottom w:val="nil"/>
            </w:tcBorders>
            <w:vAlign w:val="center"/>
            <w:hideMark/>
          </w:tcPr>
          <w:p w14:paraId="1D27D942" w14:textId="77777777" w:rsidR="00787333" w:rsidRPr="00787333" w:rsidRDefault="00787333" w:rsidP="00F97E87">
            <w:pPr>
              <w:spacing w:after="0" w:line="240" w:lineRule="auto"/>
              <w:rPr>
                <w:rFonts w:ascii="Calibri" w:eastAsia="Times New Roman" w:hAnsi="Calibri" w:cs="Times New Roman"/>
                <w:color w:val="000000"/>
                <w:lang w:val="en-GB" w:eastAsia="en-GB"/>
              </w:rPr>
            </w:pPr>
          </w:p>
        </w:tc>
        <w:tc>
          <w:tcPr>
            <w:tcW w:w="1371" w:type="dxa"/>
            <w:tcBorders>
              <w:top w:val="nil"/>
              <w:bottom w:val="nil"/>
            </w:tcBorders>
            <w:shd w:val="clear" w:color="auto" w:fill="auto"/>
            <w:noWrap/>
            <w:vAlign w:val="center"/>
            <w:hideMark/>
          </w:tcPr>
          <w:p w14:paraId="1CC67153"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Adjumani</w:t>
            </w:r>
          </w:p>
        </w:tc>
        <w:tc>
          <w:tcPr>
            <w:tcW w:w="2116" w:type="dxa"/>
            <w:tcBorders>
              <w:top w:val="nil"/>
              <w:bottom w:val="nil"/>
            </w:tcBorders>
            <w:shd w:val="clear" w:color="auto" w:fill="auto"/>
            <w:noWrap/>
            <w:vAlign w:val="bottom"/>
            <w:hideMark/>
          </w:tcPr>
          <w:p w14:paraId="03F64769"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145.0 (143.5 - 146.4)</w:t>
            </w:r>
          </w:p>
        </w:tc>
        <w:tc>
          <w:tcPr>
            <w:tcW w:w="1329" w:type="dxa"/>
            <w:tcBorders>
              <w:top w:val="nil"/>
              <w:bottom w:val="nil"/>
            </w:tcBorders>
            <w:shd w:val="clear" w:color="auto" w:fill="auto"/>
            <w:noWrap/>
            <w:vAlign w:val="center"/>
            <w:hideMark/>
          </w:tcPr>
          <w:p w14:paraId="1A1E3AD9"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Adjumani</w:t>
            </w:r>
          </w:p>
        </w:tc>
        <w:tc>
          <w:tcPr>
            <w:tcW w:w="1869" w:type="dxa"/>
            <w:tcBorders>
              <w:top w:val="nil"/>
              <w:bottom w:val="nil"/>
            </w:tcBorders>
            <w:shd w:val="clear" w:color="auto" w:fill="auto"/>
            <w:noWrap/>
            <w:vAlign w:val="center"/>
            <w:hideMark/>
          </w:tcPr>
          <w:p w14:paraId="14C4570C"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35.2 (34.8 - 35.7)</w:t>
            </w:r>
          </w:p>
        </w:tc>
      </w:tr>
      <w:tr w:rsidR="00787333" w:rsidRPr="00787333" w14:paraId="47E17BD0" w14:textId="77777777" w:rsidTr="00A336F2">
        <w:trPr>
          <w:trHeight w:val="482"/>
        </w:trPr>
        <w:tc>
          <w:tcPr>
            <w:tcW w:w="2060" w:type="dxa"/>
            <w:vMerge/>
            <w:tcBorders>
              <w:top w:val="nil"/>
              <w:bottom w:val="nil"/>
            </w:tcBorders>
            <w:vAlign w:val="center"/>
            <w:hideMark/>
          </w:tcPr>
          <w:p w14:paraId="45828950" w14:textId="77777777" w:rsidR="00787333" w:rsidRPr="00787333" w:rsidRDefault="00787333" w:rsidP="00F97E87">
            <w:pPr>
              <w:spacing w:after="0" w:line="240" w:lineRule="auto"/>
              <w:rPr>
                <w:rFonts w:ascii="Calibri" w:eastAsia="Times New Roman" w:hAnsi="Calibri" w:cs="Times New Roman"/>
                <w:color w:val="000000"/>
                <w:lang w:val="en-GB" w:eastAsia="en-GB"/>
              </w:rPr>
            </w:pPr>
          </w:p>
        </w:tc>
        <w:tc>
          <w:tcPr>
            <w:tcW w:w="1371" w:type="dxa"/>
            <w:tcBorders>
              <w:top w:val="nil"/>
              <w:bottom w:val="nil"/>
            </w:tcBorders>
            <w:shd w:val="clear" w:color="auto" w:fill="auto"/>
            <w:noWrap/>
            <w:vAlign w:val="center"/>
            <w:hideMark/>
          </w:tcPr>
          <w:p w14:paraId="3BDAA99D"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Maracha</w:t>
            </w:r>
          </w:p>
        </w:tc>
        <w:tc>
          <w:tcPr>
            <w:tcW w:w="2116" w:type="dxa"/>
            <w:tcBorders>
              <w:top w:val="nil"/>
              <w:bottom w:val="nil"/>
            </w:tcBorders>
            <w:shd w:val="clear" w:color="auto" w:fill="auto"/>
            <w:noWrap/>
            <w:vAlign w:val="bottom"/>
            <w:hideMark/>
          </w:tcPr>
          <w:p w14:paraId="4EA9C6EC"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100.8 (99.3 - 102.4)</w:t>
            </w:r>
          </w:p>
        </w:tc>
        <w:tc>
          <w:tcPr>
            <w:tcW w:w="1329" w:type="dxa"/>
            <w:tcBorders>
              <w:top w:val="nil"/>
              <w:bottom w:val="nil"/>
            </w:tcBorders>
            <w:shd w:val="clear" w:color="auto" w:fill="auto"/>
            <w:noWrap/>
            <w:vAlign w:val="center"/>
            <w:hideMark/>
          </w:tcPr>
          <w:p w14:paraId="6241323C"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Maracha</w:t>
            </w:r>
          </w:p>
        </w:tc>
        <w:tc>
          <w:tcPr>
            <w:tcW w:w="1869" w:type="dxa"/>
            <w:tcBorders>
              <w:top w:val="nil"/>
              <w:bottom w:val="nil"/>
            </w:tcBorders>
            <w:shd w:val="clear" w:color="auto" w:fill="auto"/>
            <w:noWrap/>
            <w:vAlign w:val="center"/>
            <w:hideMark/>
          </w:tcPr>
          <w:p w14:paraId="7A311437"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24.4 (24.1 - 24.8)</w:t>
            </w:r>
          </w:p>
        </w:tc>
      </w:tr>
      <w:tr w:rsidR="00787333" w:rsidRPr="00787333" w14:paraId="33F2A785" w14:textId="77777777" w:rsidTr="00A336F2">
        <w:trPr>
          <w:trHeight w:val="482"/>
        </w:trPr>
        <w:tc>
          <w:tcPr>
            <w:tcW w:w="2060" w:type="dxa"/>
            <w:vMerge/>
            <w:tcBorders>
              <w:top w:val="nil"/>
              <w:bottom w:val="single" w:sz="4" w:space="0" w:color="auto"/>
            </w:tcBorders>
            <w:vAlign w:val="center"/>
            <w:hideMark/>
          </w:tcPr>
          <w:p w14:paraId="3057C1E4" w14:textId="77777777" w:rsidR="00787333" w:rsidRPr="00787333" w:rsidRDefault="00787333" w:rsidP="00F97E87">
            <w:pPr>
              <w:spacing w:after="0" w:line="240" w:lineRule="auto"/>
              <w:rPr>
                <w:rFonts w:ascii="Calibri" w:eastAsia="Times New Roman" w:hAnsi="Calibri" w:cs="Times New Roman"/>
                <w:color w:val="000000"/>
                <w:lang w:val="en-GB" w:eastAsia="en-GB"/>
              </w:rPr>
            </w:pPr>
          </w:p>
        </w:tc>
        <w:tc>
          <w:tcPr>
            <w:tcW w:w="1371" w:type="dxa"/>
            <w:tcBorders>
              <w:top w:val="nil"/>
              <w:bottom w:val="single" w:sz="4" w:space="0" w:color="auto"/>
            </w:tcBorders>
            <w:shd w:val="clear" w:color="auto" w:fill="auto"/>
            <w:noWrap/>
            <w:vAlign w:val="center"/>
            <w:hideMark/>
          </w:tcPr>
          <w:p w14:paraId="31B60DD0"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Koboko</w:t>
            </w:r>
          </w:p>
        </w:tc>
        <w:tc>
          <w:tcPr>
            <w:tcW w:w="2116" w:type="dxa"/>
            <w:tcBorders>
              <w:top w:val="nil"/>
              <w:bottom w:val="single" w:sz="4" w:space="0" w:color="auto"/>
            </w:tcBorders>
            <w:shd w:val="clear" w:color="auto" w:fill="auto"/>
            <w:noWrap/>
            <w:vAlign w:val="bottom"/>
            <w:hideMark/>
          </w:tcPr>
          <w:p w14:paraId="303CB111"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68.5 (67.8 - 69.3)</w:t>
            </w:r>
          </w:p>
        </w:tc>
        <w:tc>
          <w:tcPr>
            <w:tcW w:w="1329" w:type="dxa"/>
            <w:tcBorders>
              <w:top w:val="nil"/>
              <w:bottom w:val="single" w:sz="4" w:space="0" w:color="auto"/>
            </w:tcBorders>
            <w:shd w:val="clear" w:color="auto" w:fill="auto"/>
            <w:noWrap/>
            <w:vAlign w:val="center"/>
            <w:hideMark/>
          </w:tcPr>
          <w:p w14:paraId="23619E1D"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Pakwach</w:t>
            </w:r>
          </w:p>
        </w:tc>
        <w:tc>
          <w:tcPr>
            <w:tcW w:w="1869" w:type="dxa"/>
            <w:tcBorders>
              <w:top w:val="nil"/>
              <w:bottom w:val="single" w:sz="4" w:space="0" w:color="auto"/>
            </w:tcBorders>
            <w:shd w:val="clear" w:color="auto" w:fill="auto"/>
            <w:noWrap/>
            <w:vAlign w:val="center"/>
            <w:hideMark/>
          </w:tcPr>
          <w:p w14:paraId="72FB7634"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17.2 (16.9 - 17.7)</w:t>
            </w:r>
          </w:p>
        </w:tc>
      </w:tr>
      <w:tr w:rsidR="00787333" w:rsidRPr="00787333" w14:paraId="60126E90" w14:textId="77777777" w:rsidTr="00A336F2">
        <w:trPr>
          <w:trHeight w:val="482"/>
        </w:trPr>
        <w:tc>
          <w:tcPr>
            <w:tcW w:w="2060" w:type="dxa"/>
            <w:vMerge w:val="restart"/>
            <w:tcBorders>
              <w:top w:val="single" w:sz="4" w:space="0" w:color="auto"/>
              <w:bottom w:val="nil"/>
            </w:tcBorders>
            <w:shd w:val="clear" w:color="auto" w:fill="auto"/>
            <w:noWrap/>
            <w:vAlign w:val="center"/>
            <w:hideMark/>
          </w:tcPr>
          <w:p w14:paraId="7F117241"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Karamoja</w:t>
            </w:r>
          </w:p>
        </w:tc>
        <w:tc>
          <w:tcPr>
            <w:tcW w:w="1371" w:type="dxa"/>
            <w:tcBorders>
              <w:top w:val="single" w:sz="4" w:space="0" w:color="auto"/>
              <w:bottom w:val="nil"/>
            </w:tcBorders>
            <w:shd w:val="clear" w:color="auto" w:fill="auto"/>
            <w:noWrap/>
            <w:vAlign w:val="center"/>
            <w:hideMark/>
          </w:tcPr>
          <w:p w14:paraId="5B5918C1"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Kaabong</w:t>
            </w:r>
          </w:p>
        </w:tc>
        <w:tc>
          <w:tcPr>
            <w:tcW w:w="2116" w:type="dxa"/>
            <w:tcBorders>
              <w:top w:val="single" w:sz="4" w:space="0" w:color="auto"/>
              <w:bottom w:val="nil"/>
            </w:tcBorders>
            <w:shd w:val="clear" w:color="auto" w:fill="auto"/>
            <w:noWrap/>
            <w:vAlign w:val="bottom"/>
            <w:hideMark/>
          </w:tcPr>
          <w:p w14:paraId="041788BF"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81.1 (79.6 - 82.5)</w:t>
            </w:r>
          </w:p>
        </w:tc>
        <w:tc>
          <w:tcPr>
            <w:tcW w:w="1329" w:type="dxa"/>
            <w:tcBorders>
              <w:top w:val="single" w:sz="4" w:space="0" w:color="auto"/>
              <w:bottom w:val="nil"/>
            </w:tcBorders>
            <w:shd w:val="clear" w:color="auto" w:fill="auto"/>
            <w:noWrap/>
            <w:vAlign w:val="center"/>
            <w:hideMark/>
          </w:tcPr>
          <w:p w14:paraId="15E5B8B1"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Moroto</w:t>
            </w:r>
          </w:p>
        </w:tc>
        <w:tc>
          <w:tcPr>
            <w:tcW w:w="1869" w:type="dxa"/>
            <w:tcBorders>
              <w:top w:val="single" w:sz="4" w:space="0" w:color="auto"/>
              <w:bottom w:val="nil"/>
            </w:tcBorders>
            <w:shd w:val="clear" w:color="auto" w:fill="auto"/>
            <w:noWrap/>
            <w:vAlign w:val="center"/>
            <w:hideMark/>
          </w:tcPr>
          <w:p w14:paraId="28EB25B6"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23.9 (23.4 - 24.4)</w:t>
            </w:r>
          </w:p>
        </w:tc>
      </w:tr>
      <w:tr w:rsidR="00787333" w:rsidRPr="00787333" w14:paraId="007EB948" w14:textId="77777777" w:rsidTr="00A336F2">
        <w:trPr>
          <w:trHeight w:val="482"/>
        </w:trPr>
        <w:tc>
          <w:tcPr>
            <w:tcW w:w="2060" w:type="dxa"/>
            <w:vMerge/>
            <w:tcBorders>
              <w:top w:val="nil"/>
              <w:bottom w:val="nil"/>
            </w:tcBorders>
            <w:vAlign w:val="center"/>
            <w:hideMark/>
          </w:tcPr>
          <w:p w14:paraId="3E287409" w14:textId="77777777" w:rsidR="00787333" w:rsidRPr="00787333" w:rsidRDefault="00787333" w:rsidP="00F97E87">
            <w:pPr>
              <w:spacing w:after="0" w:line="240" w:lineRule="auto"/>
              <w:rPr>
                <w:rFonts w:ascii="Calibri" w:eastAsia="Times New Roman" w:hAnsi="Calibri" w:cs="Times New Roman"/>
                <w:color w:val="000000"/>
                <w:lang w:val="en-GB" w:eastAsia="en-GB"/>
              </w:rPr>
            </w:pPr>
          </w:p>
        </w:tc>
        <w:tc>
          <w:tcPr>
            <w:tcW w:w="1371" w:type="dxa"/>
            <w:tcBorders>
              <w:top w:val="nil"/>
              <w:bottom w:val="nil"/>
            </w:tcBorders>
            <w:shd w:val="clear" w:color="auto" w:fill="auto"/>
            <w:noWrap/>
            <w:vAlign w:val="center"/>
            <w:hideMark/>
          </w:tcPr>
          <w:p w14:paraId="30F8626D"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Moroto</w:t>
            </w:r>
          </w:p>
        </w:tc>
        <w:tc>
          <w:tcPr>
            <w:tcW w:w="2116" w:type="dxa"/>
            <w:tcBorders>
              <w:top w:val="nil"/>
              <w:bottom w:val="nil"/>
            </w:tcBorders>
            <w:shd w:val="clear" w:color="auto" w:fill="auto"/>
            <w:noWrap/>
            <w:vAlign w:val="bottom"/>
            <w:hideMark/>
          </w:tcPr>
          <w:p w14:paraId="43E4AB51"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80.2 (78.7 - 81.7)</w:t>
            </w:r>
          </w:p>
        </w:tc>
        <w:tc>
          <w:tcPr>
            <w:tcW w:w="1329" w:type="dxa"/>
            <w:tcBorders>
              <w:top w:val="nil"/>
              <w:bottom w:val="nil"/>
            </w:tcBorders>
            <w:shd w:val="clear" w:color="auto" w:fill="auto"/>
            <w:noWrap/>
            <w:vAlign w:val="center"/>
            <w:hideMark/>
          </w:tcPr>
          <w:p w14:paraId="368D1359"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Kaabong</w:t>
            </w:r>
          </w:p>
        </w:tc>
        <w:tc>
          <w:tcPr>
            <w:tcW w:w="1869" w:type="dxa"/>
            <w:tcBorders>
              <w:top w:val="nil"/>
              <w:bottom w:val="nil"/>
            </w:tcBorders>
            <w:shd w:val="clear" w:color="auto" w:fill="auto"/>
            <w:noWrap/>
            <w:vAlign w:val="center"/>
            <w:hideMark/>
          </w:tcPr>
          <w:p w14:paraId="5D2C1DC3"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21.0 (20.6 - 21.4)</w:t>
            </w:r>
          </w:p>
        </w:tc>
      </w:tr>
      <w:tr w:rsidR="00787333" w:rsidRPr="00787333" w14:paraId="7A7D6551" w14:textId="77777777" w:rsidTr="00A336F2">
        <w:trPr>
          <w:trHeight w:val="482"/>
        </w:trPr>
        <w:tc>
          <w:tcPr>
            <w:tcW w:w="2060" w:type="dxa"/>
            <w:vMerge/>
            <w:tcBorders>
              <w:top w:val="nil"/>
              <w:bottom w:val="nil"/>
            </w:tcBorders>
            <w:vAlign w:val="center"/>
            <w:hideMark/>
          </w:tcPr>
          <w:p w14:paraId="1896A0CD" w14:textId="77777777" w:rsidR="00787333" w:rsidRPr="00787333" w:rsidRDefault="00787333" w:rsidP="00F97E87">
            <w:pPr>
              <w:spacing w:after="0" w:line="240" w:lineRule="auto"/>
              <w:rPr>
                <w:rFonts w:ascii="Calibri" w:eastAsia="Times New Roman" w:hAnsi="Calibri" w:cs="Times New Roman"/>
                <w:color w:val="000000"/>
                <w:lang w:val="en-GB" w:eastAsia="en-GB"/>
              </w:rPr>
            </w:pPr>
          </w:p>
        </w:tc>
        <w:tc>
          <w:tcPr>
            <w:tcW w:w="1371" w:type="dxa"/>
            <w:tcBorders>
              <w:top w:val="nil"/>
              <w:bottom w:val="nil"/>
            </w:tcBorders>
            <w:shd w:val="clear" w:color="auto" w:fill="auto"/>
            <w:noWrap/>
            <w:vAlign w:val="center"/>
            <w:hideMark/>
          </w:tcPr>
          <w:p w14:paraId="65A3A14D"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Nakapiripirit</w:t>
            </w:r>
          </w:p>
        </w:tc>
        <w:tc>
          <w:tcPr>
            <w:tcW w:w="2116" w:type="dxa"/>
            <w:tcBorders>
              <w:top w:val="nil"/>
              <w:bottom w:val="nil"/>
            </w:tcBorders>
            <w:shd w:val="clear" w:color="auto" w:fill="auto"/>
            <w:noWrap/>
            <w:vAlign w:val="bottom"/>
            <w:hideMark/>
          </w:tcPr>
          <w:p w14:paraId="51700198"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52.4 (51.5 - 53.3)</w:t>
            </w:r>
          </w:p>
        </w:tc>
        <w:tc>
          <w:tcPr>
            <w:tcW w:w="1329" w:type="dxa"/>
            <w:tcBorders>
              <w:top w:val="nil"/>
              <w:bottom w:val="nil"/>
            </w:tcBorders>
            <w:shd w:val="clear" w:color="auto" w:fill="auto"/>
            <w:noWrap/>
            <w:vAlign w:val="center"/>
            <w:hideMark/>
          </w:tcPr>
          <w:p w14:paraId="50F9F4B1"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Kotido</w:t>
            </w:r>
          </w:p>
        </w:tc>
        <w:tc>
          <w:tcPr>
            <w:tcW w:w="1869" w:type="dxa"/>
            <w:tcBorders>
              <w:top w:val="nil"/>
              <w:bottom w:val="nil"/>
            </w:tcBorders>
            <w:shd w:val="clear" w:color="auto" w:fill="auto"/>
            <w:noWrap/>
            <w:vAlign w:val="center"/>
            <w:hideMark/>
          </w:tcPr>
          <w:p w14:paraId="202D074A"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12.6 (12.4 - 12.9)</w:t>
            </w:r>
          </w:p>
        </w:tc>
      </w:tr>
      <w:tr w:rsidR="00787333" w:rsidRPr="00787333" w14:paraId="0F1BD680" w14:textId="77777777" w:rsidTr="00A336F2">
        <w:trPr>
          <w:trHeight w:val="482"/>
        </w:trPr>
        <w:tc>
          <w:tcPr>
            <w:tcW w:w="2060" w:type="dxa"/>
            <w:vMerge/>
            <w:tcBorders>
              <w:top w:val="nil"/>
              <w:bottom w:val="single" w:sz="4" w:space="0" w:color="auto"/>
            </w:tcBorders>
            <w:vAlign w:val="center"/>
            <w:hideMark/>
          </w:tcPr>
          <w:p w14:paraId="37A4C08C" w14:textId="77777777" w:rsidR="00787333" w:rsidRPr="00787333" w:rsidRDefault="00787333" w:rsidP="00F97E87">
            <w:pPr>
              <w:spacing w:after="0" w:line="240" w:lineRule="auto"/>
              <w:rPr>
                <w:rFonts w:ascii="Calibri" w:eastAsia="Times New Roman" w:hAnsi="Calibri" w:cs="Times New Roman"/>
                <w:color w:val="000000"/>
                <w:lang w:val="en-GB" w:eastAsia="en-GB"/>
              </w:rPr>
            </w:pPr>
          </w:p>
        </w:tc>
        <w:tc>
          <w:tcPr>
            <w:tcW w:w="1371" w:type="dxa"/>
            <w:tcBorders>
              <w:top w:val="nil"/>
              <w:bottom w:val="single" w:sz="4" w:space="0" w:color="auto"/>
            </w:tcBorders>
            <w:shd w:val="clear" w:color="auto" w:fill="auto"/>
            <w:noWrap/>
            <w:vAlign w:val="center"/>
            <w:hideMark/>
          </w:tcPr>
          <w:p w14:paraId="467B98E5"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Abim</w:t>
            </w:r>
          </w:p>
        </w:tc>
        <w:tc>
          <w:tcPr>
            <w:tcW w:w="2116" w:type="dxa"/>
            <w:tcBorders>
              <w:top w:val="nil"/>
              <w:bottom w:val="single" w:sz="4" w:space="0" w:color="auto"/>
            </w:tcBorders>
            <w:shd w:val="clear" w:color="auto" w:fill="auto"/>
            <w:noWrap/>
            <w:vAlign w:val="bottom"/>
            <w:hideMark/>
          </w:tcPr>
          <w:p w14:paraId="0EA56176"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51.1 (50.1 -52.0)</w:t>
            </w:r>
          </w:p>
        </w:tc>
        <w:tc>
          <w:tcPr>
            <w:tcW w:w="1329" w:type="dxa"/>
            <w:tcBorders>
              <w:top w:val="nil"/>
              <w:bottom w:val="single" w:sz="4" w:space="0" w:color="auto"/>
            </w:tcBorders>
            <w:shd w:val="clear" w:color="auto" w:fill="auto"/>
            <w:noWrap/>
            <w:vAlign w:val="center"/>
            <w:hideMark/>
          </w:tcPr>
          <w:p w14:paraId="79989E4A"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Nakapiripirit</w:t>
            </w:r>
          </w:p>
        </w:tc>
        <w:tc>
          <w:tcPr>
            <w:tcW w:w="1869" w:type="dxa"/>
            <w:tcBorders>
              <w:top w:val="nil"/>
              <w:bottom w:val="single" w:sz="4" w:space="0" w:color="auto"/>
            </w:tcBorders>
            <w:shd w:val="clear" w:color="auto" w:fill="auto"/>
            <w:noWrap/>
            <w:vAlign w:val="center"/>
            <w:hideMark/>
          </w:tcPr>
          <w:p w14:paraId="6EFD8673"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11.1 (10.9 - 11.3)</w:t>
            </w:r>
          </w:p>
        </w:tc>
      </w:tr>
      <w:tr w:rsidR="00787333" w:rsidRPr="00787333" w14:paraId="2E62EC82" w14:textId="77777777" w:rsidTr="00A336F2">
        <w:trPr>
          <w:trHeight w:val="482"/>
        </w:trPr>
        <w:tc>
          <w:tcPr>
            <w:tcW w:w="2060" w:type="dxa"/>
            <w:vMerge w:val="restart"/>
            <w:tcBorders>
              <w:top w:val="single" w:sz="4" w:space="0" w:color="auto"/>
              <w:bottom w:val="nil"/>
            </w:tcBorders>
            <w:shd w:val="clear" w:color="auto" w:fill="auto"/>
            <w:noWrap/>
            <w:vAlign w:val="center"/>
            <w:hideMark/>
          </w:tcPr>
          <w:p w14:paraId="3A00B58E"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East Central - Busoga</w:t>
            </w:r>
          </w:p>
        </w:tc>
        <w:tc>
          <w:tcPr>
            <w:tcW w:w="1371" w:type="dxa"/>
            <w:tcBorders>
              <w:top w:val="single" w:sz="4" w:space="0" w:color="auto"/>
              <w:bottom w:val="nil"/>
            </w:tcBorders>
            <w:shd w:val="clear" w:color="auto" w:fill="auto"/>
            <w:noWrap/>
            <w:vAlign w:val="center"/>
            <w:hideMark/>
          </w:tcPr>
          <w:p w14:paraId="4841E63F"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Namayingo</w:t>
            </w:r>
          </w:p>
        </w:tc>
        <w:tc>
          <w:tcPr>
            <w:tcW w:w="2116" w:type="dxa"/>
            <w:tcBorders>
              <w:top w:val="single" w:sz="4" w:space="0" w:color="auto"/>
              <w:bottom w:val="nil"/>
            </w:tcBorders>
            <w:shd w:val="clear" w:color="auto" w:fill="auto"/>
            <w:noWrap/>
            <w:vAlign w:val="bottom"/>
            <w:hideMark/>
          </w:tcPr>
          <w:p w14:paraId="232ADAAD"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73.1 (71.9 - 75.0)</w:t>
            </w:r>
          </w:p>
        </w:tc>
        <w:tc>
          <w:tcPr>
            <w:tcW w:w="1329" w:type="dxa"/>
            <w:tcBorders>
              <w:top w:val="single" w:sz="4" w:space="0" w:color="auto"/>
              <w:bottom w:val="nil"/>
            </w:tcBorders>
            <w:shd w:val="clear" w:color="auto" w:fill="auto"/>
            <w:noWrap/>
            <w:vAlign w:val="center"/>
            <w:hideMark/>
          </w:tcPr>
          <w:p w14:paraId="3E13E5E1"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Namayingo</w:t>
            </w:r>
          </w:p>
        </w:tc>
        <w:tc>
          <w:tcPr>
            <w:tcW w:w="1869" w:type="dxa"/>
            <w:tcBorders>
              <w:top w:val="single" w:sz="4" w:space="0" w:color="auto"/>
              <w:bottom w:val="nil"/>
            </w:tcBorders>
            <w:shd w:val="clear" w:color="auto" w:fill="auto"/>
            <w:noWrap/>
            <w:vAlign w:val="center"/>
            <w:hideMark/>
          </w:tcPr>
          <w:p w14:paraId="1C66CA13"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19.1 (18.7 - 19.6)</w:t>
            </w:r>
          </w:p>
        </w:tc>
      </w:tr>
      <w:tr w:rsidR="00787333" w:rsidRPr="00787333" w14:paraId="34895BDC" w14:textId="77777777" w:rsidTr="00A336F2">
        <w:trPr>
          <w:trHeight w:val="482"/>
        </w:trPr>
        <w:tc>
          <w:tcPr>
            <w:tcW w:w="2060" w:type="dxa"/>
            <w:vMerge/>
            <w:tcBorders>
              <w:top w:val="nil"/>
              <w:bottom w:val="nil"/>
            </w:tcBorders>
            <w:vAlign w:val="center"/>
            <w:hideMark/>
          </w:tcPr>
          <w:p w14:paraId="2417F425" w14:textId="77777777" w:rsidR="00787333" w:rsidRPr="00787333" w:rsidRDefault="00787333" w:rsidP="00F97E87">
            <w:pPr>
              <w:spacing w:after="0" w:line="240" w:lineRule="auto"/>
              <w:rPr>
                <w:rFonts w:ascii="Calibri" w:eastAsia="Times New Roman" w:hAnsi="Calibri" w:cs="Times New Roman"/>
                <w:color w:val="000000"/>
                <w:lang w:val="en-GB" w:eastAsia="en-GB"/>
              </w:rPr>
            </w:pPr>
          </w:p>
        </w:tc>
        <w:tc>
          <w:tcPr>
            <w:tcW w:w="1371" w:type="dxa"/>
            <w:tcBorders>
              <w:top w:val="nil"/>
              <w:bottom w:val="nil"/>
            </w:tcBorders>
            <w:shd w:val="clear" w:color="auto" w:fill="auto"/>
            <w:noWrap/>
            <w:vAlign w:val="center"/>
            <w:hideMark/>
          </w:tcPr>
          <w:p w14:paraId="45FDFCC4"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Luuka</w:t>
            </w:r>
          </w:p>
        </w:tc>
        <w:tc>
          <w:tcPr>
            <w:tcW w:w="2116" w:type="dxa"/>
            <w:tcBorders>
              <w:top w:val="nil"/>
              <w:bottom w:val="nil"/>
            </w:tcBorders>
            <w:shd w:val="clear" w:color="auto" w:fill="auto"/>
            <w:noWrap/>
            <w:vAlign w:val="bottom"/>
            <w:hideMark/>
          </w:tcPr>
          <w:p w14:paraId="3BD6D66D"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71.3 (69.9 - 72.7)</w:t>
            </w:r>
          </w:p>
        </w:tc>
        <w:tc>
          <w:tcPr>
            <w:tcW w:w="1329" w:type="dxa"/>
            <w:tcBorders>
              <w:top w:val="nil"/>
              <w:bottom w:val="nil"/>
            </w:tcBorders>
            <w:shd w:val="clear" w:color="auto" w:fill="auto"/>
            <w:noWrap/>
            <w:vAlign w:val="center"/>
            <w:hideMark/>
          </w:tcPr>
          <w:p w14:paraId="3BECEAAA"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Luuka</w:t>
            </w:r>
          </w:p>
        </w:tc>
        <w:tc>
          <w:tcPr>
            <w:tcW w:w="1869" w:type="dxa"/>
            <w:tcBorders>
              <w:top w:val="nil"/>
              <w:bottom w:val="nil"/>
            </w:tcBorders>
            <w:shd w:val="clear" w:color="auto" w:fill="auto"/>
            <w:noWrap/>
            <w:vAlign w:val="center"/>
            <w:hideMark/>
          </w:tcPr>
          <w:p w14:paraId="0AF35826"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17.2 (16.8 - 17.6)</w:t>
            </w:r>
          </w:p>
        </w:tc>
      </w:tr>
      <w:tr w:rsidR="00787333" w:rsidRPr="00787333" w14:paraId="1CE56158" w14:textId="77777777" w:rsidTr="00A336F2">
        <w:trPr>
          <w:trHeight w:val="482"/>
        </w:trPr>
        <w:tc>
          <w:tcPr>
            <w:tcW w:w="2060" w:type="dxa"/>
            <w:vMerge/>
            <w:tcBorders>
              <w:top w:val="nil"/>
              <w:bottom w:val="nil"/>
            </w:tcBorders>
            <w:vAlign w:val="center"/>
            <w:hideMark/>
          </w:tcPr>
          <w:p w14:paraId="1495C74A" w14:textId="77777777" w:rsidR="00787333" w:rsidRPr="00787333" w:rsidRDefault="00787333" w:rsidP="00F97E87">
            <w:pPr>
              <w:spacing w:after="0" w:line="240" w:lineRule="auto"/>
              <w:rPr>
                <w:rFonts w:ascii="Calibri" w:eastAsia="Times New Roman" w:hAnsi="Calibri" w:cs="Times New Roman"/>
                <w:color w:val="000000"/>
                <w:lang w:val="en-GB" w:eastAsia="en-GB"/>
              </w:rPr>
            </w:pPr>
          </w:p>
        </w:tc>
        <w:tc>
          <w:tcPr>
            <w:tcW w:w="1371" w:type="dxa"/>
            <w:tcBorders>
              <w:top w:val="nil"/>
              <w:bottom w:val="nil"/>
            </w:tcBorders>
            <w:shd w:val="clear" w:color="auto" w:fill="auto"/>
            <w:noWrap/>
            <w:vAlign w:val="center"/>
            <w:hideMark/>
          </w:tcPr>
          <w:p w14:paraId="510B167B"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Iganga</w:t>
            </w:r>
          </w:p>
        </w:tc>
        <w:tc>
          <w:tcPr>
            <w:tcW w:w="2116" w:type="dxa"/>
            <w:tcBorders>
              <w:top w:val="nil"/>
              <w:bottom w:val="nil"/>
            </w:tcBorders>
            <w:shd w:val="clear" w:color="auto" w:fill="auto"/>
            <w:noWrap/>
            <w:vAlign w:val="bottom"/>
            <w:hideMark/>
          </w:tcPr>
          <w:p w14:paraId="316A5A28"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58.5 (57.6 - 59.5)</w:t>
            </w:r>
          </w:p>
        </w:tc>
        <w:tc>
          <w:tcPr>
            <w:tcW w:w="1329" w:type="dxa"/>
            <w:tcBorders>
              <w:top w:val="nil"/>
              <w:bottom w:val="nil"/>
            </w:tcBorders>
            <w:shd w:val="clear" w:color="auto" w:fill="auto"/>
            <w:noWrap/>
            <w:vAlign w:val="center"/>
            <w:hideMark/>
          </w:tcPr>
          <w:p w14:paraId="58117278"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Iganga</w:t>
            </w:r>
          </w:p>
        </w:tc>
        <w:tc>
          <w:tcPr>
            <w:tcW w:w="1869" w:type="dxa"/>
            <w:tcBorders>
              <w:top w:val="nil"/>
              <w:bottom w:val="nil"/>
            </w:tcBorders>
            <w:shd w:val="clear" w:color="auto" w:fill="auto"/>
            <w:noWrap/>
            <w:vAlign w:val="center"/>
            <w:hideMark/>
          </w:tcPr>
          <w:p w14:paraId="30613971"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15.1 (14.9 - 15.4)</w:t>
            </w:r>
          </w:p>
        </w:tc>
      </w:tr>
      <w:tr w:rsidR="00787333" w:rsidRPr="00787333" w14:paraId="5E1798A9" w14:textId="77777777" w:rsidTr="00A336F2">
        <w:trPr>
          <w:trHeight w:val="482"/>
        </w:trPr>
        <w:tc>
          <w:tcPr>
            <w:tcW w:w="2060" w:type="dxa"/>
            <w:vMerge/>
            <w:tcBorders>
              <w:top w:val="nil"/>
              <w:bottom w:val="single" w:sz="4" w:space="0" w:color="auto"/>
            </w:tcBorders>
            <w:vAlign w:val="center"/>
            <w:hideMark/>
          </w:tcPr>
          <w:p w14:paraId="26D436C6" w14:textId="77777777" w:rsidR="00787333" w:rsidRPr="00787333" w:rsidRDefault="00787333" w:rsidP="00F97E87">
            <w:pPr>
              <w:spacing w:after="0" w:line="240" w:lineRule="auto"/>
              <w:rPr>
                <w:rFonts w:ascii="Calibri" w:eastAsia="Times New Roman" w:hAnsi="Calibri" w:cs="Times New Roman"/>
                <w:color w:val="000000"/>
                <w:lang w:val="en-GB" w:eastAsia="en-GB"/>
              </w:rPr>
            </w:pPr>
          </w:p>
        </w:tc>
        <w:tc>
          <w:tcPr>
            <w:tcW w:w="1371" w:type="dxa"/>
            <w:tcBorders>
              <w:top w:val="nil"/>
              <w:bottom w:val="single" w:sz="4" w:space="0" w:color="auto"/>
            </w:tcBorders>
            <w:shd w:val="clear" w:color="auto" w:fill="auto"/>
            <w:noWrap/>
            <w:vAlign w:val="center"/>
            <w:hideMark/>
          </w:tcPr>
          <w:p w14:paraId="3646208C"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Bugweri</w:t>
            </w:r>
          </w:p>
        </w:tc>
        <w:tc>
          <w:tcPr>
            <w:tcW w:w="2116" w:type="dxa"/>
            <w:tcBorders>
              <w:top w:val="nil"/>
              <w:bottom w:val="single" w:sz="4" w:space="0" w:color="auto"/>
            </w:tcBorders>
            <w:shd w:val="clear" w:color="auto" w:fill="auto"/>
            <w:noWrap/>
            <w:vAlign w:val="bottom"/>
            <w:hideMark/>
          </w:tcPr>
          <w:p w14:paraId="3B5B73CD"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58.4 (57.5 - 59.4)</w:t>
            </w:r>
          </w:p>
        </w:tc>
        <w:tc>
          <w:tcPr>
            <w:tcW w:w="1329" w:type="dxa"/>
            <w:tcBorders>
              <w:top w:val="nil"/>
              <w:bottom w:val="single" w:sz="4" w:space="0" w:color="auto"/>
            </w:tcBorders>
            <w:shd w:val="clear" w:color="auto" w:fill="auto"/>
            <w:noWrap/>
            <w:vAlign w:val="center"/>
            <w:hideMark/>
          </w:tcPr>
          <w:p w14:paraId="3E764A40"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Jinja</w:t>
            </w:r>
          </w:p>
        </w:tc>
        <w:tc>
          <w:tcPr>
            <w:tcW w:w="1869" w:type="dxa"/>
            <w:tcBorders>
              <w:top w:val="nil"/>
              <w:bottom w:val="single" w:sz="4" w:space="0" w:color="auto"/>
            </w:tcBorders>
            <w:shd w:val="clear" w:color="auto" w:fill="auto"/>
            <w:noWrap/>
            <w:vAlign w:val="center"/>
            <w:hideMark/>
          </w:tcPr>
          <w:p w14:paraId="5B0B5DBA"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14.1 (13.5 - 16.0)</w:t>
            </w:r>
          </w:p>
        </w:tc>
      </w:tr>
      <w:tr w:rsidR="00787333" w:rsidRPr="00787333" w14:paraId="2DB40273" w14:textId="77777777" w:rsidTr="00A336F2">
        <w:trPr>
          <w:trHeight w:val="482"/>
        </w:trPr>
        <w:tc>
          <w:tcPr>
            <w:tcW w:w="2060" w:type="dxa"/>
            <w:vMerge w:val="restart"/>
            <w:tcBorders>
              <w:top w:val="single" w:sz="4" w:space="0" w:color="auto"/>
            </w:tcBorders>
            <w:shd w:val="clear" w:color="auto" w:fill="auto"/>
            <w:noWrap/>
            <w:vAlign w:val="center"/>
            <w:hideMark/>
          </w:tcPr>
          <w:p w14:paraId="4A488168"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Teso</w:t>
            </w:r>
          </w:p>
        </w:tc>
        <w:tc>
          <w:tcPr>
            <w:tcW w:w="1371" w:type="dxa"/>
            <w:tcBorders>
              <w:top w:val="single" w:sz="4" w:space="0" w:color="auto"/>
            </w:tcBorders>
            <w:shd w:val="clear" w:color="auto" w:fill="auto"/>
            <w:noWrap/>
            <w:vAlign w:val="center"/>
            <w:hideMark/>
          </w:tcPr>
          <w:p w14:paraId="5A994FD7"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Katakwi</w:t>
            </w:r>
          </w:p>
        </w:tc>
        <w:tc>
          <w:tcPr>
            <w:tcW w:w="2116" w:type="dxa"/>
            <w:tcBorders>
              <w:top w:val="single" w:sz="4" w:space="0" w:color="auto"/>
            </w:tcBorders>
            <w:shd w:val="clear" w:color="auto" w:fill="auto"/>
            <w:noWrap/>
            <w:vAlign w:val="bottom"/>
            <w:hideMark/>
          </w:tcPr>
          <w:p w14:paraId="4698DBDF"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72.0 (70.9 - 73.1)</w:t>
            </w:r>
          </w:p>
        </w:tc>
        <w:tc>
          <w:tcPr>
            <w:tcW w:w="1329" w:type="dxa"/>
            <w:tcBorders>
              <w:top w:val="single" w:sz="4" w:space="0" w:color="auto"/>
            </w:tcBorders>
            <w:shd w:val="clear" w:color="auto" w:fill="auto"/>
            <w:noWrap/>
            <w:vAlign w:val="center"/>
            <w:hideMark/>
          </w:tcPr>
          <w:p w14:paraId="7137E202"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Katakwi</w:t>
            </w:r>
          </w:p>
        </w:tc>
        <w:tc>
          <w:tcPr>
            <w:tcW w:w="1869" w:type="dxa"/>
            <w:tcBorders>
              <w:top w:val="single" w:sz="4" w:space="0" w:color="auto"/>
            </w:tcBorders>
            <w:shd w:val="clear" w:color="auto" w:fill="auto"/>
            <w:noWrap/>
            <w:vAlign w:val="center"/>
            <w:hideMark/>
          </w:tcPr>
          <w:p w14:paraId="07E66B6E"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16.2 (15.9 - 16.5)</w:t>
            </w:r>
          </w:p>
        </w:tc>
      </w:tr>
      <w:tr w:rsidR="00787333" w:rsidRPr="00787333" w14:paraId="44A7A8AC" w14:textId="77777777" w:rsidTr="00A336F2">
        <w:trPr>
          <w:trHeight w:val="482"/>
        </w:trPr>
        <w:tc>
          <w:tcPr>
            <w:tcW w:w="2060" w:type="dxa"/>
            <w:vMerge/>
            <w:vAlign w:val="center"/>
            <w:hideMark/>
          </w:tcPr>
          <w:p w14:paraId="6DCEC50D" w14:textId="77777777" w:rsidR="00787333" w:rsidRPr="00787333" w:rsidRDefault="00787333" w:rsidP="00F97E87">
            <w:pPr>
              <w:spacing w:after="0" w:line="240" w:lineRule="auto"/>
              <w:rPr>
                <w:rFonts w:ascii="Calibri" w:eastAsia="Times New Roman" w:hAnsi="Calibri" w:cs="Times New Roman"/>
                <w:color w:val="000000"/>
                <w:lang w:val="en-GB" w:eastAsia="en-GB"/>
              </w:rPr>
            </w:pPr>
          </w:p>
        </w:tc>
        <w:tc>
          <w:tcPr>
            <w:tcW w:w="1371" w:type="dxa"/>
            <w:shd w:val="clear" w:color="auto" w:fill="auto"/>
            <w:noWrap/>
            <w:vAlign w:val="center"/>
            <w:hideMark/>
          </w:tcPr>
          <w:p w14:paraId="306A644E"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Kumi</w:t>
            </w:r>
          </w:p>
        </w:tc>
        <w:tc>
          <w:tcPr>
            <w:tcW w:w="2116" w:type="dxa"/>
            <w:shd w:val="clear" w:color="auto" w:fill="auto"/>
            <w:noWrap/>
            <w:vAlign w:val="bottom"/>
            <w:hideMark/>
          </w:tcPr>
          <w:p w14:paraId="7C96E36B"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58.6 (57.7 - 59.5)</w:t>
            </w:r>
          </w:p>
        </w:tc>
        <w:tc>
          <w:tcPr>
            <w:tcW w:w="1329" w:type="dxa"/>
            <w:shd w:val="clear" w:color="auto" w:fill="auto"/>
            <w:noWrap/>
            <w:vAlign w:val="center"/>
            <w:hideMark/>
          </w:tcPr>
          <w:p w14:paraId="439F6CF7"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Kumi</w:t>
            </w:r>
          </w:p>
        </w:tc>
        <w:tc>
          <w:tcPr>
            <w:tcW w:w="1869" w:type="dxa"/>
            <w:shd w:val="clear" w:color="auto" w:fill="auto"/>
            <w:noWrap/>
            <w:vAlign w:val="center"/>
            <w:hideMark/>
          </w:tcPr>
          <w:p w14:paraId="56242B8D"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13.5 (13.3 - 13.7)</w:t>
            </w:r>
          </w:p>
        </w:tc>
      </w:tr>
      <w:tr w:rsidR="00787333" w:rsidRPr="00787333" w14:paraId="187C7201" w14:textId="77777777" w:rsidTr="00A336F2">
        <w:trPr>
          <w:trHeight w:val="482"/>
        </w:trPr>
        <w:tc>
          <w:tcPr>
            <w:tcW w:w="2060" w:type="dxa"/>
            <w:vMerge/>
            <w:vAlign w:val="center"/>
            <w:hideMark/>
          </w:tcPr>
          <w:p w14:paraId="6EFEB043" w14:textId="77777777" w:rsidR="00787333" w:rsidRPr="00787333" w:rsidRDefault="00787333" w:rsidP="00F97E87">
            <w:pPr>
              <w:spacing w:after="0" w:line="240" w:lineRule="auto"/>
              <w:rPr>
                <w:rFonts w:ascii="Calibri" w:eastAsia="Times New Roman" w:hAnsi="Calibri" w:cs="Times New Roman"/>
                <w:color w:val="000000"/>
                <w:lang w:val="en-GB" w:eastAsia="en-GB"/>
              </w:rPr>
            </w:pPr>
          </w:p>
        </w:tc>
        <w:tc>
          <w:tcPr>
            <w:tcW w:w="1371" w:type="dxa"/>
            <w:shd w:val="clear" w:color="auto" w:fill="auto"/>
            <w:noWrap/>
            <w:vAlign w:val="center"/>
            <w:hideMark/>
          </w:tcPr>
          <w:p w14:paraId="3BBCFC1E"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Kapelebyong</w:t>
            </w:r>
          </w:p>
        </w:tc>
        <w:tc>
          <w:tcPr>
            <w:tcW w:w="2116" w:type="dxa"/>
            <w:shd w:val="clear" w:color="auto" w:fill="auto"/>
            <w:noWrap/>
            <w:vAlign w:val="bottom"/>
            <w:hideMark/>
          </w:tcPr>
          <w:p w14:paraId="5C20D573"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57.5 (56.5 - 58.5)</w:t>
            </w:r>
          </w:p>
        </w:tc>
        <w:tc>
          <w:tcPr>
            <w:tcW w:w="1329" w:type="dxa"/>
            <w:shd w:val="clear" w:color="auto" w:fill="auto"/>
            <w:noWrap/>
            <w:vAlign w:val="center"/>
            <w:hideMark/>
          </w:tcPr>
          <w:p w14:paraId="72A992B6"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Ngora</w:t>
            </w:r>
          </w:p>
        </w:tc>
        <w:tc>
          <w:tcPr>
            <w:tcW w:w="1869" w:type="dxa"/>
            <w:shd w:val="clear" w:color="auto" w:fill="auto"/>
            <w:noWrap/>
            <w:vAlign w:val="center"/>
            <w:hideMark/>
          </w:tcPr>
          <w:p w14:paraId="6E6E4C92"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12.5 (12.3 - 12.7)</w:t>
            </w:r>
          </w:p>
        </w:tc>
      </w:tr>
      <w:tr w:rsidR="00787333" w:rsidRPr="00787333" w14:paraId="5CA3C755" w14:textId="77777777" w:rsidTr="00A336F2">
        <w:trPr>
          <w:trHeight w:val="482"/>
        </w:trPr>
        <w:tc>
          <w:tcPr>
            <w:tcW w:w="2060" w:type="dxa"/>
            <w:vMerge/>
            <w:vAlign w:val="center"/>
            <w:hideMark/>
          </w:tcPr>
          <w:p w14:paraId="792E58AA" w14:textId="77777777" w:rsidR="00787333" w:rsidRPr="00787333" w:rsidRDefault="00787333" w:rsidP="00F97E87">
            <w:pPr>
              <w:spacing w:after="0" w:line="240" w:lineRule="auto"/>
              <w:rPr>
                <w:rFonts w:ascii="Calibri" w:eastAsia="Times New Roman" w:hAnsi="Calibri" w:cs="Times New Roman"/>
                <w:color w:val="000000"/>
                <w:lang w:val="en-GB" w:eastAsia="en-GB"/>
              </w:rPr>
            </w:pPr>
          </w:p>
        </w:tc>
        <w:tc>
          <w:tcPr>
            <w:tcW w:w="1371" w:type="dxa"/>
            <w:shd w:val="clear" w:color="auto" w:fill="auto"/>
            <w:noWrap/>
            <w:vAlign w:val="center"/>
            <w:hideMark/>
          </w:tcPr>
          <w:p w14:paraId="020C7CD4"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Amuria</w:t>
            </w:r>
          </w:p>
        </w:tc>
        <w:tc>
          <w:tcPr>
            <w:tcW w:w="2116" w:type="dxa"/>
            <w:shd w:val="clear" w:color="auto" w:fill="auto"/>
            <w:noWrap/>
            <w:vAlign w:val="bottom"/>
            <w:hideMark/>
          </w:tcPr>
          <w:p w14:paraId="341D894A"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54.2 (53.4 - 55.1)</w:t>
            </w:r>
          </w:p>
        </w:tc>
        <w:tc>
          <w:tcPr>
            <w:tcW w:w="1329" w:type="dxa"/>
            <w:shd w:val="clear" w:color="auto" w:fill="auto"/>
            <w:noWrap/>
            <w:vAlign w:val="center"/>
            <w:hideMark/>
          </w:tcPr>
          <w:p w14:paraId="6C289F2B"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Amuria</w:t>
            </w:r>
          </w:p>
        </w:tc>
        <w:tc>
          <w:tcPr>
            <w:tcW w:w="1869" w:type="dxa"/>
            <w:shd w:val="clear" w:color="auto" w:fill="auto"/>
            <w:noWrap/>
            <w:vAlign w:val="center"/>
            <w:hideMark/>
          </w:tcPr>
          <w:p w14:paraId="6D6F29CE" w14:textId="77777777" w:rsidR="00787333" w:rsidRPr="00787333" w:rsidRDefault="00787333" w:rsidP="00F97E87">
            <w:pPr>
              <w:spacing w:after="0" w:line="240" w:lineRule="auto"/>
              <w:jc w:val="center"/>
              <w:rPr>
                <w:rFonts w:ascii="Calibri" w:eastAsia="Times New Roman" w:hAnsi="Calibri" w:cs="Times New Roman"/>
                <w:color w:val="000000"/>
                <w:lang w:val="en-GB" w:eastAsia="en-GB"/>
              </w:rPr>
            </w:pPr>
            <w:r w:rsidRPr="00787333">
              <w:rPr>
                <w:rFonts w:ascii="Calibri" w:eastAsia="Times New Roman" w:hAnsi="Calibri" w:cs="Times New Roman"/>
                <w:color w:val="000000"/>
                <w:lang w:val="en-GB" w:eastAsia="en-GB"/>
              </w:rPr>
              <w:t>12.4 (12.1 - 12.6)</w:t>
            </w:r>
          </w:p>
        </w:tc>
      </w:tr>
    </w:tbl>
    <w:p w14:paraId="17655DAE" w14:textId="77777777" w:rsidR="00787333" w:rsidRDefault="00787333" w:rsidP="00364E39">
      <w:pPr>
        <w:spacing w:line="360" w:lineRule="auto"/>
      </w:pPr>
    </w:p>
    <w:p w14:paraId="36DD8D45" w14:textId="5FDDD923" w:rsidR="00364E39" w:rsidRDefault="00364E39" w:rsidP="00364E39">
      <w:pPr>
        <w:spacing w:line="360" w:lineRule="auto"/>
      </w:pPr>
      <w:r>
        <w:lastRenderedPageBreak/>
        <w:t>To evaluate the estimated relative risk against other known estimates, a scatter plot of the regional prevalence of malaria estimated among children 0-59 months of age tested by microscopy within the 2018 Malaria Indicator Survey</w:t>
      </w:r>
      <w:r w:rsidR="00D514BB">
        <w:t xml:space="preserve"> </w:t>
      </w:r>
      <w:r w:rsidR="00D514BB">
        <w:fldChar w:fldCharType="begin"/>
      </w:r>
      <w:r w:rsidR="00830725">
        <w:instrText xml:space="preserve"> ADDIN EN.CITE &lt;EndNote&gt;&lt;Cite&gt;&lt;Author&gt;(NMCD)&lt;/Author&gt;&lt;Year&gt;2020&lt;/Year&gt;&lt;RecNum&gt;1762&lt;/RecNum&gt;&lt;DisplayText&gt;[7]&lt;/DisplayText&gt;&lt;record&gt;&lt;rec-number&gt;1762&lt;/rec-number&gt;&lt;foreign-keys&gt;&lt;key app="EN" db-id="p0rz5wvzrvd50qex2snvaft1et2zsewp95td" timestamp="1589023437"&gt;1762&lt;/key&gt;&lt;/foreign-keys&gt;&lt;ref-type name="Report"&gt;27&lt;/ref-type&gt;&lt;contributors&gt;&lt;authors&gt;&lt;author&gt;Uganda National Malaria Control Division (NMCD)&lt;/author&gt;&lt;author&gt;Uganda Bureau of Statistics (UBOS)&lt;/author&gt;&lt;author&gt;ICF&lt;/author&gt;&lt;/authors&gt;&lt;tertiary-authors&gt;&lt;author&gt;UBOS and ICF International&lt;/author&gt;&lt;/tertiary-authors&gt;&lt;/contributors&gt;&lt;titles&gt;&lt;title&gt;Uganda Malaria Indicator Survey 2018-19&lt;/title&gt;&lt;/titles&gt;&lt;dates&gt;&lt;year&gt;2020&lt;/year&gt;&lt;/dates&gt;&lt;pub-location&gt;Kampala, Uganda, and Rockville, Maryland, USA&lt;/pub-location&gt;&lt;publisher&gt;NMCD, UBOS, and ICF&lt;/publisher&gt;&lt;urls&gt;&lt;related-urls&gt;&lt;url&gt;https://www.dhsprogram.com/pubs/pdf/MIS34/MIS34.pdf&lt;/url&gt;&lt;/related-urls&gt;&lt;/urls&gt;&lt;access-date&gt;May, 2020&lt;/access-date&gt;&lt;/record&gt;&lt;/Cite&gt;&lt;/EndNote&gt;</w:instrText>
      </w:r>
      <w:r w:rsidR="00D514BB">
        <w:fldChar w:fldCharType="separate"/>
      </w:r>
      <w:r w:rsidR="00830725">
        <w:rPr>
          <w:noProof/>
        </w:rPr>
        <w:t>[7]</w:t>
      </w:r>
      <w:r w:rsidR="00D514BB">
        <w:fldChar w:fldCharType="end"/>
      </w:r>
      <w:r>
        <w:t>, against the study estimated relative risk of malaria during December 2018, the month when the MIS survey was conducted was plotted. Fig</w:t>
      </w:r>
      <w:r w:rsidR="000D4CF0">
        <w:t>.</w:t>
      </w:r>
      <w:r>
        <w:t xml:space="preserve"> </w:t>
      </w:r>
      <w:r w:rsidR="001A34F0">
        <w:t>S</w:t>
      </w:r>
      <w:r>
        <w:t>1</w:t>
      </w:r>
      <w:r w:rsidR="002C5112">
        <w:t>3</w:t>
      </w:r>
      <w:r>
        <w:t xml:space="preserve"> below shows a positive relationship between these two estimates and indication of a positive association between the two. </w:t>
      </w:r>
    </w:p>
    <w:p w14:paraId="4E2EA517" w14:textId="010954B7" w:rsidR="005C730A" w:rsidRPr="005C730A" w:rsidRDefault="005C730A" w:rsidP="005C730A">
      <w:pPr>
        <w:pStyle w:val="Caption"/>
        <w:keepNext/>
        <w:rPr>
          <w:b/>
          <w:bCs/>
          <w:i w:val="0"/>
          <w:iCs w:val="0"/>
          <w:color w:val="auto"/>
          <w:sz w:val="22"/>
          <w:szCs w:val="22"/>
        </w:rPr>
      </w:pPr>
      <w:r w:rsidRPr="005C730A">
        <w:rPr>
          <w:b/>
          <w:bCs/>
          <w:i w:val="0"/>
          <w:iCs w:val="0"/>
          <w:color w:val="auto"/>
          <w:sz w:val="22"/>
          <w:szCs w:val="22"/>
        </w:rPr>
        <w:t xml:space="preserve">Fig </w:t>
      </w:r>
      <w:r w:rsidR="00962132">
        <w:rPr>
          <w:b/>
          <w:bCs/>
          <w:i w:val="0"/>
          <w:iCs w:val="0"/>
          <w:color w:val="auto"/>
          <w:sz w:val="22"/>
          <w:szCs w:val="22"/>
        </w:rPr>
        <w:t>S</w:t>
      </w:r>
      <w:r w:rsidRPr="005C730A">
        <w:rPr>
          <w:b/>
          <w:bCs/>
          <w:i w:val="0"/>
          <w:iCs w:val="0"/>
          <w:color w:val="auto"/>
          <w:sz w:val="22"/>
          <w:szCs w:val="22"/>
        </w:rPr>
        <w:fldChar w:fldCharType="begin"/>
      </w:r>
      <w:r w:rsidRPr="005C730A">
        <w:rPr>
          <w:b/>
          <w:bCs/>
          <w:i w:val="0"/>
          <w:iCs w:val="0"/>
          <w:color w:val="auto"/>
          <w:sz w:val="22"/>
          <w:szCs w:val="22"/>
        </w:rPr>
        <w:instrText xml:space="preserve"> SEQ Fig \* ARABIC </w:instrText>
      </w:r>
      <w:r w:rsidRPr="005C730A">
        <w:rPr>
          <w:b/>
          <w:bCs/>
          <w:i w:val="0"/>
          <w:iCs w:val="0"/>
          <w:color w:val="auto"/>
          <w:sz w:val="22"/>
          <w:szCs w:val="22"/>
        </w:rPr>
        <w:fldChar w:fldCharType="separate"/>
      </w:r>
      <w:r w:rsidR="009A11D8">
        <w:rPr>
          <w:b/>
          <w:bCs/>
          <w:i w:val="0"/>
          <w:iCs w:val="0"/>
          <w:noProof/>
          <w:color w:val="auto"/>
          <w:sz w:val="22"/>
          <w:szCs w:val="22"/>
        </w:rPr>
        <w:t>13</w:t>
      </w:r>
      <w:r w:rsidRPr="005C730A">
        <w:rPr>
          <w:b/>
          <w:bCs/>
          <w:i w:val="0"/>
          <w:iCs w:val="0"/>
          <w:color w:val="auto"/>
          <w:sz w:val="22"/>
          <w:szCs w:val="22"/>
        </w:rPr>
        <w:fldChar w:fldCharType="end"/>
      </w:r>
      <w:r w:rsidRPr="005C730A">
        <w:rPr>
          <w:b/>
          <w:bCs/>
          <w:i w:val="0"/>
          <w:iCs w:val="0"/>
          <w:color w:val="auto"/>
          <w:sz w:val="22"/>
          <w:szCs w:val="22"/>
        </w:rPr>
        <w:t>. Relationship between the 2018 MIS regional prevalence of malaria and estimated relative risk of malaria for December 2018</w:t>
      </w:r>
    </w:p>
    <w:p w14:paraId="26F10CE4" w14:textId="289F1B9D" w:rsidR="00E12CBA" w:rsidRDefault="005C730A">
      <w:r>
        <w:rPr>
          <w:noProof/>
        </w:rPr>
        <w:drawing>
          <wp:inline distT="0" distB="0" distL="0" distR="0" wp14:anchorId="06AA0DF5" wp14:editId="577CB13C">
            <wp:extent cx="5676308" cy="3209925"/>
            <wp:effectExtent l="0" t="0" r="63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689975" cy="3217654"/>
                    </a:xfrm>
                    <a:prstGeom prst="rect">
                      <a:avLst/>
                    </a:prstGeom>
                    <a:noFill/>
                    <a:ln>
                      <a:noFill/>
                    </a:ln>
                  </pic:spPr>
                </pic:pic>
              </a:graphicData>
            </a:graphic>
          </wp:inline>
        </w:drawing>
      </w:r>
    </w:p>
    <w:p w14:paraId="5EA54104" w14:textId="5C93AA6D" w:rsidR="00784DC6" w:rsidRDefault="00047AA5" w:rsidP="005C41E4">
      <w:pPr>
        <w:spacing w:line="360" w:lineRule="auto"/>
      </w:pPr>
      <w:r>
        <w:t xml:space="preserve">The blue points represent the (prevalence, risk) coordinates and the red dotted line, the fitted curve for the relationship. </w:t>
      </w:r>
      <w:r w:rsidR="003413EA">
        <w:t xml:space="preserve">This observed relationship may provide some evidence of </w:t>
      </w:r>
      <w:r w:rsidR="00ED30AE">
        <w:t>the</w:t>
      </w:r>
      <w:r w:rsidR="003413EA">
        <w:t xml:space="preserve"> important effect of age that</w:t>
      </w:r>
      <w:r w:rsidR="00065193">
        <w:t xml:space="preserve"> is</w:t>
      </w:r>
      <w:r w:rsidR="00ED30AE">
        <w:t xml:space="preserve"> largely</w:t>
      </w:r>
      <w:r w:rsidR="003413EA">
        <w:t xml:space="preserve"> </w:t>
      </w:r>
      <w:r w:rsidR="00ED30AE" w:rsidRPr="00023C6B">
        <w:t>pre</w:t>
      </w:r>
      <w:r w:rsidR="005C41E4" w:rsidRPr="00023C6B">
        <w:t>clud</w:t>
      </w:r>
      <w:r w:rsidR="005C41E4">
        <w:t>e</w:t>
      </w:r>
      <w:r w:rsidR="00065193">
        <w:t>d</w:t>
      </w:r>
      <w:r w:rsidR="003413EA">
        <w:t xml:space="preserve"> </w:t>
      </w:r>
      <w:r w:rsidR="00065193">
        <w:t xml:space="preserve">from </w:t>
      </w:r>
      <w:r w:rsidR="003413EA">
        <w:t xml:space="preserve">evaluations of risk among all populations based on data from children. In these cases, low transmission setting estimates of malaria burden may be under-estimated while being over-estimated in </w:t>
      </w:r>
      <w:r w:rsidR="005C41E4">
        <w:t>the high transmission settings.</w:t>
      </w:r>
    </w:p>
    <w:p w14:paraId="5F4B030B" w14:textId="606069DC" w:rsidR="00D41AA7" w:rsidRPr="00BA5FA3" w:rsidRDefault="00D41AA7" w:rsidP="00830725">
      <w:pPr>
        <w:pStyle w:val="ListParagraph"/>
        <w:numPr>
          <w:ilvl w:val="0"/>
          <w:numId w:val="1"/>
        </w:numPr>
        <w:spacing w:line="360" w:lineRule="auto"/>
        <w:rPr>
          <w:b/>
          <w:bCs/>
        </w:rPr>
      </w:pPr>
      <w:r w:rsidRPr="00BA5FA3">
        <w:rPr>
          <w:b/>
          <w:bCs/>
        </w:rPr>
        <w:t>Malaria risk distribution</w:t>
      </w:r>
    </w:p>
    <w:p w14:paraId="37682F80" w14:textId="2833E03E" w:rsidR="00A66EC9" w:rsidRPr="00A66EC9" w:rsidRDefault="00A66EC9" w:rsidP="001961A7">
      <w:pPr>
        <w:pStyle w:val="Caption"/>
        <w:keepNext/>
        <w:spacing w:line="360" w:lineRule="auto"/>
        <w:rPr>
          <w:i w:val="0"/>
          <w:iCs w:val="0"/>
          <w:color w:val="auto"/>
          <w:sz w:val="22"/>
          <w:szCs w:val="22"/>
        </w:rPr>
      </w:pPr>
      <w:r w:rsidRPr="00A66EC9">
        <w:rPr>
          <w:i w:val="0"/>
          <w:iCs w:val="0"/>
          <w:color w:val="auto"/>
          <w:sz w:val="22"/>
          <w:szCs w:val="22"/>
        </w:rPr>
        <w:t xml:space="preserve">Given </w:t>
      </w:r>
      <w:r>
        <w:rPr>
          <w:i w:val="0"/>
          <w:iCs w:val="0"/>
          <w:color w:val="auto"/>
          <w:sz w:val="22"/>
          <w:szCs w:val="22"/>
        </w:rPr>
        <w:t>variability of risk of malaria through the</w:t>
      </w:r>
      <w:r w:rsidR="00E10C82">
        <w:rPr>
          <w:i w:val="0"/>
          <w:iCs w:val="0"/>
          <w:color w:val="auto"/>
          <w:sz w:val="22"/>
          <w:szCs w:val="22"/>
        </w:rPr>
        <w:t xml:space="preserve"> spatial</w:t>
      </w:r>
      <w:r>
        <w:rPr>
          <w:i w:val="0"/>
          <w:iCs w:val="0"/>
          <w:color w:val="auto"/>
          <w:sz w:val="22"/>
          <w:szCs w:val="22"/>
        </w:rPr>
        <w:t xml:space="preserve"> hierarchy, risk at the two higher levels</w:t>
      </w:r>
      <w:r w:rsidR="00E10C82">
        <w:rPr>
          <w:i w:val="0"/>
          <w:iCs w:val="0"/>
          <w:color w:val="auto"/>
          <w:sz w:val="22"/>
          <w:szCs w:val="22"/>
        </w:rPr>
        <w:t xml:space="preserve"> (region and district)</w:t>
      </w:r>
      <w:r>
        <w:rPr>
          <w:i w:val="0"/>
          <w:iCs w:val="0"/>
          <w:color w:val="auto"/>
          <w:sz w:val="22"/>
          <w:szCs w:val="22"/>
        </w:rPr>
        <w:t xml:space="preserve"> was assessed </w:t>
      </w:r>
      <w:r w:rsidR="00E10C82">
        <w:rPr>
          <w:i w:val="0"/>
          <w:iCs w:val="0"/>
          <w:color w:val="auto"/>
          <w:sz w:val="22"/>
          <w:szCs w:val="22"/>
        </w:rPr>
        <w:t xml:space="preserve">and presented in Table </w:t>
      </w:r>
      <w:r w:rsidR="001A34F0">
        <w:rPr>
          <w:i w:val="0"/>
          <w:iCs w:val="0"/>
          <w:color w:val="auto"/>
          <w:sz w:val="22"/>
          <w:szCs w:val="22"/>
        </w:rPr>
        <w:t>S</w:t>
      </w:r>
      <w:r w:rsidR="006A2D8B">
        <w:rPr>
          <w:i w:val="0"/>
          <w:iCs w:val="0"/>
          <w:color w:val="auto"/>
          <w:sz w:val="22"/>
          <w:szCs w:val="22"/>
        </w:rPr>
        <w:t>7</w:t>
      </w:r>
      <w:r w:rsidR="00E10C82">
        <w:rPr>
          <w:i w:val="0"/>
          <w:iCs w:val="0"/>
          <w:color w:val="auto"/>
          <w:sz w:val="22"/>
          <w:szCs w:val="22"/>
        </w:rPr>
        <w:t xml:space="preserve"> below. The results show regional risk of malaria relative to national average, during</w:t>
      </w:r>
      <w:r>
        <w:rPr>
          <w:i w:val="0"/>
          <w:iCs w:val="0"/>
          <w:color w:val="auto"/>
          <w:sz w:val="22"/>
          <w:szCs w:val="22"/>
        </w:rPr>
        <w:t xml:space="preserve"> </w:t>
      </w:r>
      <w:r w:rsidR="00E10C82">
        <w:rPr>
          <w:i w:val="0"/>
          <w:iCs w:val="0"/>
          <w:color w:val="auto"/>
          <w:sz w:val="22"/>
          <w:szCs w:val="22"/>
        </w:rPr>
        <w:t>the lowest and highest incidence rate months at national level as independent columns as evaluated through national trends in incidence rates. Additionally</w:t>
      </w:r>
      <w:r w:rsidR="001961A7">
        <w:rPr>
          <w:i w:val="0"/>
          <w:iCs w:val="0"/>
          <w:color w:val="auto"/>
          <w:sz w:val="22"/>
          <w:szCs w:val="22"/>
        </w:rPr>
        <w:t>,</w:t>
      </w:r>
      <w:r w:rsidR="00E10C82">
        <w:rPr>
          <w:i w:val="0"/>
          <w:iCs w:val="0"/>
          <w:color w:val="auto"/>
          <w:sz w:val="22"/>
          <w:szCs w:val="22"/>
        </w:rPr>
        <w:t xml:space="preserve"> for each </w:t>
      </w:r>
      <w:r w:rsidR="00E10C82">
        <w:rPr>
          <w:i w:val="0"/>
          <w:iCs w:val="0"/>
          <w:color w:val="auto"/>
          <w:sz w:val="22"/>
          <w:szCs w:val="22"/>
        </w:rPr>
        <w:lastRenderedPageBreak/>
        <w:t xml:space="preserve">region, the range of district risk of malaria for the districts that comprise the respective region was also included </w:t>
      </w:r>
    </w:p>
    <w:p w14:paraId="32C4856A" w14:textId="6D21C32C" w:rsidR="00B5645D" w:rsidRPr="00F83A6A" w:rsidRDefault="00B5645D" w:rsidP="00B5645D">
      <w:pPr>
        <w:pStyle w:val="Caption"/>
        <w:keepNext/>
        <w:rPr>
          <w:b/>
          <w:bCs/>
          <w:i w:val="0"/>
          <w:iCs w:val="0"/>
          <w:color w:val="auto"/>
          <w:sz w:val="22"/>
          <w:szCs w:val="22"/>
        </w:rPr>
      </w:pPr>
      <w:r w:rsidRPr="00F83A6A">
        <w:rPr>
          <w:b/>
          <w:bCs/>
          <w:i w:val="0"/>
          <w:iCs w:val="0"/>
          <w:color w:val="auto"/>
          <w:sz w:val="22"/>
          <w:szCs w:val="22"/>
        </w:rPr>
        <w:t xml:space="preserve">Table </w:t>
      </w:r>
      <w:r w:rsidR="00962132">
        <w:rPr>
          <w:b/>
          <w:bCs/>
          <w:i w:val="0"/>
          <w:iCs w:val="0"/>
          <w:color w:val="auto"/>
          <w:sz w:val="22"/>
          <w:szCs w:val="22"/>
        </w:rPr>
        <w:t>S</w:t>
      </w:r>
      <w:r w:rsidRPr="00F83A6A">
        <w:rPr>
          <w:b/>
          <w:bCs/>
          <w:i w:val="0"/>
          <w:iCs w:val="0"/>
          <w:color w:val="auto"/>
          <w:sz w:val="22"/>
          <w:szCs w:val="22"/>
        </w:rPr>
        <w:fldChar w:fldCharType="begin"/>
      </w:r>
      <w:r w:rsidRPr="00F83A6A">
        <w:rPr>
          <w:b/>
          <w:bCs/>
          <w:i w:val="0"/>
          <w:iCs w:val="0"/>
          <w:color w:val="auto"/>
          <w:sz w:val="22"/>
          <w:szCs w:val="22"/>
        </w:rPr>
        <w:instrText xml:space="preserve"> SEQ Table \* ARABIC </w:instrText>
      </w:r>
      <w:r w:rsidRPr="00F83A6A">
        <w:rPr>
          <w:b/>
          <w:bCs/>
          <w:i w:val="0"/>
          <w:iCs w:val="0"/>
          <w:color w:val="auto"/>
          <w:sz w:val="22"/>
          <w:szCs w:val="22"/>
        </w:rPr>
        <w:fldChar w:fldCharType="separate"/>
      </w:r>
      <w:r w:rsidR="00CE5C15">
        <w:rPr>
          <w:b/>
          <w:bCs/>
          <w:i w:val="0"/>
          <w:iCs w:val="0"/>
          <w:noProof/>
          <w:color w:val="auto"/>
          <w:sz w:val="22"/>
          <w:szCs w:val="22"/>
        </w:rPr>
        <w:t>7</w:t>
      </w:r>
      <w:r w:rsidRPr="00F83A6A">
        <w:rPr>
          <w:b/>
          <w:bCs/>
          <w:i w:val="0"/>
          <w:iCs w:val="0"/>
          <w:color w:val="auto"/>
          <w:sz w:val="22"/>
          <w:szCs w:val="22"/>
        </w:rPr>
        <w:fldChar w:fldCharType="end"/>
      </w:r>
      <w:r w:rsidRPr="00F83A6A">
        <w:rPr>
          <w:b/>
          <w:bCs/>
          <w:i w:val="0"/>
          <w:iCs w:val="0"/>
          <w:color w:val="auto"/>
          <w:sz w:val="22"/>
          <w:szCs w:val="22"/>
        </w:rPr>
        <w:t>. Risk of malaria relative to national average, for the lowest and highest burden months between July-2015 and September-2019, by region and district.</w:t>
      </w:r>
    </w:p>
    <w:tbl>
      <w:tblPr>
        <w:tblW w:w="5000" w:type="pct"/>
        <w:tblBorders>
          <w:top w:val="single" w:sz="12" w:space="0" w:color="auto"/>
          <w:bottom w:val="single" w:sz="12" w:space="0" w:color="auto"/>
        </w:tblBorders>
        <w:tblLook w:val="04A0" w:firstRow="1" w:lastRow="0" w:firstColumn="1" w:lastColumn="0" w:noHBand="0" w:noVBand="1"/>
      </w:tblPr>
      <w:tblGrid>
        <w:gridCol w:w="2459"/>
        <w:gridCol w:w="1350"/>
        <w:gridCol w:w="2095"/>
        <w:gridCol w:w="1350"/>
        <w:gridCol w:w="2106"/>
      </w:tblGrid>
      <w:tr w:rsidR="005B4E3C" w:rsidRPr="005B4E3C" w14:paraId="33A3885A" w14:textId="77777777" w:rsidTr="00B5645D">
        <w:trPr>
          <w:trHeight w:val="397"/>
        </w:trPr>
        <w:tc>
          <w:tcPr>
            <w:tcW w:w="1314" w:type="pct"/>
            <w:vMerge w:val="restart"/>
            <w:tcBorders>
              <w:top w:val="single" w:sz="12" w:space="0" w:color="auto"/>
              <w:bottom w:val="nil"/>
            </w:tcBorders>
            <w:shd w:val="clear" w:color="auto" w:fill="auto"/>
            <w:noWrap/>
            <w:vAlign w:val="bottom"/>
            <w:hideMark/>
          </w:tcPr>
          <w:p w14:paraId="2A226BCA" w14:textId="77777777" w:rsidR="005B4E3C" w:rsidRPr="005B4E3C" w:rsidRDefault="005B4E3C" w:rsidP="005B4E3C">
            <w:pPr>
              <w:spacing w:after="0" w:line="240" w:lineRule="auto"/>
              <w:rPr>
                <w:rFonts w:ascii="Calibri" w:eastAsia="Times New Roman" w:hAnsi="Calibri" w:cs="Times New Roman"/>
                <w:b/>
                <w:bCs/>
                <w:color w:val="000000"/>
                <w:lang w:val="en-GB" w:eastAsia="en-GB"/>
              </w:rPr>
            </w:pPr>
            <w:r w:rsidRPr="005B4E3C">
              <w:rPr>
                <w:rFonts w:ascii="Calibri" w:eastAsia="Times New Roman" w:hAnsi="Calibri" w:cs="Times New Roman"/>
                <w:b/>
                <w:bCs/>
                <w:color w:val="000000"/>
                <w:lang w:val="en-GB" w:eastAsia="en-GB"/>
              </w:rPr>
              <w:t>Region</w:t>
            </w:r>
          </w:p>
        </w:tc>
        <w:tc>
          <w:tcPr>
            <w:tcW w:w="1840" w:type="pct"/>
            <w:gridSpan w:val="2"/>
            <w:tcBorders>
              <w:top w:val="single" w:sz="12" w:space="0" w:color="auto"/>
              <w:bottom w:val="single" w:sz="6" w:space="0" w:color="auto"/>
            </w:tcBorders>
            <w:shd w:val="clear" w:color="auto" w:fill="auto"/>
            <w:vAlign w:val="bottom"/>
            <w:hideMark/>
          </w:tcPr>
          <w:p w14:paraId="34F51FB1" w14:textId="77777777" w:rsidR="005B4E3C" w:rsidRDefault="005B4E3C" w:rsidP="005B4E3C">
            <w:pPr>
              <w:spacing w:after="0" w:line="240" w:lineRule="auto"/>
              <w:jc w:val="center"/>
              <w:rPr>
                <w:rFonts w:ascii="Calibri" w:eastAsia="Times New Roman" w:hAnsi="Calibri" w:cs="Times New Roman"/>
                <w:b/>
                <w:bCs/>
                <w:color w:val="000000"/>
                <w:lang w:val="en-GB" w:eastAsia="en-GB"/>
              </w:rPr>
            </w:pPr>
            <w:r w:rsidRPr="005B4E3C">
              <w:rPr>
                <w:rFonts w:ascii="Calibri" w:eastAsia="Times New Roman" w:hAnsi="Calibri" w:cs="Times New Roman"/>
                <w:b/>
                <w:bCs/>
                <w:color w:val="000000"/>
                <w:lang w:val="en-GB" w:eastAsia="en-GB"/>
              </w:rPr>
              <w:t xml:space="preserve">Lowest burden month </w:t>
            </w:r>
          </w:p>
          <w:p w14:paraId="058DE460" w14:textId="0F3824CD" w:rsidR="005B4E3C" w:rsidRPr="005B4E3C" w:rsidRDefault="005B4E3C" w:rsidP="005B4E3C">
            <w:pPr>
              <w:spacing w:after="0" w:line="240" w:lineRule="auto"/>
              <w:jc w:val="center"/>
              <w:rPr>
                <w:rFonts w:ascii="Calibri" w:eastAsia="Times New Roman" w:hAnsi="Calibri" w:cs="Times New Roman"/>
                <w:b/>
                <w:bCs/>
                <w:color w:val="000000"/>
                <w:lang w:val="en-GB" w:eastAsia="en-GB"/>
              </w:rPr>
            </w:pPr>
            <w:r w:rsidRPr="005B4E3C">
              <w:rPr>
                <w:rFonts w:ascii="Calibri" w:eastAsia="Times New Roman" w:hAnsi="Calibri" w:cs="Times New Roman"/>
                <w:b/>
                <w:bCs/>
                <w:color w:val="000000"/>
                <w:lang w:val="en-GB" w:eastAsia="en-GB"/>
              </w:rPr>
              <w:t>(February</w:t>
            </w:r>
            <w:r>
              <w:rPr>
                <w:rFonts w:ascii="Calibri" w:eastAsia="Times New Roman" w:hAnsi="Calibri" w:cs="Times New Roman"/>
                <w:b/>
                <w:bCs/>
                <w:color w:val="000000"/>
                <w:lang w:val="en-GB" w:eastAsia="en-GB"/>
              </w:rPr>
              <w:t>-</w:t>
            </w:r>
            <w:r w:rsidRPr="005B4E3C">
              <w:rPr>
                <w:rFonts w:ascii="Calibri" w:eastAsia="Times New Roman" w:hAnsi="Calibri" w:cs="Times New Roman"/>
                <w:b/>
                <w:bCs/>
                <w:color w:val="000000"/>
                <w:lang w:val="en-GB" w:eastAsia="en-GB"/>
              </w:rPr>
              <w:t>2018)</w:t>
            </w:r>
          </w:p>
        </w:tc>
        <w:tc>
          <w:tcPr>
            <w:tcW w:w="1847" w:type="pct"/>
            <w:gridSpan w:val="2"/>
            <w:tcBorders>
              <w:top w:val="single" w:sz="12" w:space="0" w:color="auto"/>
              <w:bottom w:val="single" w:sz="6" w:space="0" w:color="auto"/>
            </w:tcBorders>
            <w:shd w:val="clear" w:color="auto" w:fill="auto"/>
            <w:vAlign w:val="bottom"/>
            <w:hideMark/>
          </w:tcPr>
          <w:p w14:paraId="06A5D857" w14:textId="77777777" w:rsidR="005B4E3C" w:rsidRDefault="005B4E3C" w:rsidP="005B4E3C">
            <w:pPr>
              <w:spacing w:after="0" w:line="240" w:lineRule="auto"/>
              <w:jc w:val="center"/>
              <w:rPr>
                <w:rFonts w:ascii="Calibri" w:eastAsia="Times New Roman" w:hAnsi="Calibri" w:cs="Times New Roman"/>
                <w:b/>
                <w:bCs/>
                <w:color w:val="000000"/>
                <w:lang w:val="en-GB" w:eastAsia="en-GB"/>
              </w:rPr>
            </w:pPr>
            <w:r w:rsidRPr="005B4E3C">
              <w:rPr>
                <w:rFonts w:ascii="Calibri" w:eastAsia="Times New Roman" w:hAnsi="Calibri" w:cs="Times New Roman"/>
                <w:b/>
                <w:bCs/>
                <w:color w:val="000000"/>
                <w:lang w:val="en-GB" w:eastAsia="en-GB"/>
              </w:rPr>
              <w:t>Highest burden month</w:t>
            </w:r>
          </w:p>
          <w:p w14:paraId="2F7EEEFF" w14:textId="29F08F11" w:rsidR="005B4E3C" w:rsidRPr="005B4E3C" w:rsidRDefault="005B4E3C" w:rsidP="005B4E3C">
            <w:pPr>
              <w:spacing w:after="0" w:line="240" w:lineRule="auto"/>
              <w:jc w:val="center"/>
              <w:rPr>
                <w:rFonts w:ascii="Calibri" w:eastAsia="Times New Roman" w:hAnsi="Calibri" w:cs="Times New Roman"/>
                <w:b/>
                <w:bCs/>
                <w:color w:val="000000"/>
                <w:lang w:val="en-GB" w:eastAsia="en-GB"/>
              </w:rPr>
            </w:pPr>
            <w:r w:rsidRPr="005B4E3C">
              <w:rPr>
                <w:rFonts w:ascii="Calibri" w:eastAsia="Times New Roman" w:hAnsi="Calibri" w:cs="Times New Roman"/>
                <w:b/>
                <w:bCs/>
                <w:color w:val="000000"/>
                <w:lang w:val="en-GB" w:eastAsia="en-GB"/>
              </w:rPr>
              <w:t>(June</w:t>
            </w:r>
            <w:r>
              <w:rPr>
                <w:rFonts w:ascii="Calibri" w:eastAsia="Times New Roman" w:hAnsi="Calibri" w:cs="Times New Roman"/>
                <w:b/>
                <w:bCs/>
                <w:color w:val="000000"/>
                <w:lang w:val="en-GB" w:eastAsia="en-GB"/>
              </w:rPr>
              <w:t>-</w:t>
            </w:r>
            <w:r w:rsidRPr="005B4E3C">
              <w:rPr>
                <w:rFonts w:ascii="Calibri" w:eastAsia="Times New Roman" w:hAnsi="Calibri" w:cs="Times New Roman"/>
                <w:b/>
                <w:bCs/>
                <w:color w:val="000000"/>
                <w:lang w:val="en-GB" w:eastAsia="en-GB"/>
              </w:rPr>
              <w:t>2017)</w:t>
            </w:r>
          </w:p>
        </w:tc>
      </w:tr>
      <w:tr w:rsidR="005B4E3C" w:rsidRPr="005B4E3C" w14:paraId="48D5B819" w14:textId="77777777" w:rsidTr="00B5645D">
        <w:trPr>
          <w:trHeight w:val="405"/>
        </w:trPr>
        <w:tc>
          <w:tcPr>
            <w:tcW w:w="1314" w:type="pct"/>
            <w:vMerge/>
            <w:tcBorders>
              <w:top w:val="nil"/>
              <w:bottom w:val="single" w:sz="6" w:space="0" w:color="auto"/>
            </w:tcBorders>
            <w:vAlign w:val="center"/>
            <w:hideMark/>
          </w:tcPr>
          <w:p w14:paraId="23B2A4C3" w14:textId="77777777" w:rsidR="005B4E3C" w:rsidRPr="005B4E3C" w:rsidRDefault="005B4E3C" w:rsidP="005B4E3C">
            <w:pPr>
              <w:spacing w:after="0" w:line="240" w:lineRule="auto"/>
              <w:rPr>
                <w:rFonts w:ascii="Calibri" w:eastAsia="Times New Roman" w:hAnsi="Calibri" w:cs="Times New Roman"/>
                <w:color w:val="000000"/>
                <w:lang w:val="en-GB" w:eastAsia="en-GB"/>
              </w:rPr>
            </w:pPr>
          </w:p>
        </w:tc>
        <w:tc>
          <w:tcPr>
            <w:tcW w:w="721" w:type="pct"/>
            <w:tcBorders>
              <w:top w:val="single" w:sz="6" w:space="0" w:color="auto"/>
              <w:bottom w:val="single" w:sz="6" w:space="0" w:color="auto"/>
            </w:tcBorders>
            <w:shd w:val="clear" w:color="auto" w:fill="auto"/>
            <w:noWrap/>
            <w:vAlign w:val="center"/>
            <w:hideMark/>
          </w:tcPr>
          <w:p w14:paraId="17678BEF" w14:textId="2AE96E3F" w:rsidR="005B4E3C" w:rsidRPr="005B4E3C" w:rsidRDefault="005B4E3C"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R</w:t>
            </w:r>
            <w:r>
              <w:rPr>
                <w:rFonts w:ascii="Calibri" w:eastAsia="Times New Roman" w:hAnsi="Calibri" w:cs="Times New Roman"/>
                <w:color w:val="000000"/>
                <w:lang w:val="en-GB" w:eastAsia="en-GB"/>
              </w:rPr>
              <w:t>egion</w:t>
            </w:r>
            <w:r w:rsidR="00B5645D">
              <w:rPr>
                <w:rFonts w:ascii="Calibri" w:eastAsia="Times New Roman" w:hAnsi="Calibri" w:cs="Times New Roman"/>
                <w:color w:val="000000"/>
                <w:lang w:val="en-GB" w:eastAsia="en-GB"/>
              </w:rPr>
              <w:t>al</w:t>
            </w:r>
            <w:r>
              <w:rPr>
                <w:rFonts w:ascii="Calibri" w:eastAsia="Times New Roman" w:hAnsi="Calibri" w:cs="Times New Roman"/>
                <w:color w:val="000000"/>
                <w:lang w:val="en-GB" w:eastAsia="en-GB"/>
              </w:rPr>
              <w:t xml:space="preserve"> r</w:t>
            </w:r>
            <w:r w:rsidRPr="005B4E3C">
              <w:rPr>
                <w:rFonts w:ascii="Calibri" w:eastAsia="Times New Roman" w:hAnsi="Calibri" w:cs="Times New Roman"/>
                <w:color w:val="000000"/>
                <w:lang w:val="en-GB" w:eastAsia="en-GB"/>
              </w:rPr>
              <w:t xml:space="preserve">isk </w:t>
            </w:r>
          </w:p>
        </w:tc>
        <w:tc>
          <w:tcPr>
            <w:tcW w:w="1119" w:type="pct"/>
            <w:tcBorders>
              <w:top w:val="single" w:sz="6" w:space="0" w:color="auto"/>
              <w:bottom w:val="single" w:sz="6" w:space="0" w:color="auto"/>
            </w:tcBorders>
            <w:shd w:val="clear" w:color="auto" w:fill="auto"/>
            <w:vAlign w:val="center"/>
            <w:hideMark/>
          </w:tcPr>
          <w:p w14:paraId="35E53686" w14:textId="61F5B4C8" w:rsidR="005B4E3C" w:rsidRPr="005B4E3C" w:rsidRDefault="005B4E3C"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 xml:space="preserve">District </w:t>
            </w:r>
            <w:r>
              <w:rPr>
                <w:rFonts w:ascii="Calibri" w:eastAsia="Times New Roman" w:hAnsi="Calibri" w:cs="Times New Roman"/>
                <w:color w:val="000000"/>
                <w:lang w:val="en-GB" w:eastAsia="en-GB"/>
              </w:rPr>
              <w:t>risk range</w:t>
            </w:r>
          </w:p>
        </w:tc>
        <w:tc>
          <w:tcPr>
            <w:tcW w:w="721" w:type="pct"/>
            <w:tcBorders>
              <w:top w:val="single" w:sz="6" w:space="0" w:color="auto"/>
              <w:bottom w:val="single" w:sz="6" w:space="0" w:color="auto"/>
            </w:tcBorders>
            <w:shd w:val="clear" w:color="auto" w:fill="auto"/>
            <w:noWrap/>
            <w:vAlign w:val="center"/>
            <w:hideMark/>
          </w:tcPr>
          <w:p w14:paraId="3569949D" w14:textId="57037C0C" w:rsidR="005B4E3C" w:rsidRPr="005B4E3C" w:rsidRDefault="005B4E3C"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R</w:t>
            </w:r>
            <w:r>
              <w:rPr>
                <w:rFonts w:ascii="Calibri" w:eastAsia="Times New Roman" w:hAnsi="Calibri" w:cs="Times New Roman"/>
                <w:color w:val="000000"/>
                <w:lang w:val="en-GB" w:eastAsia="en-GB"/>
              </w:rPr>
              <w:t>egion</w:t>
            </w:r>
            <w:r w:rsidR="00B5645D">
              <w:rPr>
                <w:rFonts w:ascii="Calibri" w:eastAsia="Times New Roman" w:hAnsi="Calibri" w:cs="Times New Roman"/>
                <w:color w:val="000000"/>
                <w:lang w:val="en-GB" w:eastAsia="en-GB"/>
              </w:rPr>
              <w:t>al</w:t>
            </w:r>
            <w:r>
              <w:rPr>
                <w:rFonts w:ascii="Calibri" w:eastAsia="Times New Roman" w:hAnsi="Calibri" w:cs="Times New Roman"/>
                <w:color w:val="000000"/>
                <w:lang w:val="en-GB" w:eastAsia="en-GB"/>
              </w:rPr>
              <w:t xml:space="preserve"> r</w:t>
            </w:r>
            <w:r w:rsidRPr="005B4E3C">
              <w:rPr>
                <w:rFonts w:ascii="Calibri" w:eastAsia="Times New Roman" w:hAnsi="Calibri" w:cs="Times New Roman"/>
                <w:color w:val="000000"/>
                <w:lang w:val="en-GB" w:eastAsia="en-GB"/>
              </w:rPr>
              <w:t xml:space="preserve">isk </w:t>
            </w:r>
          </w:p>
        </w:tc>
        <w:tc>
          <w:tcPr>
            <w:tcW w:w="1126" w:type="pct"/>
            <w:tcBorders>
              <w:top w:val="single" w:sz="6" w:space="0" w:color="auto"/>
              <w:bottom w:val="single" w:sz="6" w:space="0" w:color="auto"/>
            </w:tcBorders>
            <w:shd w:val="clear" w:color="auto" w:fill="auto"/>
            <w:vAlign w:val="center"/>
          </w:tcPr>
          <w:p w14:paraId="2861BE7E" w14:textId="43C820E6" w:rsidR="005B4E3C" w:rsidRPr="005B4E3C" w:rsidRDefault="005B4E3C"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 xml:space="preserve">District </w:t>
            </w:r>
            <w:r>
              <w:rPr>
                <w:rFonts w:ascii="Calibri" w:eastAsia="Times New Roman" w:hAnsi="Calibri" w:cs="Times New Roman"/>
                <w:color w:val="000000"/>
                <w:lang w:val="en-GB" w:eastAsia="en-GB"/>
              </w:rPr>
              <w:t>risk range</w:t>
            </w:r>
          </w:p>
        </w:tc>
      </w:tr>
      <w:tr w:rsidR="00B5645D" w:rsidRPr="005B4E3C" w14:paraId="5454FFD6" w14:textId="77777777" w:rsidTr="00B5645D">
        <w:trPr>
          <w:trHeight w:val="397"/>
        </w:trPr>
        <w:tc>
          <w:tcPr>
            <w:tcW w:w="1314" w:type="pct"/>
            <w:tcBorders>
              <w:top w:val="single" w:sz="6" w:space="0" w:color="auto"/>
            </w:tcBorders>
            <w:shd w:val="clear" w:color="auto" w:fill="auto"/>
            <w:noWrap/>
            <w:vAlign w:val="bottom"/>
            <w:hideMark/>
          </w:tcPr>
          <w:p w14:paraId="4A046622" w14:textId="77777777" w:rsidR="00B5645D" w:rsidRPr="005B4E3C" w:rsidRDefault="00B5645D" w:rsidP="005B4E3C">
            <w:pPr>
              <w:spacing w:after="0" w:line="240" w:lineRule="auto"/>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Acholi</w:t>
            </w:r>
          </w:p>
        </w:tc>
        <w:tc>
          <w:tcPr>
            <w:tcW w:w="721" w:type="pct"/>
            <w:tcBorders>
              <w:top w:val="single" w:sz="6" w:space="0" w:color="auto"/>
            </w:tcBorders>
            <w:shd w:val="clear" w:color="auto" w:fill="auto"/>
            <w:noWrap/>
            <w:vAlign w:val="center"/>
            <w:hideMark/>
          </w:tcPr>
          <w:p w14:paraId="25CEF208" w14:textId="7777777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2.2</w:t>
            </w:r>
          </w:p>
        </w:tc>
        <w:tc>
          <w:tcPr>
            <w:tcW w:w="1119" w:type="pct"/>
            <w:tcBorders>
              <w:top w:val="single" w:sz="6" w:space="0" w:color="auto"/>
            </w:tcBorders>
            <w:shd w:val="clear" w:color="auto" w:fill="auto"/>
            <w:noWrap/>
            <w:vAlign w:val="center"/>
            <w:hideMark/>
          </w:tcPr>
          <w:p w14:paraId="0812B304" w14:textId="3CAE989D"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1.5</w:t>
            </w:r>
            <w:r>
              <w:rPr>
                <w:rFonts w:ascii="Calibri" w:eastAsia="Times New Roman" w:hAnsi="Calibri" w:cs="Times New Roman"/>
                <w:color w:val="000000"/>
                <w:lang w:val="en-GB" w:eastAsia="en-GB"/>
              </w:rPr>
              <w:t xml:space="preserve"> – 4.1</w:t>
            </w:r>
          </w:p>
        </w:tc>
        <w:tc>
          <w:tcPr>
            <w:tcW w:w="721" w:type="pct"/>
            <w:tcBorders>
              <w:top w:val="single" w:sz="6" w:space="0" w:color="auto"/>
            </w:tcBorders>
            <w:shd w:val="clear" w:color="auto" w:fill="auto"/>
            <w:noWrap/>
            <w:vAlign w:val="center"/>
            <w:hideMark/>
          </w:tcPr>
          <w:p w14:paraId="506A4E3C" w14:textId="7777777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2.6</w:t>
            </w:r>
          </w:p>
        </w:tc>
        <w:tc>
          <w:tcPr>
            <w:tcW w:w="1126" w:type="pct"/>
            <w:tcBorders>
              <w:top w:val="single" w:sz="6" w:space="0" w:color="auto"/>
            </w:tcBorders>
            <w:shd w:val="clear" w:color="auto" w:fill="auto"/>
            <w:noWrap/>
            <w:vAlign w:val="center"/>
            <w:hideMark/>
          </w:tcPr>
          <w:p w14:paraId="00F1B90E" w14:textId="56637A66"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1.9</w:t>
            </w:r>
            <w:r>
              <w:rPr>
                <w:rFonts w:ascii="Calibri" w:eastAsia="Times New Roman" w:hAnsi="Calibri" w:cs="Times New Roman"/>
                <w:color w:val="000000"/>
                <w:lang w:val="en-GB" w:eastAsia="en-GB"/>
              </w:rPr>
              <w:t xml:space="preserve"> – 4.6</w:t>
            </w:r>
          </w:p>
        </w:tc>
      </w:tr>
      <w:tr w:rsidR="00B5645D" w:rsidRPr="005B4E3C" w14:paraId="0AF35238" w14:textId="77777777" w:rsidTr="00B5645D">
        <w:trPr>
          <w:trHeight w:val="397"/>
        </w:trPr>
        <w:tc>
          <w:tcPr>
            <w:tcW w:w="1314" w:type="pct"/>
            <w:shd w:val="clear" w:color="auto" w:fill="auto"/>
            <w:noWrap/>
            <w:vAlign w:val="bottom"/>
            <w:hideMark/>
          </w:tcPr>
          <w:p w14:paraId="5BE7A5F5" w14:textId="77777777" w:rsidR="00B5645D" w:rsidRPr="005B4E3C" w:rsidRDefault="00B5645D" w:rsidP="005B4E3C">
            <w:pPr>
              <w:spacing w:after="0" w:line="240" w:lineRule="auto"/>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Ankole</w:t>
            </w:r>
          </w:p>
        </w:tc>
        <w:tc>
          <w:tcPr>
            <w:tcW w:w="721" w:type="pct"/>
            <w:shd w:val="clear" w:color="auto" w:fill="auto"/>
            <w:noWrap/>
            <w:vAlign w:val="center"/>
            <w:hideMark/>
          </w:tcPr>
          <w:p w14:paraId="60D69EEA" w14:textId="7777777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0.8</w:t>
            </w:r>
          </w:p>
        </w:tc>
        <w:tc>
          <w:tcPr>
            <w:tcW w:w="1119" w:type="pct"/>
            <w:shd w:val="clear" w:color="auto" w:fill="auto"/>
            <w:noWrap/>
            <w:vAlign w:val="center"/>
            <w:hideMark/>
          </w:tcPr>
          <w:p w14:paraId="76FD750B" w14:textId="3851F34E"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0.2</w:t>
            </w:r>
            <w:r>
              <w:rPr>
                <w:rFonts w:ascii="Calibri" w:eastAsia="Times New Roman" w:hAnsi="Calibri" w:cs="Times New Roman"/>
                <w:color w:val="000000"/>
                <w:lang w:val="en-GB" w:eastAsia="en-GB"/>
              </w:rPr>
              <w:t xml:space="preserve"> – 1.3</w:t>
            </w:r>
          </w:p>
        </w:tc>
        <w:tc>
          <w:tcPr>
            <w:tcW w:w="721" w:type="pct"/>
            <w:shd w:val="clear" w:color="auto" w:fill="auto"/>
            <w:noWrap/>
            <w:vAlign w:val="center"/>
            <w:hideMark/>
          </w:tcPr>
          <w:p w14:paraId="7480137D" w14:textId="7777777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0.6</w:t>
            </w:r>
          </w:p>
        </w:tc>
        <w:tc>
          <w:tcPr>
            <w:tcW w:w="1126" w:type="pct"/>
            <w:shd w:val="clear" w:color="auto" w:fill="auto"/>
            <w:noWrap/>
            <w:vAlign w:val="center"/>
            <w:hideMark/>
          </w:tcPr>
          <w:p w14:paraId="5F1A31BF" w14:textId="1F956FD6"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0.2</w:t>
            </w:r>
            <w:r>
              <w:rPr>
                <w:rFonts w:ascii="Calibri" w:eastAsia="Times New Roman" w:hAnsi="Calibri" w:cs="Times New Roman"/>
                <w:color w:val="000000"/>
                <w:lang w:val="en-GB" w:eastAsia="en-GB"/>
              </w:rPr>
              <w:t xml:space="preserve"> – 1.1</w:t>
            </w:r>
          </w:p>
        </w:tc>
      </w:tr>
      <w:tr w:rsidR="00B5645D" w:rsidRPr="005B4E3C" w14:paraId="1B115256" w14:textId="77777777" w:rsidTr="00B5645D">
        <w:trPr>
          <w:trHeight w:val="397"/>
        </w:trPr>
        <w:tc>
          <w:tcPr>
            <w:tcW w:w="1314" w:type="pct"/>
            <w:shd w:val="clear" w:color="auto" w:fill="auto"/>
            <w:noWrap/>
            <w:vAlign w:val="bottom"/>
            <w:hideMark/>
          </w:tcPr>
          <w:p w14:paraId="33A5DC0D" w14:textId="77777777" w:rsidR="00B5645D" w:rsidRPr="005B4E3C" w:rsidRDefault="00B5645D" w:rsidP="005B4E3C">
            <w:pPr>
              <w:spacing w:after="0" w:line="240" w:lineRule="auto"/>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Bugisu</w:t>
            </w:r>
          </w:p>
        </w:tc>
        <w:tc>
          <w:tcPr>
            <w:tcW w:w="721" w:type="pct"/>
            <w:shd w:val="clear" w:color="auto" w:fill="auto"/>
            <w:noWrap/>
            <w:vAlign w:val="center"/>
            <w:hideMark/>
          </w:tcPr>
          <w:p w14:paraId="7CF7B0EA" w14:textId="7777777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0.8</w:t>
            </w:r>
          </w:p>
        </w:tc>
        <w:tc>
          <w:tcPr>
            <w:tcW w:w="1119" w:type="pct"/>
            <w:shd w:val="clear" w:color="auto" w:fill="auto"/>
            <w:noWrap/>
            <w:vAlign w:val="center"/>
            <w:hideMark/>
          </w:tcPr>
          <w:p w14:paraId="6AF89516" w14:textId="40A4F135"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0.2</w:t>
            </w:r>
            <w:r>
              <w:rPr>
                <w:rFonts w:ascii="Calibri" w:eastAsia="Times New Roman" w:hAnsi="Calibri" w:cs="Times New Roman"/>
                <w:color w:val="000000"/>
                <w:lang w:val="en-GB" w:eastAsia="en-GB"/>
              </w:rPr>
              <w:t xml:space="preserve"> – 1.1</w:t>
            </w:r>
          </w:p>
        </w:tc>
        <w:tc>
          <w:tcPr>
            <w:tcW w:w="721" w:type="pct"/>
            <w:shd w:val="clear" w:color="auto" w:fill="auto"/>
            <w:noWrap/>
            <w:vAlign w:val="center"/>
            <w:hideMark/>
          </w:tcPr>
          <w:p w14:paraId="5D7C61BB" w14:textId="7777777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0.7</w:t>
            </w:r>
          </w:p>
        </w:tc>
        <w:tc>
          <w:tcPr>
            <w:tcW w:w="1126" w:type="pct"/>
            <w:shd w:val="clear" w:color="auto" w:fill="auto"/>
            <w:noWrap/>
            <w:vAlign w:val="center"/>
            <w:hideMark/>
          </w:tcPr>
          <w:p w14:paraId="2362A99B" w14:textId="4526A068"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0.3</w:t>
            </w:r>
            <w:r>
              <w:rPr>
                <w:rFonts w:ascii="Calibri" w:eastAsia="Times New Roman" w:hAnsi="Calibri" w:cs="Times New Roman"/>
                <w:color w:val="000000"/>
                <w:lang w:val="en-GB" w:eastAsia="en-GB"/>
              </w:rPr>
              <w:t xml:space="preserve"> – 1.0</w:t>
            </w:r>
          </w:p>
        </w:tc>
      </w:tr>
      <w:tr w:rsidR="00B5645D" w:rsidRPr="005B4E3C" w14:paraId="1B4C77E7" w14:textId="77777777" w:rsidTr="00B5645D">
        <w:trPr>
          <w:trHeight w:val="397"/>
        </w:trPr>
        <w:tc>
          <w:tcPr>
            <w:tcW w:w="1314" w:type="pct"/>
            <w:shd w:val="clear" w:color="auto" w:fill="auto"/>
            <w:noWrap/>
            <w:vAlign w:val="bottom"/>
            <w:hideMark/>
          </w:tcPr>
          <w:p w14:paraId="02907B79" w14:textId="77777777" w:rsidR="00B5645D" w:rsidRPr="005B4E3C" w:rsidRDefault="00B5645D" w:rsidP="005B4E3C">
            <w:pPr>
              <w:spacing w:after="0" w:line="240" w:lineRule="auto"/>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Bukedi</w:t>
            </w:r>
          </w:p>
        </w:tc>
        <w:tc>
          <w:tcPr>
            <w:tcW w:w="721" w:type="pct"/>
            <w:shd w:val="clear" w:color="auto" w:fill="auto"/>
            <w:noWrap/>
            <w:vAlign w:val="center"/>
            <w:hideMark/>
          </w:tcPr>
          <w:p w14:paraId="7BDD7658" w14:textId="7777777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0.7</w:t>
            </w:r>
          </w:p>
        </w:tc>
        <w:tc>
          <w:tcPr>
            <w:tcW w:w="1119" w:type="pct"/>
            <w:shd w:val="clear" w:color="auto" w:fill="auto"/>
            <w:noWrap/>
            <w:vAlign w:val="center"/>
            <w:hideMark/>
          </w:tcPr>
          <w:p w14:paraId="1FA2CEA9" w14:textId="3248E28A"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1.2</w:t>
            </w:r>
            <w:r>
              <w:rPr>
                <w:rFonts w:ascii="Calibri" w:eastAsia="Times New Roman" w:hAnsi="Calibri" w:cs="Times New Roman"/>
                <w:color w:val="000000"/>
                <w:lang w:val="en-GB" w:eastAsia="en-GB"/>
              </w:rPr>
              <w:t xml:space="preserve"> – 2.4</w:t>
            </w:r>
          </w:p>
        </w:tc>
        <w:tc>
          <w:tcPr>
            <w:tcW w:w="721" w:type="pct"/>
            <w:shd w:val="clear" w:color="auto" w:fill="auto"/>
            <w:noWrap/>
            <w:vAlign w:val="center"/>
            <w:hideMark/>
          </w:tcPr>
          <w:p w14:paraId="43DEFBE4" w14:textId="7777777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0.8</w:t>
            </w:r>
          </w:p>
        </w:tc>
        <w:tc>
          <w:tcPr>
            <w:tcW w:w="1126" w:type="pct"/>
            <w:shd w:val="clear" w:color="auto" w:fill="auto"/>
            <w:noWrap/>
            <w:vAlign w:val="center"/>
            <w:hideMark/>
          </w:tcPr>
          <w:p w14:paraId="2420D9B3" w14:textId="4B600EEB"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0.2</w:t>
            </w:r>
            <w:r>
              <w:rPr>
                <w:rFonts w:ascii="Calibri" w:eastAsia="Times New Roman" w:hAnsi="Calibri" w:cs="Times New Roman"/>
                <w:color w:val="000000"/>
                <w:lang w:val="en-GB" w:eastAsia="en-GB"/>
              </w:rPr>
              <w:t xml:space="preserve"> – 2.4</w:t>
            </w:r>
          </w:p>
        </w:tc>
      </w:tr>
      <w:tr w:rsidR="00B5645D" w:rsidRPr="005B4E3C" w14:paraId="06A65E02" w14:textId="77777777" w:rsidTr="00B5645D">
        <w:trPr>
          <w:trHeight w:val="397"/>
        </w:trPr>
        <w:tc>
          <w:tcPr>
            <w:tcW w:w="1314" w:type="pct"/>
            <w:shd w:val="clear" w:color="auto" w:fill="auto"/>
            <w:noWrap/>
            <w:vAlign w:val="bottom"/>
            <w:hideMark/>
          </w:tcPr>
          <w:p w14:paraId="5FA0A485" w14:textId="77777777" w:rsidR="00B5645D" w:rsidRPr="005B4E3C" w:rsidRDefault="00B5645D" w:rsidP="005B4E3C">
            <w:pPr>
              <w:spacing w:after="0" w:line="240" w:lineRule="auto"/>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Bunyoro</w:t>
            </w:r>
          </w:p>
        </w:tc>
        <w:tc>
          <w:tcPr>
            <w:tcW w:w="721" w:type="pct"/>
            <w:shd w:val="clear" w:color="auto" w:fill="auto"/>
            <w:noWrap/>
            <w:vAlign w:val="center"/>
            <w:hideMark/>
          </w:tcPr>
          <w:p w14:paraId="30D466B9" w14:textId="7777777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0.8</w:t>
            </w:r>
          </w:p>
        </w:tc>
        <w:tc>
          <w:tcPr>
            <w:tcW w:w="1119" w:type="pct"/>
            <w:shd w:val="clear" w:color="auto" w:fill="auto"/>
            <w:noWrap/>
            <w:vAlign w:val="center"/>
            <w:hideMark/>
          </w:tcPr>
          <w:p w14:paraId="3B3AC2DD" w14:textId="2364EA7F"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0.4</w:t>
            </w:r>
            <w:r>
              <w:rPr>
                <w:rFonts w:ascii="Calibri" w:eastAsia="Times New Roman" w:hAnsi="Calibri" w:cs="Times New Roman"/>
                <w:color w:val="000000"/>
                <w:lang w:val="en-GB" w:eastAsia="en-GB"/>
              </w:rPr>
              <w:t xml:space="preserve"> – 1.5</w:t>
            </w:r>
          </w:p>
        </w:tc>
        <w:tc>
          <w:tcPr>
            <w:tcW w:w="721" w:type="pct"/>
            <w:shd w:val="clear" w:color="auto" w:fill="auto"/>
            <w:noWrap/>
            <w:vAlign w:val="center"/>
            <w:hideMark/>
          </w:tcPr>
          <w:p w14:paraId="585274F8" w14:textId="7777777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0.9</w:t>
            </w:r>
          </w:p>
        </w:tc>
        <w:tc>
          <w:tcPr>
            <w:tcW w:w="1126" w:type="pct"/>
            <w:shd w:val="clear" w:color="auto" w:fill="auto"/>
            <w:noWrap/>
            <w:vAlign w:val="center"/>
            <w:hideMark/>
          </w:tcPr>
          <w:p w14:paraId="31257FD8" w14:textId="0890DBEC"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0.5</w:t>
            </w:r>
            <w:r>
              <w:rPr>
                <w:rFonts w:ascii="Calibri" w:eastAsia="Times New Roman" w:hAnsi="Calibri" w:cs="Times New Roman"/>
                <w:color w:val="000000"/>
                <w:lang w:val="en-GB" w:eastAsia="en-GB"/>
              </w:rPr>
              <w:t xml:space="preserve"> – 1.7</w:t>
            </w:r>
          </w:p>
        </w:tc>
      </w:tr>
      <w:tr w:rsidR="00B5645D" w:rsidRPr="005B4E3C" w14:paraId="363F09B4" w14:textId="77777777" w:rsidTr="00B5645D">
        <w:trPr>
          <w:trHeight w:val="397"/>
        </w:trPr>
        <w:tc>
          <w:tcPr>
            <w:tcW w:w="1314" w:type="pct"/>
            <w:shd w:val="clear" w:color="auto" w:fill="auto"/>
            <w:noWrap/>
            <w:vAlign w:val="bottom"/>
            <w:hideMark/>
          </w:tcPr>
          <w:p w14:paraId="377132B7" w14:textId="77777777" w:rsidR="00B5645D" w:rsidRPr="005B4E3C" w:rsidRDefault="00B5645D" w:rsidP="005B4E3C">
            <w:pPr>
              <w:spacing w:after="0" w:line="240" w:lineRule="auto"/>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East Central - Busoga</w:t>
            </w:r>
          </w:p>
        </w:tc>
        <w:tc>
          <w:tcPr>
            <w:tcW w:w="721" w:type="pct"/>
            <w:shd w:val="clear" w:color="auto" w:fill="auto"/>
            <w:noWrap/>
            <w:vAlign w:val="center"/>
            <w:hideMark/>
          </w:tcPr>
          <w:p w14:paraId="0CB374F8" w14:textId="7777777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1.3</w:t>
            </w:r>
          </w:p>
        </w:tc>
        <w:tc>
          <w:tcPr>
            <w:tcW w:w="1119" w:type="pct"/>
            <w:shd w:val="clear" w:color="auto" w:fill="auto"/>
            <w:noWrap/>
            <w:vAlign w:val="center"/>
            <w:hideMark/>
          </w:tcPr>
          <w:p w14:paraId="64DFEC7A" w14:textId="4D96BA78"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0.5</w:t>
            </w:r>
            <w:r>
              <w:rPr>
                <w:rFonts w:ascii="Calibri" w:eastAsia="Times New Roman" w:hAnsi="Calibri" w:cs="Times New Roman"/>
                <w:color w:val="000000"/>
                <w:lang w:val="en-GB" w:eastAsia="en-GB"/>
              </w:rPr>
              <w:t xml:space="preserve"> – 2.1</w:t>
            </w:r>
          </w:p>
        </w:tc>
        <w:tc>
          <w:tcPr>
            <w:tcW w:w="721" w:type="pct"/>
            <w:shd w:val="clear" w:color="auto" w:fill="auto"/>
            <w:noWrap/>
            <w:vAlign w:val="center"/>
            <w:hideMark/>
          </w:tcPr>
          <w:p w14:paraId="7D7FE9C5" w14:textId="7777777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1.3</w:t>
            </w:r>
          </w:p>
        </w:tc>
        <w:tc>
          <w:tcPr>
            <w:tcW w:w="1126" w:type="pct"/>
            <w:shd w:val="clear" w:color="auto" w:fill="auto"/>
            <w:noWrap/>
            <w:vAlign w:val="center"/>
            <w:hideMark/>
          </w:tcPr>
          <w:p w14:paraId="18775D32" w14:textId="79772DC6"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0.5</w:t>
            </w:r>
            <w:r>
              <w:rPr>
                <w:rFonts w:ascii="Calibri" w:eastAsia="Times New Roman" w:hAnsi="Calibri" w:cs="Times New Roman"/>
                <w:color w:val="000000"/>
                <w:lang w:val="en-GB" w:eastAsia="en-GB"/>
              </w:rPr>
              <w:t xml:space="preserve"> – 2</w:t>
            </w:r>
          </w:p>
        </w:tc>
      </w:tr>
      <w:tr w:rsidR="00B5645D" w:rsidRPr="005B4E3C" w14:paraId="3D5B9CD2" w14:textId="77777777" w:rsidTr="00B5645D">
        <w:trPr>
          <w:trHeight w:val="397"/>
        </w:trPr>
        <w:tc>
          <w:tcPr>
            <w:tcW w:w="1314" w:type="pct"/>
            <w:shd w:val="clear" w:color="auto" w:fill="auto"/>
            <w:noWrap/>
            <w:vAlign w:val="bottom"/>
            <w:hideMark/>
          </w:tcPr>
          <w:p w14:paraId="2B63FD42" w14:textId="77777777" w:rsidR="00B5645D" w:rsidRPr="005B4E3C" w:rsidRDefault="00B5645D" w:rsidP="005B4E3C">
            <w:pPr>
              <w:spacing w:after="0" w:line="240" w:lineRule="auto"/>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Kampala</w:t>
            </w:r>
          </w:p>
        </w:tc>
        <w:tc>
          <w:tcPr>
            <w:tcW w:w="721" w:type="pct"/>
            <w:shd w:val="clear" w:color="auto" w:fill="auto"/>
            <w:noWrap/>
            <w:vAlign w:val="center"/>
            <w:hideMark/>
          </w:tcPr>
          <w:p w14:paraId="35F78FAA" w14:textId="7777777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0.2</w:t>
            </w:r>
          </w:p>
        </w:tc>
        <w:tc>
          <w:tcPr>
            <w:tcW w:w="1119" w:type="pct"/>
            <w:shd w:val="clear" w:color="auto" w:fill="auto"/>
            <w:noWrap/>
            <w:vAlign w:val="center"/>
            <w:hideMark/>
          </w:tcPr>
          <w:p w14:paraId="7B6003C1" w14:textId="77F2AB70" w:rsidR="00B5645D" w:rsidRPr="005B4E3C" w:rsidRDefault="00B5645D" w:rsidP="005B4E3C">
            <w:pPr>
              <w:spacing w:after="0" w:line="240" w:lineRule="auto"/>
              <w:jc w:val="center"/>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N/A</w:t>
            </w:r>
          </w:p>
        </w:tc>
        <w:tc>
          <w:tcPr>
            <w:tcW w:w="721" w:type="pct"/>
            <w:shd w:val="clear" w:color="auto" w:fill="auto"/>
            <w:noWrap/>
            <w:vAlign w:val="center"/>
            <w:hideMark/>
          </w:tcPr>
          <w:p w14:paraId="2D7CF707" w14:textId="7777777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0.2</w:t>
            </w:r>
          </w:p>
        </w:tc>
        <w:tc>
          <w:tcPr>
            <w:tcW w:w="1126" w:type="pct"/>
            <w:shd w:val="clear" w:color="auto" w:fill="auto"/>
            <w:noWrap/>
            <w:vAlign w:val="center"/>
            <w:hideMark/>
          </w:tcPr>
          <w:p w14:paraId="41C4FE46" w14:textId="3A0F142B" w:rsidR="00B5645D" w:rsidRPr="005B4E3C" w:rsidRDefault="00B5645D" w:rsidP="005B4E3C">
            <w:pPr>
              <w:spacing w:after="0" w:line="240" w:lineRule="auto"/>
              <w:jc w:val="center"/>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N/A</w:t>
            </w:r>
          </w:p>
        </w:tc>
      </w:tr>
      <w:tr w:rsidR="00B5645D" w:rsidRPr="005B4E3C" w14:paraId="0F90C504" w14:textId="77777777" w:rsidTr="00B5645D">
        <w:trPr>
          <w:trHeight w:val="397"/>
        </w:trPr>
        <w:tc>
          <w:tcPr>
            <w:tcW w:w="1314" w:type="pct"/>
            <w:shd w:val="clear" w:color="auto" w:fill="auto"/>
            <w:noWrap/>
            <w:vAlign w:val="bottom"/>
            <w:hideMark/>
          </w:tcPr>
          <w:p w14:paraId="7E9BF283" w14:textId="77777777" w:rsidR="00B5645D" w:rsidRPr="005B4E3C" w:rsidRDefault="00B5645D" w:rsidP="005B4E3C">
            <w:pPr>
              <w:spacing w:after="0" w:line="240" w:lineRule="auto"/>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Karamoja</w:t>
            </w:r>
          </w:p>
        </w:tc>
        <w:tc>
          <w:tcPr>
            <w:tcW w:w="721" w:type="pct"/>
            <w:shd w:val="clear" w:color="auto" w:fill="auto"/>
            <w:noWrap/>
            <w:vAlign w:val="center"/>
            <w:hideMark/>
          </w:tcPr>
          <w:p w14:paraId="3FB37DB5" w14:textId="7777777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1.4</w:t>
            </w:r>
          </w:p>
        </w:tc>
        <w:tc>
          <w:tcPr>
            <w:tcW w:w="1119" w:type="pct"/>
            <w:shd w:val="clear" w:color="auto" w:fill="auto"/>
            <w:noWrap/>
            <w:vAlign w:val="center"/>
            <w:hideMark/>
          </w:tcPr>
          <w:p w14:paraId="2FC44AB0" w14:textId="3C91008D"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0.6</w:t>
            </w:r>
            <w:r>
              <w:rPr>
                <w:rFonts w:ascii="Calibri" w:eastAsia="Times New Roman" w:hAnsi="Calibri" w:cs="Times New Roman"/>
                <w:color w:val="000000"/>
                <w:lang w:val="en-GB" w:eastAsia="en-GB"/>
              </w:rPr>
              <w:t xml:space="preserve"> – 2.7</w:t>
            </w:r>
          </w:p>
        </w:tc>
        <w:tc>
          <w:tcPr>
            <w:tcW w:w="721" w:type="pct"/>
            <w:shd w:val="clear" w:color="auto" w:fill="auto"/>
            <w:noWrap/>
            <w:vAlign w:val="center"/>
            <w:hideMark/>
          </w:tcPr>
          <w:p w14:paraId="18721257" w14:textId="7777777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1.4</w:t>
            </w:r>
          </w:p>
        </w:tc>
        <w:tc>
          <w:tcPr>
            <w:tcW w:w="1126" w:type="pct"/>
            <w:shd w:val="clear" w:color="auto" w:fill="auto"/>
            <w:noWrap/>
            <w:vAlign w:val="center"/>
            <w:hideMark/>
          </w:tcPr>
          <w:p w14:paraId="1BBF28E6" w14:textId="0740E941"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0.7</w:t>
            </w:r>
            <w:r>
              <w:rPr>
                <w:rFonts w:ascii="Calibri" w:eastAsia="Times New Roman" w:hAnsi="Calibri" w:cs="Times New Roman"/>
                <w:color w:val="000000"/>
                <w:lang w:val="en-GB" w:eastAsia="en-GB"/>
              </w:rPr>
              <w:t xml:space="preserve"> – 2.2</w:t>
            </w:r>
          </w:p>
        </w:tc>
      </w:tr>
      <w:tr w:rsidR="00B5645D" w:rsidRPr="005B4E3C" w14:paraId="5BF98BEF" w14:textId="77777777" w:rsidTr="00B5645D">
        <w:trPr>
          <w:trHeight w:val="397"/>
        </w:trPr>
        <w:tc>
          <w:tcPr>
            <w:tcW w:w="1314" w:type="pct"/>
            <w:shd w:val="clear" w:color="auto" w:fill="auto"/>
            <w:noWrap/>
            <w:vAlign w:val="bottom"/>
            <w:hideMark/>
          </w:tcPr>
          <w:p w14:paraId="3FE2EC8A" w14:textId="77777777" w:rsidR="00B5645D" w:rsidRPr="005B4E3C" w:rsidRDefault="00B5645D" w:rsidP="005B4E3C">
            <w:pPr>
              <w:spacing w:after="0" w:line="240" w:lineRule="auto"/>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Kigezi</w:t>
            </w:r>
          </w:p>
        </w:tc>
        <w:tc>
          <w:tcPr>
            <w:tcW w:w="721" w:type="pct"/>
            <w:shd w:val="clear" w:color="auto" w:fill="auto"/>
            <w:noWrap/>
            <w:vAlign w:val="center"/>
            <w:hideMark/>
          </w:tcPr>
          <w:p w14:paraId="7F994BE9" w14:textId="7777777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0.4</w:t>
            </w:r>
          </w:p>
        </w:tc>
        <w:tc>
          <w:tcPr>
            <w:tcW w:w="1119" w:type="pct"/>
            <w:shd w:val="clear" w:color="auto" w:fill="auto"/>
            <w:noWrap/>
            <w:vAlign w:val="center"/>
            <w:hideMark/>
          </w:tcPr>
          <w:p w14:paraId="694898C9" w14:textId="6CA518F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0.1</w:t>
            </w:r>
            <w:r>
              <w:rPr>
                <w:rFonts w:ascii="Calibri" w:eastAsia="Times New Roman" w:hAnsi="Calibri" w:cs="Times New Roman"/>
                <w:color w:val="000000"/>
                <w:lang w:val="en-GB" w:eastAsia="en-GB"/>
              </w:rPr>
              <w:t xml:space="preserve"> – 1.0</w:t>
            </w:r>
          </w:p>
        </w:tc>
        <w:tc>
          <w:tcPr>
            <w:tcW w:w="721" w:type="pct"/>
            <w:shd w:val="clear" w:color="auto" w:fill="auto"/>
            <w:noWrap/>
            <w:vAlign w:val="center"/>
            <w:hideMark/>
          </w:tcPr>
          <w:p w14:paraId="211A4CF5" w14:textId="7777777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0.4</w:t>
            </w:r>
          </w:p>
        </w:tc>
        <w:tc>
          <w:tcPr>
            <w:tcW w:w="1126" w:type="pct"/>
            <w:shd w:val="clear" w:color="auto" w:fill="auto"/>
            <w:noWrap/>
            <w:vAlign w:val="center"/>
            <w:hideMark/>
          </w:tcPr>
          <w:p w14:paraId="72C0729B" w14:textId="2C97131C"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0.1</w:t>
            </w:r>
            <w:r>
              <w:rPr>
                <w:rFonts w:ascii="Calibri" w:eastAsia="Times New Roman" w:hAnsi="Calibri" w:cs="Times New Roman"/>
                <w:color w:val="000000"/>
                <w:lang w:val="en-GB" w:eastAsia="en-GB"/>
              </w:rPr>
              <w:t xml:space="preserve"> – 0.8</w:t>
            </w:r>
          </w:p>
        </w:tc>
      </w:tr>
      <w:tr w:rsidR="00B5645D" w:rsidRPr="005B4E3C" w14:paraId="0B6E0220" w14:textId="77777777" w:rsidTr="00B5645D">
        <w:trPr>
          <w:trHeight w:val="397"/>
        </w:trPr>
        <w:tc>
          <w:tcPr>
            <w:tcW w:w="1314" w:type="pct"/>
            <w:shd w:val="clear" w:color="auto" w:fill="auto"/>
            <w:noWrap/>
            <w:vAlign w:val="bottom"/>
            <w:hideMark/>
          </w:tcPr>
          <w:p w14:paraId="0F7A31C2" w14:textId="77777777" w:rsidR="00B5645D" w:rsidRPr="005B4E3C" w:rsidRDefault="00B5645D" w:rsidP="005B4E3C">
            <w:pPr>
              <w:spacing w:after="0" w:line="240" w:lineRule="auto"/>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Lango</w:t>
            </w:r>
          </w:p>
        </w:tc>
        <w:tc>
          <w:tcPr>
            <w:tcW w:w="721" w:type="pct"/>
            <w:shd w:val="clear" w:color="auto" w:fill="auto"/>
            <w:noWrap/>
            <w:vAlign w:val="center"/>
            <w:hideMark/>
          </w:tcPr>
          <w:p w14:paraId="5DD3A276" w14:textId="7777777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0.8</w:t>
            </w:r>
          </w:p>
        </w:tc>
        <w:tc>
          <w:tcPr>
            <w:tcW w:w="1119" w:type="pct"/>
            <w:shd w:val="clear" w:color="auto" w:fill="auto"/>
            <w:noWrap/>
            <w:vAlign w:val="center"/>
            <w:hideMark/>
          </w:tcPr>
          <w:p w14:paraId="476CB1D2" w14:textId="1A5B25F4"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0.3</w:t>
            </w:r>
            <w:r>
              <w:rPr>
                <w:rFonts w:ascii="Calibri" w:eastAsia="Times New Roman" w:hAnsi="Calibri" w:cs="Times New Roman"/>
                <w:color w:val="000000"/>
                <w:lang w:val="en-GB" w:eastAsia="en-GB"/>
              </w:rPr>
              <w:t xml:space="preserve"> – 1.5</w:t>
            </w:r>
          </w:p>
        </w:tc>
        <w:tc>
          <w:tcPr>
            <w:tcW w:w="721" w:type="pct"/>
            <w:shd w:val="clear" w:color="auto" w:fill="auto"/>
            <w:noWrap/>
            <w:vAlign w:val="center"/>
            <w:hideMark/>
          </w:tcPr>
          <w:p w14:paraId="2FEE9457" w14:textId="7777777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0.9</w:t>
            </w:r>
          </w:p>
        </w:tc>
        <w:tc>
          <w:tcPr>
            <w:tcW w:w="1126" w:type="pct"/>
            <w:shd w:val="clear" w:color="auto" w:fill="auto"/>
            <w:noWrap/>
            <w:vAlign w:val="center"/>
            <w:hideMark/>
          </w:tcPr>
          <w:p w14:paraId="7AAE4A86" w14:textId="03F35656"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0.3</w:t>
            </w:r>
            <w:r>
              <w:rPr>
                <w:rFonts w:ascii="Calibri" w:eastAsia="Times New Roman" w:hAnsi="Calibri" w:cs="Times New Roman"/>
                <w:color w:val="000000"/>
                <w:lang w:val="en-GB" w:eastAsia="en-GB"/>
              </w:rPr>
              <w:t xml:space="preserve"> – 1.6</w:t>
            </w:r>
          </w:p>
        </w:tc>
      </w:tr>
      <w:tr w:rsidR="00B5645D" w:rsidRPr="005B4E3C" w14:paraId="2A920B28" w14:textId="77777777" w:rsidTr="00B5645D">
        <w:trPr>
          <w:trHeight w:val="397"/>
        </w:trPr>
        <w:tc>
          <w:tcPr>
            <w:tcW w:w="1314" w:type="pct"/>
            <w:shd w:val="clear" w:color="auto" w:fill="auto"/>
            <w:noWrap/>
            <w:vAlign w:val="bottom"/>
            <w:hideMark/>
          </w:tcPr>
          <w:p w14:paraId="16543A74" w14:textId="77777777" w:rsidR="00B5645D" w:rsidRPr="005B4E3C" w:rsidRDefault="00B5645D" w:rsidP="005B4E3C">
            <w:pPr>
              <w:spacing w:after="0" w:line="240" w:lineRule="auto"/>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North Buganda</w:t>
            </w:r>
          </w:p>
        </w:tc>
        <w:tc>
          <w:tcPr>
            <w:tcW w:w="721" w:type="pct"/>
            <w:shd w:val="clear" w:color="auto" w:fill="auto"/>
            <w:noWrap/>
            <w:vAlign w:val="center"/>
            <w:hideMark/>
          </w:tcPr>
          <w:p w14:paraId="385329CA" w14:textId="7777777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1</w:t>
            </w:r>
          </w:p>
        </w:tc>
        <w:tc>
          <w:tcPr>
            <w:tcW w:w="1119" w:type="pct"/>
            <w:shd w:val="clear" w:color="auto" w:fill="auto"/>
            <w:noWrap/>
            <w:vAlign w:val="center"/>
            <w:hideMark/>
          </w:tcPr>
          <w:p w14:paraId="163A4CC3" w14:textId="484DD5A3"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0.7</w:t>
            </w:r>
            <w:r>
              <w:rPr>
                <w:rFonts w:ascii="Calibri" w:eastAsia="Times New Roman" w:hAnsi="Calibri" w:cs="Times New Roman"/>
                <w:color w:val="000000"/>
                <w:lang w:val="en-GB" w:eastAsia="en-GB"/>
              </w:rPr>
              <w:t xml:space="preserve"> – 1.4</w:t>
            </w:r>
          </w:p>
        </w:tc>
        <w:tc>
          <w:tcPr>
            <w:tcW w:w="721" w:type="pct"/>
            <w:shd w:val="clear" w:color="auto" w:fill="auto"/>
            <w:noWrap/>
            <w:vAlign w:val="center"/>
            <w:hideMark/>
          </w:tcPr>
          <w:p w14:paraId="559F8791" w14:textId="7777777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1</w:t>
            </w:r>
          </w:p>
        </w:tc>
        <w:tc>
          <w:tcPr>
            <w:tcW w:w="1126" w:type="pct"/>
            <w:shd w:val="clear" w:color="auto" w:fill="auto"/>
            <w:noWrap/>
            <w:vAlign w:val="center"/>
            <w:hideMark/>
          </w:tcPr>
          <w:p w14:paraId="52693E90" w14:textId="460AF0F6"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0.8</w:t>
            </w:r>
            <w:r>
              <w:rPr>
                <w:rFonts w:ascii="Calibri" w:eastAsia="Times New Roman" w:hAnsi="Calibri" w:cs="Times New Roman"/>
                <w:color w:val="000000"/>
                <w:lang w:val="en-GB" w:eastAsia="en-GB"/>
              </w:rPr>
              <w:t xml:space="preserve"> – 1.4</w:t>
            </w:r>
          </w:p>
        </w:tc>
      </w:tr>
      <w:tr w:rsidR="00B5645D" w:rsidRPr="005B4E3C" w14:paraId="2BCCCCF6" w14:textId="77777777" w:rsidTr="00B5645D">
        <w:trPr>
          <w:trHeight w:val="397"/>
        </w:trPr>
        <w:tc>
          <w:tcPr>
            <w:tcW w:w="1314" w:type="pct"/>
            <w:shd w:val="clear" w:color="auto" w:fill="auto"/>
            <w:noWrap/>
            <w:vAlign w:val="bottom"/>
            <w:hideMark/>
          </w:tcPr>
          <w:p w14:paraId="3FC2C623" w14:textId="77777777" w:rsidR="00B5645D" w:rsidRPr="005B4E3C" w:rsidRDefault="00B5645D" w:rsidP="005B4E3C">
            <w:pPr>
              <w:spacing w:after="0" w:line="240" w:lineRule="auto"/>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South Buganda</w:t>
            </w:r>
          </w:p>
        </w:tc>
        <w:tc>
          <w:tcPr>
            <w:tcW w:w="721" w:type="pct"/>
            <w:shd w:val="clear" w:color="auto" w:fill="auto"/>
            <w:noWrap/>
            <w:vAlign w:val="center"/>
            <w:hideMark/>
          </w:tcPr>
          <w:p w14:paraId="2E3806EE" w14:textId="7777777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0.7</w:t>
            </w:r>
          </w:p>
        </w:tc>
        <w:tc>
          <w:tcPr>
            <w:tcW w:w="1119" w:type="pct"/>
            <w:shd w:val="clear" w:color="auto" w:fill="auto"/>
            <w:noWrap/>
            <w:vAlign w:val="center"/>
            <w:hideMark/>
          </w:tcPr>
          <w:p w14:paraId="4DFA99D2" w14:textId="17C3CF14"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0.3</w:t>
            </w:r>
            <w:r>
              <w:rPr>
                <w:rFonts w:ascii="Calibri" w:eastAsia="Times New Roman" w:hAnsi="Calibri" w:cs="Times New Roman"/>
                <w:color w:val="000000"/>
                <w:lang w:val="en-GB" w:eastAsia="en-GB"/>
              </w:rPr>
              <w:t xml:space="preserve"> – 2.0</w:t>
            </w:r>
          </w:p>
        </w:tc>
        <w:tc>
          <w:tcPr>
            <w:tcW w:w="721" w:type="pct"/>
            <w:shd w:val="clear" w:color="auto" w:fill="auto"/>
            <w:noWrap/>
            <w:vAlign w:val="center"/>
            <w:hideMark/>
          </w:tcPr>
          <w:p w14:paraId="21EBDD64" w14:textId="7777777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0.7</w:t>
            </w:r>
          </w:p>
        </w:tc>
        <w:tc>
          <w:tcPr>
            <w:tcW w:w="1126" w:type="pct"/>
            <w:shd w:val="clear" w:color="auto" w:fill="auto"/>
            <w:noWrap/>
            <w:vAlign w:val="center"/>
            <w:hideMark/>
          </w:tcPr>
          <w:p w14:paraId="388D9D00" w14:textId="65B326A6"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0.3</w:t>
            </w:r>
            <w:r>
              <w:rPr>
                <w:rFonts w:ascii="Calibri" w:eastAsia="Times New Roman" w:hAnsi="Calibri" w:cs="Times New Roman"/>
                <w:color w:val="000000"/>
                <w:lang w:val="en-GB" w:eastAsia="en-GB"/>
              </w:rPr>
              <w:t xml:space="preserve"> – 1.9</w:t>
            </w:r>
          </w:p>
        </w:tc>
      </w:tr>
      <w:tr w:rsidR="00B5645D" w:rsidRPr="005B4E3C" w14:paraId="3D7FBB52" w14:textId="77777777" w:rsidTr="00B5645D">
        <w:trPr>
          <w:trHeight w:val="397"/>
        </w:trPr>
        <w:tc>
          <w:tcPr>
            <w:tcW w:w="1314" w:type="pct"/>
            <w:shd w:val="clear" w:color="auto" w:fill="auto"/>
            <w:noWrap/>
            <w:vAlign w:val="bottom"/>
            <w:hideMark/>
          </w:tcPr>
          <w:p w14:paraId="6ADFC98A" w14:textId="77777777" w:rsidR="00B5645D" w:rsidRPr="005B4E3C" w:rsidRDefault="00B5645D" w:rsidP="005B4E3C">
            <w:pPr>
              <w:spacing w:after="0" w:line="240" w:lineRule="auto"/>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Teso</w:t>
            </w:r>
          </w:p>
        </w:tc>
        <w:tc>
          <w:tcPr>
            <w:tcW w:w="721" w:type="pct"/>
            <w:shd w:val="clear" w:color="auto" w:fill="auto"/>
            <w:noWrap/>
            <w:vAlign w:val="center"/>
            <w:hideMark/>
          </w:tcPr>
          <w:p w14:paraId="26439A9C" w14:textId="7777777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1.1</w:t>
            </w:r>
          </w:p>
        </w:tc>
        <w:tc>
          <w:tcPr>
            <w:tcW w:w="1119" w:type="pct"/>
            <w:shd w:val="clear" w:color="auto" w:fill="auto"/>
            <w:noWrap/>
            <w:vAlign w:val="center"/>
            <w:hideMark/>
          </w:tcPr>
          <w:p w14:paraId="30CB395A" w14:textId="5E3929AA"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0.4</w:t>
            </w:r>
            <w:r>
              <w:rPr>
                <w:rFonts w:ascii="Calibri" w:eastAsia="Times New Roman" w:hAnsi="Calibri" w:cs="Times New Roman"/>
                <w:color w:val="000000"/>
                <w:lang w:val="en-GB" w:eastAsia="en-GB"/>
              </w:rPr>
              <w:t xml:space="preserve"> – 1.8</w:t>
            </w:r>
          </w:p>
        </w:tc>
        <w:tc>
          <w:tcPr>
            <w:tcW w:w="721" w:type="pct"/>
            <w:shd w:val="clear" w:color="auto" w:fill="auto"/>
            <w:noWrap/>
            <w:vAlign w:val="center"/>
            <w:hideMark/>
          </w:tcPr>
          <w:p w14:paraId="7F63F341" w14:textId="7777777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1.2</w:t>
            </w:r>
          </w:p>
        </w:tc>
        <w:tc>
          <w:tcPr>
            <w:tcW w:w="1126" w:type="pct"/>
            <w:shd w:val="clear" w:color="auto" w:fill="auto"/>
            <w:noWrap/>
            <w:vAlign w:val="center"/>
            <w:hideMark/>
          </w:tcPr>
          <w:p w14:paraId="6EFEBC03" w14:textId="23A6697E"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0.4</w:t>
            </w:r>
            <w:r>
              <w:rPr>
                <w:rFonts w:ascii="Calibri" w:eastAsia="Times New Roman" w:hAnsi="Calibri" w:cs="Times New Roman"/>
                <w:color w:val="000000"/>
                <w:lang w:val="en-GB" w:eastAsia="en-GB"/>
              </w:rPr>
              <w:t xml:space="preserve"> – 2.0</w:t>
            </w:r>
          </w:p>
        </w:tc>
      </w:tr>
      <w:tr w:rsidR="00B5645D" w:rsidRPr="005B4E3C" w14:paraId="74068B0B" w14:textId="77777777" w:rsidTr="00B5645D">
        <w:trPr>
          <w:trHeight w:val="397"/>
        </w:trPr>
        <w:tc>
          <w:tcPr>
            <w:tcW w:w="1314" w:type="pct"/>
            <w:shd w:val="clear" w:color="auto" w:fill="auto"/>
            <w:noWrap/>
            <w:vAlign w:val="bottom"/>
            <w:hideMark/>
          </w:tcPr>
          <w:p w14:paraId="684218EC" w14:textId="77777777" w:rsidR="00B5645D" w:rsidRPr="005B4E3C" w:rsidRDefault="00B5645D" w:rsidP="005B4E3C">
            <w:pPr>
              <w:spacing w:after="0" w:line="240" w:lineRule="auto"/>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Tooro</w:t>
            </w:r>
          </w:p>
        </w:tc>
        <w:tc>
          <w:tcPr>
            <w:tcW w:w="721" w:type="pct"/>
            <w:shd w:val="clear" w:color="auto" w:fill="auto"/>
            <w:noWrap/>
            <w:vAlign w:val="center"/>
            <w:hideMark/>
          </w:tcPr>
          <w:p w14:paraId="4AC2F14C" w14:textId="7777777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0.9</w:t>
            </w:r>
          </w:p>
        </w:tc>
        <w:tc>
          <w:tcPr>
            <w:tcW w:w="1119" w:type="pct"/>
            <w:shd w:val="clear" w:color="auto" w:fill="auto"/>
            <w:noWrap/>
            <w:vAlign w:val="center"/>
            <w:hideMark/>
          </w:tcPr>
          <w:p w14:paraId="79C2B1C6" w14:textId="5CCAEA93"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0.4</w:t>
            </w:r>
            <w:r>
              <w:rPr>
                <w:rFonts w:ascii="Calibri" w:eastAsia="Times New Roman" w:hAnsi="Calibri" w:cs="Times New Roman"/>
                <w:color w:val="000000"/>
                <w:lang w:val="en-GB" w:eastAsia="en-GB"/>
              </w:rPr>
              <w:t xml:space="preserve"> – 1.8</w:t>
            </w:r>
          </w:p>
        </w:tc>
        <w:tc>
          <w:tcPr>
            <w:tcW w:w="721" w:type="pct"/>
            <w:shd w:val="clear" w:color="auto" w:fill="auto"/>
            <w:noWrap/>
            <w:vAlign w:val="center"/>
            <w:hideMark/>
          </w:tcPr>
          <w:p w14:paraId="3D2AF623" w14:textId="7777777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0.8</w:t>
            </w:r>
          </w:p>
        </w:tc>
        <w:tc>
          <w:tcPr>
            <w:tcW w:w="1126" w:type="pct"/>
            <w:shd w:val="clear" w:color="auto" w:fill="auto"/>
            <w:noWrap/>
            <w:vAlign w:val="center"/>
            <w:hideMark/>
          </w:tcPr>
          <w:p w14:paraId="65E096D0" w14:textId="600B8421"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0.3</w:t>
            </w:r>
            <w:r>
              <w:rPr>
                <w:rFonts w:ascii="Calibri" w:eastAsia="Times New Roman" w:hAnsi="Calibri" w:cs="Times New Roman"/>
                <w:color w:val="000000"/>
                <w:lang w:val="en-GB" w:eastAsia="en-GB"/>
              </w:rPr>
              <w:t xml:space="preserve"> – 1.4</w:t>
            </w:r>
          </w:p>
        </w:tc>
      </w:tr>
      <w:tr w:rsidR="00B5645D" w:rsidRPr="005B4E3C" w14:paraId="41D4DF95" w14:textId="77777777" w:rsidTr="00B5645D">
        <w:trPr>
          <w:trHeight w:val="397"/>
        </w:trPr>
        <w:tc>
          <w:tcPr>
            <w:tcW w:w="1314" w:type="pct"/>
            <w:shd w:val="clear" w:color="auto" w:fill="auto"/>
            <w:noWrap/>
            <w:vAlign w:val="bottom"/>
            <w:hideMark/>
          </w:tcPr>
          <w:p w14:paraId="3A110AE6" w14:textId="77777777" w:rsidR="00B5645D" w:rsidRPr="005B4E3C" w:rsidRDefault="00B5645D" w:rsidP="005B4E3C">
            <w:pPr>
              <w:spacing w:after="0" w:line="240" w:lineRule="auto"/>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West Nile</w:t>
            </w:r>
          </w:p>
        </w:tc>
        <w:tc>
          <w:tcPr>
            <w:tcW w:w="721" w:type="pct"/>
            <w:shd w:val="clear" w:color="auto" w:fill="auto"/>
            <w:noWrap/>
            <w:vAlign w:val="center"/>
            <w:hideMark/>
          </w:tcPr>
          <w:p w14:paraId="3ADBF498" w14:textId="7777777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1.9</w:t>
            </w:r>
          </w:p>
        </w:tc>
        <w:tc>
          <w:tcPr>
            <w:tcW w:w="1119" w:type="pct"/>
            <w:shd w:val="clear" w:color="auto" w:fill="auto"/>
            <w:noWrap/>
            <w:vAlign w:val="center"/>
            <w:hideMark/>
          </w:tcPr>
          <w:p w14:paraId="64F9D66C" w14:textId="4570D7A9"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1.2</w:t>
            </w:r>
            <w:r>
              <w:rPr>
                <w:rFonts w:ascii="Calibri" w:eastAsia="Times New Roman" w:hAnsi="Calibri" w:cs="Times New Roman"/>
                <w:color w:val="000000"/>
                <w:lang w:val="en-GB" w:eastAsia="en-GB"/>
              </w:rPr>
              <w:t xml:space="preserve"> – 5.4</w:t>
            </w:r>
          </w:p>
        </w:tc>
        <w:tc>
          <w:tcPr>
            <w:tcW w:w="721" w:type="pct"/>
            <w:shd w:val="clear" w:color="auto" w:fill="auto"/>
            <w:noWrap/>
            <w:vAlign w:val="center"/>
            <w:hideMark/>
          </w:tcPr>
          <w:p w14:paraId="5FA3E7D1" w14:textId="7777777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2</w:t>
            </w:r>
          </w:p>
        </w:tc>
        <w:tc>
          <w:tcPr>
            <w:tcW w:w="1126" w:type="pct"/>
            <w:shd w:val="clear" w:color="auto" w:fill="auto"/>
            <w:noWrap/>
            <w:vAlign w:val="center"/>
            <w:hideMark/>
          </w:tcPr>
          <w:p w14:paraId="7BC4A402" w14:textId="438AEA07" w:rsidR="00B5645D" w:rsidRPr="005B4E3C" w:rsidRDefault="00B5645D" w:rsidP="005B4E3C">
            <w:pPr>
              <w:spacing w:after="0" w:line="240" w:lineRule="auto"/>
              <w:jc w:val="center"/>
              <w:rPr>
                <w:rFonts w:ascii="Calibri" w:eastAsia="Times New Roman" w:hAnsi="Calibri" w:cs="Times New Roman"/>
                <w:color w:val="000000"/>
                <w:lang w:val="en-GB" w:eastAsia="en-GB"/>
              </w:rPr>
            </w:pPr>
            <w:r w:rsidRPr="005B4E3C">
              <w:rPr>
                <w:rFonts w:ascii="Calibri" w:eastAsia="Times New Roman" w:hAnsi="Calibri" w:cs="Times New Roman"/>
                <w:color w:val="000000"/>
                <w:lang w:val="en-GB" w:eastAsia="en-GB"/>
              </w:rPr>
              <w:t>1.3</w:t>
            </w:r>
            <w:r>
              <w:rPr>
                <w:rFonts w:ascii="Calibri" w:eastAsia="Times New Roman" w:hAnsi="Calibri" w:cs="Times New Roman"/>
                <w:color w:val="000000"/>
                <w:lang w:val="en-GB" w:eastAsia="en-GB"/>
              </w:rPr>
              <w:t xml:space="preserve"> – 5.3</w:t>
            </w:r>
          </w:p>
        </w:tc>
      </w:tr>
    </w:tbl>
    <w:p w14:paraId="3ADEBEFB" w14:textId="3420A8EE" w:rsidR="0067170A" w:rsidRDefault="00F83A6A" w:rsidP="0038444C">
      <w:pPr>
        <w:spacing w:before="240" w:line="360" w:lineRule="auto"/>
      </w:pPr>
      <w:r>
        <w:t>With 15 regions define across the country, we assessed risk distribution by region and the consequent distribution of risk across each region by district. For the low burden month of February-2018, the four highest risk regions in descending order were Acholi, West Nile, Karamoja, and East Central – Busoga, each with greater than one times the national average. Comparatively during the highest burden month of June-2017, the same regions maintained their position in rank of risk</w:t>
      </w:r>
      <w:r w:rsidR="00EE581A">
        <w:t xml:space="preserve"> (Table </w:t>
      </w:r>
      <w:r w:rsidR="001A34F0">
        <w:t>S</w:t>
      </w:r>
      <w:r w:rsidR="006A2D8B">
        <w:t>7</w:t>
      </w:r>
      <w:r w:rsidR="00EE581A">
        <w:t xml:space="preserve">). On the other hand, the four lowest risk regions during the lowest burden month in ascending order were Kampala, Kigezi, Bukedi, and South Buganda each at lower than national average risk. However, during the highest risk month, the four lowest risk regions changed order to include (in ascending order) Kampala, Kigezi, Ankole and Bugisu, implying that only Kampala and Kigezi maintained their lowest </w:t>
      </w:r>
      <w:r w:rsidR="0038444C">
        <w:t>rank of risk.</w:t>
      </w:r>
      <w:r w:rsidR="0067170A">
        <w:t xml:space="preserve"> The </w:t>
      </w:r>
      <w:r w:rsidR="0067170A">
        <w:lastRenderedPageBreak/>
        <w:t>distribution of risk across districts within each region were further explored using scatter plots for both the lowest and highest burden months as presented in Figs</w:t>
      </w:r>
      <w:r w:rsidR="001A34F0">
        <w:t>.</w:t>
      </w:r>
      <w:r w:rsidR="0067170A">
        <w:t xml:space="preserve"> </w:t>
      </w:r>
      <w:r w:rsidR="001A34F0">
        <w:t>S</w:t>
      </w:r>
      <w:r w:rsidR="00C36E53">
        <w:t>1</w:t>
      </w:r>
      <w:r w:rsidR="002C5112">
        <w:t>4</w:t>
      </w:r>
      <w:r w:rsidR="0067170A">
        <w:t xml:space="preserve"> and </w:t>
      </w:r>
      <w:r w:rsidR="001A34F0">
        <w:t>S</w:t>
      </w:r>
      <w:r w:rsidR="00C36E53">
        <w:t>1</w:t>
      </w:r>
      <w:r w:rsidR="002C5112">
        <w:t>5</w:t>
      </w:r>
      <w:r w:rsidR="0067170A">
        <w:t xml:space="preserve"> below.</w:t>
      </w:r>
    </w:p>
    <w:p w14:paraId="490DF89A" w14:textId="4D95F597" w:rsidR="0067170A" w:rsidRPr="0067170A" w:rsidRDefault="0067170A" w:rsidP="0067170A">
      <w:pPr>
        <w:pStyle w:val="Caption"/>
        <w:keepNext/>
        <w:rPr>
          <w:b/>
          <w:bCs/>
          <w:i w:val="0"/>
          <w:iCs w:val="0"/>
          <w:color w:val="auto"/>
          <w:sz w:val="22"/>
          <w:szCs w:val="22"/>
        </w:rPr>
      </w:pPr>
      <w:r w:rsidRPr="0067170A">
        <w:rPr>
          <w:b/>
          <w:bCs/>
          <w:i w:val="0"/>
          <w:iCs w:val="0"/>
          <w:color w:val="auto"/>
          <w:sz w:val="22"/>
          <w:szCs w:val="22"/>
        </w:rPr>
        <w:t xml:space="preserve">Fig </w:t>
      </w:r>
      <w:r w:rsidR="00962132">
        <w:rPr>
          <w:b/>
          <w:bCs/>
          <w:i w:val="0"/>
          <w:iCs w:val="0"/>
          <w:color w:val="auto"/>
          <w:sz w:val="22"/>
          <w:szCs w:val="22"/>
        </w:rPr>
        <w:t>S</w:t>
      </w:r>
      <w:r w:rsidRPr="0067170A">
        <w:rPr>
          <w:b/>
          <w:bCs/>
          <w:i w:val="0"/>
          <w:iCs w:val="0"/>
          <w:color w:val="auto"/>
          <w:sz w:val="22"/>
          <w:szCs w:val="22"/>
        </w:rPr>
        <w:fldChar w:fldCharType="begin"/>
      </w:r>
      <w:r w:rsidRPr="0067170A">
        <w:rPr>
          <w:b/>
          <w:bCs/>
          <w:i w:val="0"/>
          <w:iCs w:val="0"/>
          <w:color w:val="auto"/>
          <w:sz w:val="22"/>
          <w:szCs w:val="22"/>
        </w:rPr>
        <w:instrText xml:space="preserve"> SEQ Fig \* ARABIC </w:instrText>
      </w:r>
      <w:r w:rsidRPr="0067170A">
        <w:rPr>
          <w:b/>
          <w:bCs/>
          <w:i w:val="0"/>
          <w:iCs w:val="0"/>
          <w:color w:val="auto"/>
          <w:sz w:val="22"/>
          <w:szCs w:val="22"/>
        </w:rPr>
        <w:fldChar w:fldCharType="separate"/>
      </w:r>
      <w:r w:rsidR="009A11D8">
        <w:rPr>
          <w:b/>
          <w:bCs/>
          <w:i w:val="0"/>
          <w:iCs w:val="0"/>
          <w:noProof/>
          <w:color w:val="auto"/>
          <w:sz w:val="22"/>
          <w:szCs w:val="22"/>
        </w:rPr>
        <w:t>14</w:t>
      </w:r>
      <w:r w:rsidRPr="0067170A">
        <w:rPr>
          <w:b/>
          <w:bCs/>
          <w:i w:val="0"/>
          <w:iCs w:val="0"/>
          <w:color w:val="auto"/>
          <w:sz w:val="22"/>
          <w:szCs w:val="22"/>
        </w:rPr>
        <w:fldChar w:fldCharType="end"/>
      </w:r>
    </w:p>
    <w:p w14:paraId="31487A37" w14:textId="187F822E" w:rsidR="0067170A" w:rsidRDefault="0067170A" w:rsidP="0038444C">
      <w:pPr>
        <w:spacing w:before="240" w:line="360" w:lineRule="auto"/>
      </w:pPr>
      <w:r>
        <w:rPr>
          <w:noProof/>
        </w:rPr>
        <w:drawing>
          <wp:inline distT="0" distB="0" distL="0" distR="0" wp14:anchorId="3E3F2678" wp14:editId="6A44822E">
            <wp:extent cx="5729931" cy="4133850"/>
            <wp:effectExtent l="0" t="0" r="444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43023" cy="4143295"/>
                    </a:xfrm>
                    <a:prstGeom prst="rect">
                      <a:avLst/>
                    </a:prstGeom>
                    <a:noFill/>
                    <a:ln>
                      <a:noFill/>
                    </a:ln>
                  </pic:spPr>
                </pic:pic>
              </a:graphicData>
            </a:graphic>
          </wp:inline>
        </w:drawing>
      </w:r>
      <w:r>
        <w:t xml:space="preserve"> </w:t>
      </w:r>
    </w:p>
    <w:p w14:paraId="6EB1D81A" w14:textId="1D406413" w:rsidR="0067170A" w:rsidRDefault="0067170A" w:rsidP="0038444C">
      <w:pPr>
        <w:spacing w:before="240" w:line="360" w:lineRule="auto"/>
      </w:pPr>
      <w:r>
        <w:t>Results showed Acholi and West Nile as the regions with districts that are at the highest risk of malaria</w:t>
      </w:r>
      <w:r w:rsidR="001C742D">
        <w:t xml:space="preserve">, will all their comprising districts at higher </w:t>
      </w:r>
      <w:r w:rsidR="00AE76CA">
        <w:t>relative risk than national average regardless of season</w:t>
      </w:r>
      <w:r>
        <w:t xml:space="preserve">. However, while Kigezi region was one of the lowest burden regions with four districts having the lowest risk, the region also had </w:t>
      </w:r>
      <w:r w:rsidR="00912A18">
        <w:t>two</w:t>
      </w:r>
      <w:r>
        <w:t xml:space="preserve"> districts with </w:t>
      </w:r>
      <w:r w:rsidR="00912A18">
        <w:t>notably higher risk of malaria than the rest in the region. This pattern is observable among all regions and could play a role in identification of higher priority districts per region over any given observation period.</w:t>
      </w:r>
    </w:p>
    <w:p w14:paraId="4A4BEB8B" w14:textId="2C0B1EA9" w:rsidR="00B66DC9" w:rsidRDefault="00B66DC9" w:rsidP="0038444C">
      <w:pPr>
        <w:spacing w:before="240" w:line="360" w:lineRule="auto"/>
      </w:pPr>
      <w:r>
        <w:t>Notably, among districts within the two lowest risk regions of</w:t>
      </w:r>
      <w:r w:rsidRPr="00B46B51">
        <w:t xml:space="preserve"> Kampala and Kigezi</w:t>
      </w:r>
      <w:r>
        <w:t xml:space="preserve"> the mean relative risk was higher during the lowest burden month at 0.4 (95% Conf. I:0.0 – 0.7) than the highest at 0.3 (95% Conf. I:0.1 – 0.6)</w:t>
      </w:r>
      <w:r w:rsidRPr="00B46B51">
        <w:t>,</w:t>
      </w:r>
      <w:r>
        <w:t xml:space="preserve"> but with no significant difference (P=0.706). Similarly, for the middle-ranked risk regions, mean relative risk among their districts was higher during the lowest burden month at 0.9 (95% </w:t>
      </w:r>
      <w:r>
        <w:lastRenderedPageBreak/>
        <w:t>Conf. I:0.8 – 1.0) than during the highest at 0.8 (95% Conf. I:0.7 – 0.9) with no significant difference (P=0.717).</w:t>
      </w:r>
    </w:p>
    <w:p w14:paraId="1B80AF6C" w14:textId="0CFB782D" w:rsidR="00912A18" w:rsidRPr="00912A18" w:rsidRDefault="00912A18" w:rsidP="00912A18">
      <w:pPr>
        <w:pStyle w:val="Caption"/>
        <w:keepNext/>
        <w:rPr>
          <w:b/>
          <w:bCs/>
          <w:i w:val="0"/>
          <w:iCs w:val="0"/>
          <w:color w:val="auto"/>
          <w:sz w:val="22"/>
          <w:szCs w:val="22"/>
        </w:rPr>
      </w:pPr>
      <w:r w:rsidRPr="00912A18">
        <w:rPr>
          <w:b/>
          <w:bCs/>
          <w:i w:val="0"/>
          <w:iCs w:val="0"/>
          <w:color w:val="auto"/>
          <w:sz w:val="22"/>
          <w:szCs w:val="22"/>
        </w:rPr>
        <w:t xml:space="preserve">Fig </w:t>
      </w:r>
      <w:r w:rsidR="00962132">
        <w:rPr>
          <w:b/>
          <w:bCs/>
          <w:i w:val="0"/>
          <w:iCs w:val="0"/>
          <w:color w:val="auto"/>
          <w:sz w:val="22"/>
          <w:szCs w:val="22"/>
        </w:rPr>
        <w:t>S</w:t>
      </w:r>
      <w:r w:rsidRPr="00912A18">
        <w:rPr>
          <w:b/>
          <w:bCs/>
          <w:i w:val="0"/>
          <w:iCs w:val="0"/>
          <w:color w:val="auto"/>
          <w:sz w:val="22"/>
          <w:szCs w:val="22"/>
        </w:rPr>
        <w:fldChar w:fldCharType="begin"/>
      </w:r>
      <w:r w:rsidRPr="00912A18">
        <w:rPr>
          <w:b/>
          <w:bCs/>
          <w:i w:val="0"/>
          <w:iCs w:val="0"/>
          <w:color w:val="auto"/>
          <w:sz w:val="22"/>
          <w:szCs w:val="22"/>
        </w:rPr>
        <w:instrText xml:space="preserve"> SEQ Fig \* ARABIC </w:instrText>
      </w:r>
      <w:r w:rsidRPr="00912A18">
        <w:rPr>
          <w:b/>
          <w:bCs/>
          <w:i w:val="0"/>
          <w:iCs w:val="0"/>
          <w:color w:val="auto"/>
          <w:sz w:val="22"/>
          <w:szCs w:val="22"/>
        </w:rPr>
        <w:fldChar w:fldCharType="separate"/>
      </w:r>
      <w:r w:rsidR="009A11D8">
        <w:rPr>
          <w:b/>
          <w:bCs/>
          <w:i w:val="0"/>
          <w:iCs w:val="0"/>
          <w:noProof/>
          <w:color w:val="auto"/>
          <w:sz w:val="22"/>
          <w:szCs w:val="22"/>
        </w:rPr>
        <w:t>15</w:t>
      </w:r>
      <w:r w:rsidRPr="00912A18">
        <w:rPr>
          <w:b/>
          <w:bCs/>
          <w:i w:val="0"/>
          <w:iCs w:val="0"/>
          <w:color w:val="auto"/>
          <w:sz w:val="22"/>
          <w:szCs w:val="22"/>
        </w:rPr>
        <w:fldChar w:fldCharType="end"/>
      </w:r>
    </w:p>
    <w:p w14:paraId="43F53A79" w14:textId="69669683" w:rsidR="00912A18" w:rsidRDefault="00912A18" w:rsidP="0038444C">
      <w:pPr>
        <w:spacing w:before="240" w:line="360" w:lineRule="auto"/>
      </w:pPr>
      <w:r>
        <w:rPr>
          <w:noProof/>
        </w:rPr>
        <w:drawing>
          <wp:inline distT="0" distB="0" distL="0" distR="0" wp14:anchorId="55FB7599" wp14:editId="418D9B6D">
            <wp:extent cx="5738886" cy="412432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63372" cy="4141922"/>
                    </a:xfrm>
                    <a:prstGeom prst="rect">
                      <a:avLst/>
                    </a:prstGeom>
                    <a:noFill/>
                    <a:ln>
                      <a:noFill/>
                    </a:ln>
                  </pic:spPr>
                </pic:pic>
              </a:graphicData>
            </a:graphic>
          </wp:inline>
        </w:drawing>
      </w:r>
    </w:p>
    <w:p w14:paraId="1FA8FC0E" w14:textId="2A367648" w:rsidR="00595284" w:rsidRDefault="007E1B8E" w:rsidP="0038444C">
      <w:pPr>
        <w:spacing w:before="240" w:line="360" w:lineRule="auto"/>
      </w:pPr>
      <w:r>
        <w:t>Furthermore, examining the relationship between catchment-level risk during lowest and highest burden months, results showed that the catchments at highest risk were at disproportionately higher risk during lowest than highest burden seasons of the year, as shown in Fig</w:t>
      </w:r>
      <w:r w:rsidR="000D4CF0">
        <w:t>.</w:t>
      </w:r>
      <w:r>
        <w:t xml:space="preserve"> </w:t>
      </w:r>
      <w:r w:rsidR="001A34F0">
        <w:t>S</w:t>
      </w:r>
      <w:r>
        <w:t>1</w:t>
      </w:r>
      <w:r w:rsidR="002C5112">
        <w:t>6</w:t>
      </w:r>
      <w:r>
        <w:t xml:space="preserve"> below</w:t>
      </w:r>
      <w:r w:rsidR="002C5112">
        <w:t>.</w:t>
      </w:r>
    </w:p>
    <w:p w14:paraId="7642CB82" w14:textId="263E136B" w:rsidR="007E1B8E" w:rsidRPr="007914EB" w:rsidRDefault="007E1B8E" w:rsidP="007E1B8E">
      <w:pPr>
        <w:pStyle w:val="Caption"/>
        <w:keepNext/>
        <w:rPr>
          <w:b/>
          <w:bCs/>
          <w:i w:val="0"/>
          <w:iCs w:val="0"/>
          <w:color w:val="auto"/>
          <w:sz w:val="22"/>
          <w:szCs w:val="22"/>
        </w:rPr>
      </w:pPr>
      <w:r w:rsidRPr="007914EB">
        <w:rPr>
          <w:b/>
          <w:bCs/>
          <w:i w:val="0"/>
          <w:iCs w:val="0"/>
          <w:color w:val="auto"/>
          <w:sz w:val="22"/>
          <w:szCs w:val="22"/>
        </w:rPr>
        <w:lastRenderedPageBreak/>
        <w:t xml:space="preserve">Fig </w:t>
      </w:r>
      <w:r w:rsidR="00962132">
        <w:rPr>
          <w:b/>
          <w:bCs/>
          <w:i w:val="0"/>
          <w:iCs w:val="0"/>
          <w:color w:val="auto"/>
          <w:sz w:val="22"/>
          <w:szCs w:val="22"/>
        </w:rPr>
        <w:t>S</w:t>
      </w:r>
      <w:r w:rsidRPr="007914EB">
        <w:rPr>
          <w:b/>
          <w:bCs/>
          <w:i w:val="0"/>
          <w:iCs w:val="0"/>
          <w:color w:val="auto"/>
          <w:sz w:val="22"/>
          <w:szCs w:val="22"/>
        </w:rPr>
        <w:fldChar w:fldCharType="begin"/>
      </w:r>
      <w:r w:rsidRPr="007914EB">
        <w:rPr>
          <w:b/>
          <w:bCs/>
          <w:i w:val="0"/>
          <w:iCs w:val="0"/>
          <w:color w:val="auto"/>
          <w:sz w:val="22"/>
          <w:szCs w:val="22"/>
        </w:rPr>
        <w:instrText xml:space="preserve"> SEQ Fig \* ARABIC </w:instrText>
      </w:r>
      <w:r w:rsidRPr="007914EB">
        <w:rPr>
          <w:b/>
          <w:bCs/>
          <w:i w:val="0"/>
          <w:iCs w:val="0"/>
          <w:color w:val="auto"/>
          <w:sz w:val="22"/>
          <w:szCs w:val="22"/>
        </w:rPr>
        <w:fldChar w:fldCharType="separate"/>
      </w:r>
      <w:r w:rsidR="009A11D8">
        <w:rPr>
          <w:b/>
          <w:bCs/>
          <w:i w:val="0"/>
          <w:iCs w:val="0"/>
          <w:noProof/>
          <w:color w:val="auto"/>
          <w:sz w:val="22"/>
          <w:szCs w:val="22"/>
        </w:rPr>
        <w:t>16</w:t>
      </w:r>
      <w:r w:rsidRPr="007914EB">
        <w:rPr>
          <w:b/>
          <w:bCs/>
          <w:i w:val="0"/>
          <w:iCs w:val="0"/>
          <w:color w:val="auto"/>
          <w:sz w:val="22"/>
          <w:szCs w:val="22"/>
        </w:rPr>
        <w:fldChar w:fldCharType="end"/>
      </w:r>
      <w:r w:rsidRPr="007914EB">
        <w:rPr>
          <w:b/>
          <w:bCs/>
          <w:i w:val="0"/>
          <w:iCs w:val="0"/>
          <w:color w:val="auto"/>
          <w:sz w:val="22"/>
          <w:szCs w:val="22"/>
        </w:rPr>
        <w:t>. Relationship of catchment-level risk of malaria between Lowest and highest burden seasons</w:t>
      </w:r>
    </w:p>
    <w:p w14:paraId="638AB2DC" w14:textId="4A84E91B" w:rsidR="007E1B8E" w:rsidRDefault="007E1B8E" w:rsidP="0038444C">
      <w:pPr>
        <w:spacing w:before="240" w:line="360" w:lineRule="auto"/>
      </w:pPr>
      <w:r>
        <w:rPr>
          <w:noProof/>
        </w:rPr>
        <w:drawing>
          <wp:inline distT="0" distB="0" distL="0" distR="0" wp14:anchorId="188F4F72" wp14:editId="7FB4864A">
            <wp:extent cx="5943600" cy="375539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3600" cy="3755390"/>
                    </a:xfrm>
                    <a:prstGeom prst="rect">
                      <a:avLst/>
                    </a:prstGeom>
                    <a:noFill/>
                    <a:ln>
                      <a:noFill/>
                    </a:ln>
                  </pic:spPr>
                </pic:pic>
              </a:graphicData>
            </a:graphic>
          </wp:inline>
        </w:drawing>
      </w:r>
    </w:p>
    <w:p w14:paraId="10D1A63B" w14:textId="50F968B3" w:rsidR="00D73B35" w:rsidRPr="00D73B35" w:rsidRDefault="00D73B35" w:rsidP="00830725">
      <w:pPr>
        <w:pStyle w:val="ListParagraph"/>
        <w:numPr>
          <w:ilvl w:val="0"/>
          <w:numId w:val="5"/>
        </w:numPr>
        <w:spacing w:line="360" w:lineRule="auto"/>
        <w:rPr>
          <w:b/>
          <w:bCs/>
        </w:rPr>
      </w:pPr>
      <w:r w:rsidRPr="00D73B35">
        <w:rPr>
          <w:b/>
          <w:bCs/>
        </w:rPr>
        <w:t>Spatial autocorrelatio</w:t>
      </w:r>
      <w:r>
        <w:rPr>
          <w:b/>
          <w:bCs/>
        </w:rPr>
        <w:t>n of risk</w:t>
      </w:r>
    </w:p>
    <w:p w14:paraId="5CF30C7F" w14:textId="06646CB8" w:rsidR="0016565A" w:rsidRDefault="00AB1730" w:rsidP="0016565A">
      <w:pPr>
        <w:spacing w:line="360" w:lineRule="auto"/>
      </w:pPr>
      <w:r>
        <w:t xml:space="preserve">Given the identifiable distribution of risk </w:t>
      </w:r>
      <w:r w:rsidR="0016565A">
        <w:t>across</w:t>
      </w:r>
      <w:r>
        <w:t xml:space="preserve"> the 15 regions of the country, we a</w:t>
      </w:r>
      <w:r w:rsidR="00D73B35">
        <w:t>ssess</w:t>
      </w:r>
      <w:r>
        <w:t>ed</w:t>
      </w:r>
      <w:r w:rsidR="00D73B35">
        <w:t xml:space="preserve"> </w:t>
      </w:r>
      <w:r>
        <w:t>for</w:t>
      </w:r>
      <w:r w:rsidR="00D73B35">
        <w:t xml:space="preserve"> spatial autocorrelation of risk at district and catchment levels </w:t>
      </w:r>
      <w:r>
        <w:t xml:space="preserve">so as </w:t>
      </w:r>
      <w:r w:rsidR="00D73B35">
        <w:t xml:space="preserve">to </w:t>
      </w:r>
      <w:r>
        <w:t>test for</w:t>
      </w:r>
      <w:r w:rsidR="00D73B35">
        <w:t xml:space="preserve"> spatial randomness </w:t>
      </w:r>
      <w:r>
        <w:t>also known as</w:t>
      </w:r>
      <w:r w:rsidR="00D73B35">
        <w:t xml:space="preserve"> heterogeneity versus spatial clustering of risk of malaria at these scales. For th</w:t>
      </w:r>
      <w:r>
        <w:t>ese</w:t>
      </w:r>
      <w:r w:rsidR="00D73B35">
        <w:t xml:space="preserve"> assessment</w:t>
      </w:r>
      <w:r>
        <w:t>s</w:t>
      </w:r>
      <w:r w:rsidR="00D73B35">
        <w:t>, the global Moran’s Index (Moran’s I) test was performed</w:t>
      </w:r>
      <w:r w:rsidR="0016565A">
        <w:t xml:space="preserve"> in R</w:t>
      </w:r>
      <w:r w:rsidR="003A3A96">
        <w:t>.</w:t>
      </w:r>
      <w:r w:rsidR="00D73B35">
        <w:t xml:space="preserve"> </w:t>
      </w:r>
      <w:r w:rsidR="003A3A96">
        <w:t>A</w:t>
      </w:r>
      <w:r w:rsidR="00D73B35">
        <w:t>t district-level, this included all 128 districts as the</w:t>
      </w:r>
      <w:r w:rsidR="003A3A96">
        <w:t>y</w:t>
      </w:r>
      <w:r w:rsidR="00D73B35">
        <w:t xml:space="preserve"> were known by 2018. However, owing to</w:t>
      </w:r>
      <w:r w:rsidR="003A3A96">
        <w:t xml:space="preserve"> the</w:t>
      </w:r>
      <w:r w:rsidR="00D73B35">
        <w:t xml:space="preserve"> requirement</w:t>
      </w:r>
      <w:r w:rsidR="003A3A96">
        <w:t xml:space="preserve"> of contiguity among </w:t>
      </w:r>
      <w:r w:rsidR="0016565A">
        <w:t>neighbors</w:t>
      </w:r>
      <w:r w:rsidR="00D73B35">
        <w:t xml:space="preserve"> for this analysis, isolated catchment areas without a neighbor with a shared border were excluded. Consequently, 27 catchments were excluded from this assessment leaving 3419 (99.2%) catchments.</w:t>
      </w:r>
      <w:r w:rsidR="0016565A">
        <w:t xml:space="preserve"> Catchment neighborhood was approximately normally distributed as shown in Fig</w:t>
      </w:r>
      <w:r w:rsidR="000D4CF0">
        <w:t>.</w:t>
      </w:r>
      <w:r w:rsidR="0016565A">
        <w:t xml:space="preserve"> </w:t>
      </w:r>
      <w:r w:rsidR="001A34F0">
        <w:t>S</w:t>
      </w:r>
      <w:r w:rsidR="00805892">
        <w:t>1</w:t>
      </w:r>
      <w:r w:rsidR="002C5112">
        <w:t>7</w:t>
      </w:r>
      <w:r w:rsidR="0016565A">
        <w:t xml:space="preserve"> below</w:t>
      </w:r>
      <w:r w:rsidR="00805892">
        <w:t>, with the highest number of contiguous neighbors a single catchment had being 11 and the least being one</w:t>
      </w:r>
      <w:r w:rsidR="0016565A">
        <w:t>.</w:t>
      </w:r>
    </w:p>
    <w:p w14:paraId="101A8566" w14:textId="367BA4C5" w:rsidR="00912A18" w:rsidRPr="00912A18" w:rsidRDefault="00912A18" w:rsidP="00912A18">
      <w:pPr>
        <w:pStyle w:val="Caption"/>
        <w:keepNext/>
        <w:rPr>
          <w:b/>
          <w:bCs/>
          <w:i w:val="0"/>
          <w:iCs w:val="0"/>
          <w:color w:val="auto"/>
          <w:sz w:val="22"/>
          <w:szCs w:val="22"/>
        </w:rPr>
      </w:pPr>
      <w:r w:rsidRPr="00912A18">
        <w:rPr>
          <w:b/>
          <w:bCs/>
          <w:i w:val="0"/>
          <w:iCs w:val="0"/>
          <w:color w:val="auto"/>
          <w:sz w:val="22"/>
          <w:szCs w:val="22"/>
        </w:rPr>
        <w:lastRenderedPageBreak/>
        <w:t xml:space="preserve">Fig </w:t>
      </w:r>
      <w:r w:rsidR="00962132">
        <w:rPr>
          <w:b/>
          <w:bCs/>
          <w:i w:val="0"/>
          <w:iCs w:val="0"/>
          <w:color w:val="auto"/>
          <w:sz w:val="22"/>
          <w:szCs w:val="22"/>
        </w:rPr>
        <w:t>S</w:t>
      </w:r>
      <w:r w:rsidRPr="00912A18">
        <w:rPr>
          <w:b/>
          <w:bCs/>
          <w:i w:val="0"/>
          <w:iCs w:val="0"/>
          <w:color w:val="auto"/>
          <w:sz w:val="22"/>
          <w:szCs w:val="22"/>
        </w:rPr>
        <w:fldChar w:fldCharType="begin"/>
      </w:r>
      <w:r w:rsidRPr="00912A18">
        <w:rPr>
          <w:b/>
          <w:bCs/>
          <w:i w:val="0"/>
          <w:iCs w:val="0"/>
          <w:color w:val="auto"/>
          <w:sz w:val="22"/>
          <w:szCs w:val="22"/>
        </w:rPr>
        <w:instrText xml:space="preserve"> SEQ Fig \* ARABIC </w:instrText>
      </w:r>
      <w:r w:rsidRPr="00912A18">
        <w:rPr>
          <w:b/>
          <w:bCs/>
          <w:i w:val="0"/>
          <w:iCs w:val="0"/>
          <w:color w:val="auto"/>
          <w:sz w:val="22"/>
          <w:szCs w:val="22"/>
        </w:rPr>
        <w:fldChar w:fldCharType="separate"/>
      </w:r>
      <w:r w:rsidR="009A11D8">
        <w:rPr>
          <w:b/>
          <w:bCs/>
          <w:i w:val="0"/>
          <w:iCs w:val="0"/>
          <w:noProof/>
          <w:color w:val="auto"/>
          <w:sz w:val="22"/>
          <w:szCs w:val="22"/>
        </w:rPr>
        <w:t>17</w:t>
      </w:r>
      <w:r w:rsidRPr="00912A18">
        <w:rPr>
          <w:b/>
          <w:bCs/>
          <w:i w:val="0"/>
          <w:iCs w:val="0"/>
          <w:color w:val="auto"/>
          <w:sz w:val="22"/>
          <w:szCs w:val="22"/>
        </w:rPr>
        <w:fldChar w:fldCharType="end"/>
      </w:r>
      <w:r w:rsidRPr="00912A18">
        <w:rPr>
          <w:b/>
          <w:bCs/>
          <w:i w:val="0"/>
          <w:iCs w:val="0"/>
          <w:color w:val="auto"/>
          <w:sz w:val="22"/>
          <w:szCs w:val="22"/>
        </w:rPr>
        <w:t>. Neighborhood distribution among health facility catchment areas.</w:t>
      </w:r>
    </w:p>
    <w:p w14:paraId="2489FD98" w14:textId="77777777" w:rsidR="0016565A" w:rsidRDefault="0016565A" w:rsidP="0016565A">
      <w:pPr>
        <w:spacing w:line="360" w:lineRule="auto"/>
      </w:pPr>
      <w:r>
        <w:rPr>
          <w:noProof/>
        </w:rPr>
        <w:drawing>
          <wp:inline distT="0" distB="0" distL="0" distR="0" wp14:anchorId="277C4440" wp14:editId="557D10C5">
            <wp:extent cx="6086475" cy="4029550"/>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098732" cy="4037665"/>
                    </a:xfrm>
                    <a:prstGeom prst="rect">
                      <a:avLst/>
                    </a:prstGeom>
                    <a:noFill/>
                    <a:ln>
                      <a:noFill/>
                    </a:ln>
                  </pic:spPr>
                </pic:pic>
              </a:graphicData>
            </a:graphic>
          </wp:inline>
        </w:drawing>
      </w:r>
    </w:p>
    <w:p w14:paraId="193BC26A" w14:textId="27BB9E28" w:rsidR="00D41AA7" w:rsidRDefault="00D73B35" w:rsidP="0016565A">
      <w:pPr>
        <w:spacing w:line="360" w:lineRule="auto"/>
      </w:pPr>
      <w:r>
        <w:t xml:space="preserve"> This analysis was conducted for both the lowest and highest burden months of the study duration and results are presented using Moran’s scatter plots for the two durations in Fig</w:t>
      </w:r>
      <w:r w:rsidR="00235053">
        <w:t>s</w:t>
      </w:r>
      <w:r w:rsidR="001A34F0">
        <w:t>.</w:t>
      </w:r>
      <w:r w:rsidR="00235053">
        <w:t xml:space="preserve"> </w:t>
      </w:r>
      <w:r w:rsidR="001A34F0">
        <w:t>S</w:t>
      </w:r>
      <w:r w:rsidR="00805892">
        <w:t>1</w:t>
      </w:r>
      <w:r w:rsidR="002C5112">
        <w:t>8</w:t>
      </w:r>
      <w:r w:rsidRPr="00886320">
        <w:t xml:space="preserve"> and </w:t>
      </w:r>
      <w:r w:rsidR="001A34F0">
        <w:t>S</w:t>
      </w:r>
      <w:r w:rsidR="00805892">
        <w:t>1</w:t>
      </w:r>
      <w:r w:rsidR="002C5112">
        <w:t>9</w:t>
      </w:r>
      <w:r w:rsidR="00886320">
        <w:t xml:space="preserve"> for the </w:t>
      </w:r>
      <w:r w:rsidR="00B9354F">
        <w:t xml:space="preserve">district </w:t>
      </w:r>
      <w:r w:rsidR="00886320">
        <w:t>level and Fi</w:t>
      </w:r>
      <w:r w:rsidR="00235053">
        <w:t>gs</w:t>
      </w:r>
      <w:r w:rsidR="001A34F0">
        <w:t>.</w:t>
      </w:r>
      <w:r w:rsidR="00886320">
        <w:t xml:space="preserve"> </w:t>
      </w:r>
      <w:r w:rsidR="001A34F0">
        <w:t>S</w:t>
      </w:r>
      <w:r w:rsidR="002C5112">
        <w:t>20</w:t>
      </w:r>
      <w:r w:rsidR="00886320">
        <w:t xml:space="preserve"> and </w:t>
      </w:r>
      <w:r w:rsidR="001A34F0">
        <w:t>S</w:t>
      </w:r>
      <w:r w:rsidR="002C5112">
        <w:t>21</w:t>
      </w:r>
      <w:r w:rsidR="00886320">
        <w:t xml:space="preserve"> at the </w:t>
      </w:r>
      <w:r w:rsidR="00B9354F">
        <w:t xml:space="preserve">catchment </w:t>
      </w:r>
      <w:r w:rsidR="00886320">
        <w:t>level</w:t>
      </w:r>
      <w:r>
        <w:t xml:space="preserve"> below.</w:t>
      </w:r>
    </w:p>
    <w:p w14:paraId="74B90AC1" w14:textId="47302248" w:rsidR="00B36E9C" w:rsidRDefault="00B36E9C" w:rsidP="0016565A">
      <w:pPr>
        <w:spacing w:line="360" w:lineRule="auto"/>
      </w:pPr>
      <w:r>
        <w:t>T</w:t>
      </w:r>
      <w:r w:rsidR="00EB50CF">
        <w:t>he t</w:t>
      </w:r>
      <w:r>
        <w:t>est statistics for spatial autocorrelation</w:t>
      </w:r>
      <w:r w:rsidR="003C5150">
        <w:t xml:space="preserve"> (Moran’s I)</w:t>
      </w:r>
      <w:r>
        <w:t xml:space="preserve"> showed that both at the catchment and district levels</w:t>
      </w:r>
      <w:r w:rsidR="003C5150">
        <w:t>,</w:t>
      </w:r>
      <w:r>
        <w:t xml:space="preserve"> there was in</w:t>
      </w:r>
      <w:r w:rsidR="003C5150">
        <w:t>creased</w:t>
      </w:r>
      <w:r>
        <w:t xml:space="preserve"> variability of clustering during the highest burden periods that were associated with </w:t>
      </w:r>
      <w:r w:rsidR="003C5150">
        <w:t>increased relative</w:t>
      </w:r>
      <w:r>
        <w:t xml:space="preserve"> risk. </w:t>
      </w:r>
      <w:r w:rsidR="00EB50CF">
        <w:t xml:space="preserve">Moreover, we observed higher relative risk among lower transmission areas during lower than higher burden seasons. </w:t>
      </w:r>
      <w:r>
        <w:t>T</w:t>
      </w:r>
      <w:r w:rsidR="00EB50CF">
        <w:t>ogether, these</w:t>
      </w:r>
      <w:r>
        <w:t xml:space="preserve"> </w:t>
      </w:r>
      <w:r w:rsidR="003C5150">
        <w:t xml:space="preserve">may </w:t>
      </w:r>
      <w:r>
        <w:t xml:space="preserve">provide some indication of </w:t>
      </w:r>
      <w:r w:rsidR="003C5150">
        <w:t xml:space="preserve">disproportionately higher increase in burden among </w:t>
      </w:r>
      <w:r w:rsidR="00C84960">
        <w:t>highest</w:t>
      </w:r>
      <w:r w:rsidR="003C5150">
        <w:t xml:space="preserve"> risk locations than increases among the </w:t>
      </w:r>
      <w:r w:rsidR="00C84960">
        <w:t>lowest</w:t>
      </w:r>
      <w:r w:rsidR="003C5150">
        <w:t xml:space="preserve"> burden areas when malaria upsurges occur.</w:t>
      </w:r>
      <w:r w:rsidR="00C84960">
        <w:t xml:space="preserve"> This</w:t>
      </w:r>
      <w:r w:rsidR="001E3CD8">
        <w:t xml:space="preserve"> may be</w:t>
      </w:r>
      <w:r w:rsidR="00C84960">
        <w:t xml:space="preserve"> </w:t>
      </w:r>
      <w:r w:rsidR="001E3CD8">
        <w:t>consistent with</w:t>
      </w:r>
      <w:r w:rsidR="00C84960">
        <w:t xml:space="preserve"> the notion of</w:t>
      </w:r>
      <w:r w:rsidR="001E3CD8">
        <w:t xml:space="preserve"> the</w:t>
      </w:r>
      <w:r w:rsidR="00C84960">
        <w:t xml:space="preserve"> 80:20 </w:t>
      </w:r>
      <w:r w:rsidR="001E3CD8">
        <w:t xml:space="preserve">Pareto </w:t>
      </w:r>
      <w:r w:rsidR="00C84960">
        <w:t>rule</w:t>
      </w:r>
      <w:r w:rsidR="001E3CD8">
        <w:t xml:space="preserve"> </w:t>
      </w:r>
      <w:r w:rsidR="001E3CD8">
        <w:fldChar w:fldCharType="begin">
          <w:fldData xml:space="preserve">PEVuZE5vdGU+PENpdGU+PEF1dGhvcj5Db29wZXI8L0F1dGhvcj48WWVhcj4yMDE5PC9ZZWFyPjxS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</w:fldData>
        </w:fldChar>
      </w:r>
      <w:r w:rsidR="00830725">
        <w:instrText xml:space="preserve"> ADDIN EN.CITE </w:instrText>
      </w:r>
      <w:r w:rsidR="00830725">
        <w:fldChar w:fldCharType="begin">
          <w:fldData xml:space="preserve">PEVuZE5vdGU+PENpdGU+PEF1dGhvcj5Db29wZXI8L0F1dGhvcj48WWVhcj4yMDE5PC9ZZWFyPjxS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</w:fldData>
        </w:fldChar>
      </w:r>
      <w:r w:rsidR="00830725">
        <w:instrText xml:space="preserve"> ADDIN EN.CITE.DATA </w:instrText>
      </w:r>
      <w:r w:rsidR="00830725">
        <w:fldChar w:fldCharType="end"/>
      </w:r>
      <w:r w:rsidR="001E3CD8">
        <w:fldChar w:fldCharType="separate"/>
      </w:r>
      <w:r w:rsidR="00830725">
        <w:rPr>
          <w:noProof/>
        </w:rPr>
        <w:t>[8]</w:t>
      </w:r>
      <w:r w:rsidR="001E3CD8">
        <w:fldChar w:fldCharType="end"/>
      </w:r>
      <w:r w:rsidR="00C84960">
        <w:t xml:space="preserve"> </w:t>
      </w:r>
      <w:r w:rsidR="001E3CD8">
        <w:t>indicating here</w:t>
      </w:r>
      <w:r w:rsidR="00C84960">
        <w:t xml:space="preserve"> that 20% of the population</w:t>
      </w:r>
      <w:r w:rsidR="001E3CD8">
        <w:t xml:space="preserve"> may</w:t>
      </w:r>
      <w:r w:rsidR="00C84960">
        <w:t xml:space="preserve"> bear 80</w:t>
      </w:r>
      <w:r w:rsidR="001E3CD8">
        <w:t>%</w:t>
      </w:r>
      <w:r w:rsidR="00C84960">
        <w:t xml:space="preserve"> of the burden of </w:t>
      </w:r>
      <w:r w:rsidR="002C5112">
        <w:t xml:space="preserve">malaria </w:t>
      </w:r>
      <w:r w:rsidR="00C84960">
        <w:t>infections.</w:t>
      </w:r>
    </w:p>
    <w:p w14:paraId="7689756F" w14:textId="406CFC8C" w:rsidR="00912A18" w:rsidRPr="00912A18" w:rsidRDefault="00912A18" w:rsidP="00912A18">
      <w:pPr>
        <w:pStyle w:val="Caption"/>
        <w:keepNext/>
        <w:rPr>
          <w:b/>
          <w:bCs/>
          <w:i w:val="0"/>
          <w:iCs w:val="0"/>
          <w:color w:val="auto"/>
          <w:sz w:val="22"/>
          <w:szCs w:val="22"/>
        </w:rPr>
      </w:pPr>
      <w:r w:rsidRPr="00912A18">
        <w:rPr>
          <w:b/>
          <w:bCs/>
          <w:i w:val="0"/>
          <w:iCs w:val="0"/>
          <w:color w:val="auto"/>
          <w:sz w:val="22"/>
          <w:szCs w:val="22"/>
        </w:rPr>
        <w:lastRenderedPageBreak/>
        <w:t xml:space="preserve">Fig </w:t>
      </w:r>
      <w:r w:rsidR="00962132">
        <w:rPr>
          <w:b/>
          <w:bCs/>
          <w:i w:val="0"/>
          <w:iCs w:val="0"/>
          <w:color w:val="auto"/>
          <w:sz w:val="22"/>
          <w:szCs w:val="22"/>
        </w:rPr>
        <w:t>S</w:t>
      </w:r>
      <w:r w:rsidRPr="00912A18">
        <w:rPr>
          <w:b/>
          <w:bCs/>
          <w:i w:val="0"/>
          <w:iCs w:val="0"/>
          <w:color w:val="auto"/>
          <w:sz w:val="22"/>
          <w:szCs w:val="22"/>
        </w:rPr>
        <w:fldChar w:fldCharType="begin"/>
      </w:r>
      <w:r w:rsidRPr="00912A18">
        <w:rPr>
          <w:b/>
          <w:bCs/>
          <w:i w:val="0"/>
          <w:iCs w:val="0"/>
          <w:color w:val="auto"/>
          <w:sz w:val="22"/>
          <w:szCs w:val="22"/>
        </w:rPr>
        <w:instrText xml:space="preserve"> SEQ Fig \* ARABIC </w:instrText>
      </w:r>
      <w:r w:rsidRPr="00912A18">
        <w:rPr>
          <w:b/>
          <w:bCs/>
          <w:i w:val="0"/>
          <w:iCs w:val="0"/>
          <w:color w:val="auto"/>
          <w:sz w:val="22"/>
          <w:szCs w:val="22"/>
        </w:rPr>
        <w:fldChar w:fldCharType="separate"/>
      </w:r>
      <w:r w:rsidR="009A11D8">
        <w:rPr>
          <w:b/>
          <w:bCs/>
          <w:i w:val="0"/>
          <w:iCs w:val="0"/>
          <w:noProof/>
          <w:color w:val="auto"/>
          <w:sz w:val="22"/>
          <w:szCs w:val="22"/>
        </w:rPr>
        <w:t>18</w:t>
      </w:r>
      <w:r w:rsidRPr="00912A18">
        <w:rPr>
          <w:b/>
          <w:bCs/>
          <w:i w:val="0"/>
          <w:iCs w:val="0"/>
          <w:color w:val="auto"/>
          <w:sz w:val="22"/>
          <w:szCs w:val="22"/>
        </w:rPr>
        <w:fldChar w:fldCharType="end"/>
      </w:r>
      <w:r w:rsidRPr="00912A18">
        <w:rPr>
          <w:b/>
          <w:bCs/>
          <w:i w:val="0"/>
          <w:iCs w:val="0"/>
          <w:color w:val="auto"/>
          <w:sz w:val="22"/>
          <w:szCs w:val="22"/>
        </w:rPr>
        <w:t>. Moran's scatter plot for district-level risk of malaria during the lowest burden month of the study duration</w:t>
      </w:r>
    </w:p>
    <w:p w14:paraId="3FAB4DEF" w14:textId="52D689DE" w:rsidR="00242E1C" w:rsidRDefault="00242E1C" w:rsidP="00F70FE8">
      <w:pPr>
        <w:spacing w:line="360" w:lineRule="auto"/>
        <w:jc w:val="center"/>
      </w:pPr>
      <w:r>
        <w:rPr>
          <w:noProof/>
        </w:rPr>
        <w:drawing>
          <wp:inline distT="0" distB="0" distL="0" distR="0" wp14:anchorId="609FFB36" wp14:editId="5FFB786F">
            <wp:extent cx="5634892" cy="4562475"/>
            <wp:effectExtent l="0" t="0" r="444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6">
                      <a:extLst>
                        <a:ext uri="{28A0092B-C50C-407E-A947-70E740481C1C}">
                          <a14:useLocalDpi xmlns:a14="http://schemas.microsoft.com/office/drawing/2010/main" val="0"/>
                        </a:ext>
                      </a:extLst>
                    </a:blip>
                    <a:srcRect t="4027" r="4007" b="2966"/>
                    <a:stretch/>
                  </pic:blipFill>
                  <pic:spPr bwMode="auto">
                    <a:xfrm>
                      <a:off x="0" y="0"/>
                      <a:ext cx="5665934" cy="4587609"/>
                    </a:xfrm>
                    <a:prstGeom prst="rect">
                      <a:avLst/>
                    </a:prstGeom>
                    <a:noFill/>
                    <a:ln>
                      <a:noFill/>
                    </a:ln>
                    <a:extLst>
                      <a:ext uri="{53640926-AAD7-44D8-BBD7-CCE9431645EC}">
                        <a14:shadowObscured xmlns:a14="http://schemas.microsoft.com/office/drawing/2010/main"/>
                      </a:ext>
                    </a:extLst>
                  </pic:spPr>
                </pic:pic>
              </a:graphicData>
            </a:graphic>
          </wp:inline>
        </w:drawing>
      </w:r>
    </w:p>
    <w:p w14:paraId="703BDACE" w14:textId="30215EAD" w:rsidR="00912A18" w:rsidRPr="00912A18" w:rsidRDefault="00912A18" w:rsidP="00912A18">
      <w:pPr>
        <w:pStyle w:val="Caption"/>
        <w:keepNext/>
        <w:rPr>
          <w:b/>
          <w:bCs/>
          <w:i w:val="0"/>
          <w:iCs w:val="0"/>
          <w:color w:val="auto"/>
          <w:sz w:val="22"/>
          <w:szCs w:val="22"/>
        </w:rPr>
      </w:pPr>
      <w:r w:rsidRPr="00912A18">
        <w:rPr>
          <w:b/>
          <w:bCs/>
          <w:i w:val="0"/>
          <w:iCs w:val="0"/>
          <w:color w:val="auto"/>
          <w:sz w:val="22"/>
          <w:szCs w:val="22"/>
        </w:rPr>
        <w:lastRenderedPageBreak/>
        <w:t xml:space="preserve">Fig </w:t>
      </w:r>
      <w:r w:rsidR="00962132">
        <w:rPr>
          <w:b/>
          <w:bCs/>
          <w:i w:val="0"/>
          <w:iCs w:val="0"/>
          <w:color w:val="auto"/>
          <w:sz w:val="22"/>
          <w:szCs w:val="22"/>
        </w:rPr>
        <w:t>S</w:t>
      </w:r>
      <w:r w:rsidRPr="00912A18">
        <w:rPr>
          <w:b/>
          <w:bCs/>
          <w:i w:val="0"/>
          <w:iCs w:val="0"/>
          <w:color w:val="auto"/>
          <w:sz w:val="22"/>
          <w:szCs w:val="22"/>
        </w:rPr>
        <w:fldChar w:fldCharType="begin"/>
      </w:r>
      <w:r w:rsidRPr="00912A18">
        <w:rPr>
          <w:b/>
          <w:bCs/>
          <w:i w:val="0"/>
          <w:iCs w:val="0"/>
          <w:color w:val="auto"/>
          <w:sz w:val="22"/>
          <w:szCs w:val="22"/>
        </w:rPr>
        <w:instrText xml:space="preserve"> SEQ Fig \* ARABIC </w:instrText>
      </w:r>
      <w:r w:rsidRPr="00912A18">
        <w:rPr>
          <w:b/>
          <w:bCs/>
          <w:i w:val="0"/>
          <w:iCs w:val="0"/>
          <w:color w:val="auto"/>
          <w:sz w:val="22"/>
          <w:szCs w:val="22"/>
        </w:rPr>
        <w:fldChar w:fldCharType="separate"/>
      </w:r>
      <w:r w:rsidR="009A11D8">
        <w:rPr>
          <w:b/>
          <w:bCs/>
          <w:i w:val="0"/>
          <w:iCs w:val="0"/>
          <w:noProof/>
          <w:color w:val="auto"/>
          <w:sz w:val="22"/>
          <w:szCs w:val="22"/>
        </w:rPr>
        <w:t>19</w:t>
      </w:r>
      <w:r w:rsidRPr="00912A18">
        <w:rPr>
          <w:b/>
          <w:bCs/>
          <w:i w:val="0"/>
          <w:iCs w:val="0"/>
          <w:color w:val="auto"/>
          <w:sz w:val="22"/>
          <w:szCs w:val="22"/>
        </w:rPr>
        <w:fldChar w:fldCharType="end"/>
      </w:r>
      <w:r w:rsidRPr="00912A18">
        <w:rPr>
          <w:b/>
          <w:bCs/>
          <w:i w:val="0"/>
          <w:iCs w:val="0"/>
          <w:color w:val="auto"/>
          <w:sz w:val="22"/>
          <w:szCs w:val="22"/>
        </w:rPr>
        <w:t>. Moran's scatter plot for district-level risk of malaria during the highest burden month of the study duration</w:t>
      </w:r>
    </w:p>
    <w:p w14:paraId="4B3BC053" w14:textId="0329034A" w:rsidR="00242E1C" w:rsidRDefault="00242E1C" w:rsidP="00F70FE8">
      <w:pPr>
        <w:spacing w:line="360" w:lineRule="auto"/>
        <w:jc w:val="center"/>
      </w:pPr>
      <w:r>
        <w:rPr>
          <w:noProof/>
        </w:rPr>
        <w:drawing>
          <wp:inline distT="0" distB="0" distL="0" distR="0" wp14:anchorId="70CA7D3B" wp14:editId="7D237077">
            <wp:extent cx="5684180" cy="46005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27">
                      <a:extLst>
                        <a:ext uri="{28A0092B-C50C-407E-A947-70E740481C1C}">
                          <a14:useLocalDpi xmlns:a14="http://schemas.microsoft.com/office/drawing/2010/main" val="0"/>
                        </a:ext>
                      </a:extLst>
                    </a:blip>
                    <a:srcRect t="4219" r="4167" b="2966"/>
                    <a:stretch/>
                  </pic:blipFill>
                  <pic:spPr bwMode="auto">
                    <a:xfrm>
                      <a:off x="0" y="0"/>
                      <a:ext cx="5711282" cy="4622511"/>
                    </a:xfrm>
                    <a:prstGeom prst="rect">
                      <a:avLst/>
                    </a:prstGeom>
                    <a:noFill/>
                    <a:ln>
                      <a:noFill/>
                    </a:ln>
                    <a:extLst>
                      <a:ext uri="{53640926-AAD7-44D8-BBD7-CCE9431645EC}">
                        <a14:shadowObscured xmlns:a14="http://schemas.microsoft.com/office/drawing/2010/main"/>
                      </a:ext>
                    </a:extLst>
                  </pic:spPr>
                </pic:pic>
              </a:graphicData>
            </a:graphic>
          </wp:inline>
        </w:drawing>
      </w:r>
    </w:p>
    <w:p w14:paraId="5308DCA1" w14:textId="0B39E832" w:rsidR="00912A18" w:rsidRPr="00912A18" w:rsidRDefault="00912A18" w:rsidP="00912A18">
      <w:pPr>
        <w:pStyle w:val="Caption"/>
        <w:keepNext/>
        <w:rPr>
          <w:b/>
          <w:bCs/>
          <w:i w:val="0"/>
          <w:iCs w:val="0"/>
          <w:color w:val="auto"/>
          <w:sz w:val="22"/>
          <w:szCs w:val="22"/>
        </w:rPr>
      </w:pPr>
      <w:r w:rsidRPr="00912A18">
        <w:rPr>
          <w:b/>
          <w:bCs/>
          <w:i w:val="0"/>
          <w:iCs w:val="0"/>
          <w:color w:val="auto"/>
          <w:sz w:val="22"/>
          <w:szCs w:val="22"/>
        </w:rPr>
        <w:lastRenderedPageBreak/>
        <w:t xml:space="preserve">Fig </w:t>
      </w:r>
      <w:r w:rsidR="00962132">
        <w:rPr>
          <w:b/>
          <w:bCs/>
          <w:i w:val="0"/>
          <w:iCs w:val="0"/>
          <w:color w:val="auto"/>
          <w:sz w:val="22"/>
          <w:szCs w:val="22"/>
        </w:rPr>
        <w:t>S</w:t>
      </w:r>
      <w:r w:rsidRPr="00912A18">
        <w:rPr>
          <w:b/>
          <w:bCs/>
          <w:i w:val="0"/>
          <w:iCs w:val="0"/>
          <w:color w:val="auto"/>
          <w:sz w:val="22"/>
          <w:szCs w:val="22"/>
        </w:rPr>
        <w:fldChar w:fldCharType="begin"/>
      </w:r>
      <w:r w:rsidRPr="00912A18">
        <w:rPr>
          <w:b/>
          <w:bCs/>
          <w:i w:val="0"/>
          <w:iCs w:val="0"/>
          <w:color w:val="auto"/>
          <w:sz w:val="22"/>
          <w:szCs w:val="22"/>
        </w:rPr>
        <w:instrText xml:space="preserve"> SEQ Fig \* ARABIC </w:instrText>
      </w:r>
      <w:r w:rsidRPr="00912A18">
        <w:rPr>
          <w:b/>
          <w:bCs/>
          <w:i w:val="0"/>
          <w:iCs w:val="0"/>
          <w:color w:val="auto"/>
          <w:sz w:val="22"/>
          <w:szCs w:val="22"/>
        </w:rPr>
        <w:fldChar w:fldCharType="separate"/>
      </w:r>
      <w:r w:rsidR="009A11D8">
        <w:rPr>
          <w:b/>
          <w:bCs/>
          <w:i w:val="0"/>
          <w:iCs w:val="0"/>
          <w:noProof/>
          <w:color w:val="auto"/>
          <w:sz w:val="22"/>
          <w:szCs w:val="22"/>
        </w:rPr>
        <w:t>20</w:t>
      </w:r>
      <w:r w:rsidRPr="00912A18">
        <w:rPr>
          <w:b/>
          <w:bCs/>
          <w:i w:val="0"/>
          <w:iCs w:val="0"/>
          <w:color w:val="auto"/>
          <w:sz w:val="22"/>
          <w:szCs w:val="22"/>
        </w:rPr>
        <w:fldChar w:fldCharType="end"/>
      </w:r>
      <w:r w:rsidRPr="00912A18">
        <w:rPr>
          <w:b/>
          <w:bCs/>
          <w:i w:val="0"/>
          <w:iCs w:val="0"/>
          <w:color w:val="auto"/>
          <w:sz w:val="22"/>
          <w:szCs w:val="22"/>
        </w:rPr>
        <w:t>. Moran's scatter plot for catchment-level risk of malaria during the lowest burden month of the study duration</w:t>
      </w:r>
    </w:p>
    <w:p w14:paraId="114F49D0" w14:textId="3601BF0D" w:rsidR="00363357" w:rsidRDefault="00363357" w:rsidP="00F70FE8">
      <w:pPr>
        <w:jc w:val="center"/>
      </w:pPr>
      <w:r>
        <w:rPr>
          <w:noProof/>
        </w:rPr>
        <w:drawing>
          <wp:inline distT="0" distB="0" distL="0" distR="0" wp14:anchorId="7A11DB3F" wp14:editId="390C5CDD">
            <wp:extent cx="5686425" cy="46196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8">
                      <a:extLst>
                        <a:ext uri="{28A0092B-C50C-407E-A947-70E740481C1C}">
                          <a14:useLocalDpi xmlns:a14="http://schemas.microsoft.com/office/drawing/2010/main" val="0"/>
                        </a:ext>
                      </a:extLst>
                    </a:blip>
                    <a:srcRect t="4218" r="4327" b="2774"/>
                    <a:stretch/>
                  </pic:blipFill>
                  <pic:spPr bwMode="auto">
                    <a:xfrm>
                      <a:off x="0" y="0"/>
                      <a:ext cx="5686425" cy="4619625"/>
                    </a:xfrm>
                    <a:prstGeom prst="rect">
                      <a:avLst/>
                    </a:prstGeom>
                    <a:noFill/>
                    <a:ln>
                      <a:noFill/>
                    </a:ln>
                    <a:extLst>
                      <a:ext uri="{53640926-AAD7-44D8-BBD7-CCE9431645EC}">
                        <a14:shadowObscured xmlns:a14="http://schemas.microsoft.com/office/drawing/2010/main"/>
                      </a:ext>
                    </a:extLst>
                  </pic:spPr>
                </pic:pic>
              </a:graphicData>
            </a:graphic>
          </wp:inline>
        </w:drawing>
      </w:r>
    </w:p>
    <w:p w14:paraId="5C669969" w14:textId="478D755E" w:rsidR="00912A18" w:rsidRPr="00912A18" w:rsidRDefault="00912A18" w:rsidP="00912A18">
      <w:pPr>
        <w:pStyle w:val="Caption"/>
        <w:keepNext/>
        <w:rPr>
          <w:b/>
          <w:bCs/>
          <w:i w:val="0"/>
          <w:iCs w:val="0"/>
          <w:color w:val="auto"/>
          <w:sz w:val="22"/>
          <w:szCs w:val="22"/>
        </w:rPr>
      </w:pPr>
      <w:r w:rsidRPr="00912A18">
        <w:rPr>
          <w:b/>
          <w:bCs/>
          <w:i w:val="0"/>
          <w:iCs w:val="0"/>
          <w:color w:val="auto"/>
          <w:sz w:val="22"/>
          <w:szCs w:val="22"/>
        </w:rPr>
        <w:lastRenderedPageBreak/>
        <w:t xml:space="preserve">Fig </w:t>
      </w:r>
      <w:r w:rsidR="00962132">
        <w:rPr>
          <w:b/>
          <w:bCs/>
          <w:i w:val="0"/>
          <w:iCs w:val="0"/>
          <w:color w:val="auto"/>
          <w:sz w:val="22"/>
          <w:szCs w:val="22"/>
        </w:rPr>
        <w:t>S</w:t>
      </w:r>
      <w:r w:rsidRPr="00912A18">
        <w:rPr>
          <w:b/>
          <w:bCs/>
          <w:i w:val="0"/>
          <w:iCs w:val="0"/>
          <w:color w:val="auto"/>
          <w:sz w:val="22"/>
          <w:szCs w:val="22"/>
        </w:rPr>
        <w:fldChar w:fldCharType="begin"/>
      </w:r>
      <w:r w:rsidRPr="00912A18">
        <w:rPr>
          <w:b/>
          <w:bCs/>
          <w:i w:val="0"/>
          <w:iCs w:val="0"/>
          <w:color w:val="auto"/>
          <w:sz w:val="22"/>
          <w:szCs w:val="22"/>
        </w:rPr>
        <w:instrText xml:space="preserve"> SEQ Fig \* ARABIC </w:instrText>
      </w:r>
      <w:r w:rsidRPr="00912A18">
        <w:rPr>
          <w:b/>
          <w:bCs/>
          <w:i w:val="0"/>
          <w:iCs w:val="0"/>
          <w:color w:val="auto"/>
          <w:sz w:val="22"/>
          <w:szCs w:val="22"/>
        </w:rPr>
        <w:fldChar w:fldCharType="separate"/>
      </w:r>
      <w:r w:rsidR="009A11D8">
        <w:rPr>
          <w:b/>
          <w:bCs/>
          <w:i w:val="0"/>
          <w:iCs w:val="0"/>
          <w:noProof/>
          <w:color w:val="auto"/>
          <w:sz w:val="22"/>
          <w:szCs w:val="22"/>
        </w:rPr>
        <w:t>21</w:t>
      </w:r>
      <w:r w:rsidRPr="00912A18">
        <w:rPr>
          <w:b/>
          <w:bCs/>
          <w:i w:val="0"/>
          <w:iCs w:val="0"/>
          <w:color w:val="auto"/>
          <w:sz w:val="22"/>
          <w:szCs w:val="22"/>
        </w:rPr>
        <w:fldChar w:fldCharType="end"/>
      </w:r>
      <w:r w:rsidRPr="00912A18">
        <w:rPr>
          <w:b/>
          <w:bCs/>
          <w:i w:val="0"/>
          <w:iCs w:val="0"/>
          <w:color w:val="auto"/>
          <w:sz w:val="22"/>
          <w:szCs w:val="22"/>
        </w:rPr>
        <w:t>. Moran's scatter plot for catchment-level risk of malaria during the highest burden month of the study duration</w:t>
      </w:r>
    </w:p>
    <w:p w14:paraId="7C0B17A8" w14:textId="786AFF85" w:rsidR="00363357" w:rsidRDefault="00363357" w:rsidP="00F70FE8">
      <w:pPr>
        <w:jc w:val="center"/>
      </w:pPr>
      <w:r>
        <w:rPr>
          <w:noProof/>
        </w:rPr>
        <w:drawing>
          <wp:inline distT="0" distB="0" distL="0" distR="0" wp14:anchorId="12664CA8" wp14:editId="41D2EF98">
            <wp:extent cx="5676900" cy="46291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9">
                      <a:extLst>
                        <a:ext uri="{28A0092B-C50C-407E-A947-70E740481C1C}">
                          <a14:useLocalDpi xmlns:a14="http://schemas.microsoft.com/office/drawing/2010/main" val="0"/>
                        </a:ext>
                      </a:extLst>
                    </a:blip>
                    <a:srcRect t="4219" r="4487" b="2583"/>
                    <a:stretch/>
                  </pic:blipFill>
                  <pic:spPr bwMode="auto">
                    <a:xfrm>
                      <a:off x="0" y="0"/>
                      <a:ext cx="5676900" cy="4629150"/>
                    </a:xfrm>
                    <a:prstGeom prst="rect">
                      <a:avLst/>
                    </a:prstGeom>
                    <a:noFill/>
                    <a:ln>
                      <a:noFill/>
                    </a:ln>
                    <a:extLst>
                      <a:ext uri="{53640926-AAD7-44D8-BBD7-CCE9431645EC}">
                        <a14:shadowObscured xmlns:a14="http://schemas.microsoft.com/office/drawing/2010/main"/>
                      </a:ext>
                    </a:extLst>
                  </pic:spPr>
                </pic:pic>
              </a:graphicData>
            </a:graphic>
          </wp:inline>
        </w:drawing>
      </w:r>
    </w:p>
    <w:p w14:paraId="1F58D9FD" w14:textId="77777777" w:rsidR="00FF2127" w:rsidRDefault="00FF2127">
      <w:pPr>
        <w:sectPr w:rsidR="00FF2127" w:rsidSect="006F080C">
          <w:pgSz w:w="12240" w:h="15840"/>
          <w:pgMar w:top="1440" w:right="1440" w:bottom="1440" w:left="1440" w:header="720" w:footer="720" w:gutter="0"/>
          <w:cols w:space="720"/>
          <w:docGrid w:linePitch="360"/>
        </w:sectPr>
      </w:pPr>
    </w:p>
    <w:p w14:paraId="524AF082" w14:textId="0C1D2443" w:rsidR="00C5636B" w:rsidRPr="00C5636B" w:rsidRDefault="00F60C68" w:rsidP="00C5636B">
      <w:pPr>
        <w:pStyle w:val="Caption"/>
        <w:keepNext/>
        <w:spacing w:line="360" w:lineRule="auto"/>
        <w:rPr>
          <w:b/>
          <w:bCs/>
          <w:i w:val="0"/>
          <w:iCs w:val="0"/>
          <w:color w:val="auto"/>
          <w:sz w:val="28"/>
          <w:szCs w:val="28"/>
        </w:rPr>
      </w:pPr>
      <w:r>
        <w:rPr>
          <w:i w:val="0"/>
          <w:iCs w:val="0"/>
          <w:color w:val="auto"/>
          <w:sz w:val="22"/>
          <w:szCs w:val="22"/>
        </w:rPr>
        <w:lastRenderedPageBreak/>
        <w:t xml:space="preserve">Whilst the location of HH clusters did not change much over time, the </w:t>
      </w:r>
      <w:r w:rsidR="00C5636B" w:rsidRPr="00C5636B">
        <w:rPr>
          <w:i w:val="0"/>
          <w:iCs w:val="0"/>
          <w:color w:val="auto"/>
          <w:sz w:val="22"/>
          <w:szCs w:val="22"/>
        </w:rPr>
        <w:t xml:space="preserve">number of health facility catchments </w:t>
      </w:r>
      <w:r w:rsidR="00C5636B">
        <w:rPr>
          <w:i w:val="0"/>
          <w:iCs w:val="0"/>
          <w:color w:val="auto"/>
          <w:sz w:val="22"/>
          <w:szCs w:val="22"/>
        </w:rPr>
        <w:t>comprising the identified</w:t>
      </w:r>
      <w:r w:rsidR="00C5636B" w:rsidRPr="00C5636B">
        <w:rPr>
          <w:i w:val="0"/>
          <w:iCs w:val="0"/>
          <w:color w:val="auto"/>
          <w:sz w:val="22"/>
          <w:szCs w:val="22"/>
        </w:rPr>
        <w:t xml:space="preserve"> significant clusters of high-high risk of malaria per month varied over time</w:t>
      </w:r>
      <w:r w:rsidR="00C5636B">
        <w:rPr>
          <w:i w:val="0"/>
          <w:iCs w:val="0"/>
          <w:color w:val="auto"/>
          <w:sz w:val="22"/>
          <w:szCs w:val="22"/>
        </w:rPr>
        <w:t>, showing</w:t>
      </w:r>
      <w:r w:rsidR="00C5636B" w:rsidRPr="00C5636B">
        <w:rPr>
          <w:i w:val="0"/>
          <w:iCs w:val="0"/>
          <w:color w:val="auto"/>
          <w:sz w:val="22"/>
          <w:szCs w:val="22"/>
        </w:rPr>
        <w:t xml:space="preserve"> larger numbers</w:t>
      </w:r>
      <w:r w:rsidR="00C5636B">
        <w:rPr>
          <w:i w:val="0"/>
          <w:iCs w:val="0"/>
          <w:color w:val="auto"/>
          <w:sz w:val="22"/>
          <w:szCs w:val="22"/>
        </w:rPr>
        <w:t xml:space="preserve"> of </w:t>
      </w:r>
      <w:r>
        <w:rPr>
          <w:i w:val="0"/>
          <w:iCs w:val="0"/>
          <w:color w:val="auto"/>
          <w:sz w:val="22"/>
          <w:szCs w:val="22"/>
        </w:rPr>
        <w:t xml:space="preserve">health facility </w:t>
      </w:r>
      <w:r w:rsidR="00C5636B">
        <w:rPr>
          <w:i w:val="0"/>
          <w:iCs w:val="0"/>
          <w:color w:val="auto"/>
          <w:sz w:val="22"/>
          <w:szCs w:val="22"/>
        </w:rPr>
        <w:t>catchments</w:t>
      </w:r>
      <w:r w:rsidR="00C5636B" w:rsidRPr="00C5636B">
        <w:rPr>
          <w:i w:val="0"/>
          <w:iCs w:val="0"/>
          <w:color w:val="auto"/>
          <w:sz w:val="22"/>
          <w:szCs w:val="22"/>
        </w:rPr>
        <w:t xml:space="preserve"> during high burden seasons </w:t>
      </w:r>
      <w:r>
        <w:rPr>
          <w:i w:val="0"/>
          <w:iCs w:val="0"/>
          <w:color w:val="auto"/>
          <w:sz w:val="22"/>
          <w:szCs w:val="22"/>
        </w:rPr>
        <w:t>that reduced</w:t>
      </w:r>
      <w:r w:rsidR="00C5636B" w:rsidRPr="00C5636B">
        <w:rPr>
          <w:i w:val="0"/>
          <w:iCs w:val="0"/>
          <w:color w:val="auto"/>
          <w:sz w:val="22"/>
          <w:szCs w:val="22"/>
        </w:rPr>
        <w:t xml:space="preserve"> during the low burden seasons</w:t>
      </w:r>
      <w:r>
        <w:rPr>
          <w:i w:val="0"/>
          <w:iCs w:val="0"/>
          <w:color w:val="auto"/>
          <w:sz w:val="22"/>
          <w:szCs w:val="22"/>
        </w:rPr>
        <w:t xml:space="preserve"> (Fig</w:t>
      </w:r>
      <w:r w:rsidR="001A34F0">
        <w:rPr>
          <w:i w:val="0"/>
          <w:iCs w:val="0"/>
          <w:color w:val="auto"/>
          <w:sz w:val="22"/>
          <w:szCs w:val="22"/>
        </w:rPr>
        <w:t>.</w:t>
      </w:r>
      <w:r>
        <w:rPr>
          <w:i w:val="0"/>
          <w:iCs w:val="0"/>
          <w:color w:val="auto"/>
          <w:sz w:val="22"/>
          <w:szCs w:val="22"/>
        </w:rPr>
        <w:t xml:space="preserve"> </w:t>
      </w:r>
      <w:r w:rsidR="001A34F0">
        <w:rPr>
          <w:i w:val="0"/>
          <w:iCs w:val="0"/>
          <w:color w:val="auto"/>
          <w:sz w:val="22"/>
          <w:szCs w:val="22"/>
        </w:rPr>
        <w:t>S</w:t>
      </w:r>
      <w:r>
        <w:rPr>
          <w:i w:val="0"/>
          <w:iCs w:val="0"/>
          <w:color w:val="auto"/>
          <w:sz w:val="22"/>
          <w:szCs w:val="22"/>
        </w:rPr>
        <w:t>22)</w:t>
      </w:r>
      <w:r w:rsidR="00C5636B" w:rsidRPr="00C5636B">
        <w:rPr>
          <w:i w:val="0"/>
          <w:iCs w:val="0"/>
          <w:color w:val="auto"/>
          <w:sz w:val="22"/>
          <w:szCs w:val="22"/>
        </w:rPr>
        <w:t xml:space="preserve">. The total number </w:t>
      </w:r>
      <w:r>
        <w:rPr>
          <w:i w:val="0"/>
          <w:iCs w:val="0"/>
          <w:color w:val="auto"/>
          <w:sz w:val="22"/>
          <w:szCs w:val="22"/>
        </w:rPr>
        <w:t xml:space="preserve">of health facility catchments </w:t>
      </w:r>
      <w:r w:rsidR="00C5636B" w:rsidRPr="00C5636B">
        <w:rPr>
          <w:i w:val="0"/>
          <w:iCs w:val="0"/>
          <w:color w:val="auto"/>
          <w:sz w:val="22"/>
          <w:szCs w:val="22"/>
        </w:rPr>
        <w:t>was lowest during February 2018 (the lowest burden month) at 191 and highest during both June 2017 and 2019 at 236 health facility catchments.</w:t>
      </w:r>
    </w:p>
    <w:p w14:paraId="5F0624DE" w14:textId="18DC81A0" w:rsidR="00F56DA0" w:rsidRPr="00F56DA0" w:rsidRDefault="00F56DA0" w:rsidP="00F56DA0">
      <w:pPr>
        <w:pStyle w:val="Caption"/>
        <w:keepNext/>
        <w:rPr>
          <w:b/>
          <w:bCs/>
          <w:i w:val="0"/>
          <w:iCs w:val="0"/>
          <w:color w:val="auto"/>
          <w:sz w:val="22"/>
          <w:szCs w:val="22"/>
        </w:rPr>
      </w:pPr>
      <w:r w:rsidRPr="00F56DA0">
        <w:rPr>
          <w:b/>
          <w:bCs/>
          <w:i w:val="0"/>
          <w:iCs w:val="0"/>
          <w:color w:val="auto"/>
          <w:sz w:val="22"/>
          <w:szCs w:val="22"/>
        </w:rPr>
        <w:t xml:space="preserve">Fig </w:t>
      </w:r>
      <w:r w:rsidR="00962132">
        <w:rPr>
          <w:b/>
          <w:bCs/>
          <w:i w:val="0"/>
          <w:iCs w:val="0"/>
          <w:color w:val="auto"/>
          <w:sz w:val="22"/>
          <w:szCs w:val="22"/>
        </w:rPr>
        <w:t>S</w:t>
      </w:r>
      <w:r w:rsidRPr="00F56DA0">
        <w:rPr>
          <w:b/>
          <w:bCs/>
          <w:i w:val="0"/>
          <w:iCs w:val="0"/>
          <w:color w:val="auto"/>
          <w:sz w:val="22"/>
          <w:szCs w:val="22"/>
        </w:rPr>
        <w:fldChar w:fldCharType="begin"/>
      </w:r>
      <w:r w:rsidRPr="00F56DA0">
        <w:rPr>
          <w:b/>
          <w:bCs/>
          <w:i w:val="0"/>
          <w:iCs w:val="0"/>
          <w:color w:val="auto"/>
          <w:sz w:val="22"/>
          <w:szCs w:val="22"/>
        </w:rPr>
        <w:instrText xml:space="preserve"> SEQ Fig \* ARABIC </w:instrText>
      </w:r>
      <w:r w:rsidRPr="00F56DA0">
        <w:rPr>
          <w:b/>
          <w:bCs/>
          <w:i w:val="0"/>
          <w:iCs w:val="0"/>
          <w:color w:val="auto"/>
          <w:sz w:val="22"/>
          <w:szCs w:val="22"/>
        </w:rPr>
        <w:fldChar w:fldCharType="separate"/>
      </w:r>
      <w:r w:rsidR="009A11D8">
        <w:rPr>
          <w:b/>
          <w:bCs/>
          <w:i w:val="0"/>
          <w:iCs w:val="0"/>
          <w:noProof/>
          <w:color w:val="auto"/>
          <w:sz w:val="22"/>
          <w:szCs w:val="22"/>
        </w:rPr>
        <w:t>22</w:t>
      </w:r>
      <w:r w:rsidRPr="00F56DA0">
        <w:rPr>
          <w:b/>
          <w:bCs/>
          <w:i w:val="0"/>
          <w:iCs w:val="0"/>
          <w:color w:val="auto"/>
          <w:sz w:val="22"/>
          <w:szCs w:val="22"/>
        </w:rPr>
        <w:fldChar w:fldCharType="end"/>
      </w:r>
      <w:r w:rsidRPr="00F56DA0">
        <w:rPr>
          <w:b/>
          <w:bCs/>
          <w:i w:val="0"/>
          <w:iCs w:val="0"/>
          <w:color w:val="auto"/>
          <w:sz w:val="22"/>
          <w:szCs w:val="22"/>
        </w:rPr>
        <w:t>. Changes in number of catchments comprising monthly high-high clusters</w:t>
      </w:r>
      <w:r w:rsidR="00F60C68">
        <w:rPr>
          <w:b/>
          <w:bCs/>
          <w:i w:val="0"/>
          <w:iCs w:val="0"/>
          <w:color w:val="auto"/>
          <w:sz w:val="22"/>
          <w:szCs w:val="22"/>
        </w:rPr>
        <w:t xml:space="preserve"> of malaria risk,</w:t>
      </w:r>
      <w:r w:rsidRPr="00F56DA0">
        <w:rPr>
          <w:b/>
          <w:bCs/>
          <w:i w:val="0"/>
          <w:iCs w:val="0"/>
          <w:color w:val="auto"/>
          <w:sz w:val="22"/>
          <w:szCs w:val="22"/>
        </w:rPr>
        <w:t xml:space="preserve"> identified using the Local Moran's I statistics</w:t>
      </w:r>
    </w:p>
    <w:p w14:paraId="0F2FDB9F" w14:textId="77777777" w:rsidR="00F56DA0" w:rsidRDefault="00F56DA0">
      <w:r>
        <w:rPr>
          <w:noProof/>
        </w:rPr>
        <w:drawing>
          <wp:inline distT="0" distB="0" distL="0" distR="0" wp14:anchorId="59DEC532" wp14:editId="53EEEF41">
            <wp:extent cx="8686800" cy="3701143"/>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8694680" cy="3704500"/>
                    </a:xfrm>
                    <a:prstGeom prst="rect">
                      <a:avLst/>
                    </a:prstGeom>
                    <a:noFill/>
                    <a:ln>
                      <a:noFill/>
                    </a:ln>
                  </pic:spPr>
                </pic:pic>
              </a:graphicData>
            </a:graphic>
          </wp:inline>
        </w:drawing>
      </w:r>
      <w:r w:rsidR="006275B6">
        <w:t xml:space="preserve"> </w:t>
      </w:r>
    </w:p>
    <w:p w14:paraId="22232E81" w14:textId="626C13E9" w:rsidR="00D73B35" w:rsidRDefault="00D73B35" w:rsidP="002A3379">
      <w:pPr>
        <w:spacing w:line="360" w:lineRule="auto"/>
      </w:pPr>
      <w:r>
        <w:br w:type="page"/>
      </w:r>
    </w:p>
    <w:p w14:paraId="0B85169F" w14:textId="77777777" w:rsidR="006275B6" w:rsidRDefault="006275B6" w:rsidP="0038444C">
      <w:pPr>
        <w:spacing w:before="240" w:line="360" w:lineRule="auto"/>
        <w:sectPr w:rsidR="006275B6" w:rsidSect="006275B6">
          <w:pgSz w:w="15840" w:h="12240" w:orient="landscape"/>
          <w:pgMar w:top="1440" w:right="1440" w:bottom="1440" w:left="1440" w:header="720" w:footer="720" w:gutter="0"/>
          <w:cols w:space="720"/>
          <w:docGrid w:linePitch="360"/>
        </w:sectPr>
      </w:pPr>
    </w:p>
    <w:p w14:paraId="5E92006B" w14:textId="1609A82A" w:rsidR="00D41AA7" w:rsidRDefault="00D41AA7" w:rsidP="0038444C">
      <w:pPr>
        <w:spacing w:before="240" w:line="360" w:lineRule="auto"/>
      </w:pPr>
      <w:r>
        <w:lastRenderedPageBreak/>
        <w:t>References</w:t>
      </w:r>
    </w:p>
    <w:p w14:paraId="000B3CA9" w14:textId="77777777" w:rsidR="00830725" w:rsidRPr="00830725" w:rsidRDefault="00D41AA7" w:rsidP="00830725">
      <w:pPr>
        <w:pStyle w:val="EndNoteBibliography"/>
        <w:spacing w:after="0"/>
        <w:ind w:left="720" w:hanging="720"/>
      </w:pPr>
      <w:r>
        <w:fldChar w:fldCharType="begin"/>
      </w:r>
      <w:r>
        <w:instrText xml:space="preserve"> ADDIN EN.REFLIST </w:instrText>
      </w:r>
      <w:r>
        <w:fldChar w:fldCharType="separate"/>
      </w:r>
      <w:r w:rsidR="00830725" w:rsidRPr="00830725">
        <w:t>1.</w:t>
      </w:r>
      <w:r w:rsidR="00830725" w:rsidRPr="00830725">
        <w:tab/>
        <w:t xml:space="preserve">Amuge, B., et al., </w:t>
      </w:r>
      <w:r w:rsidR="00830725" w:rsidRPr="00830725">
        <w:rPr>
          <w:i/>
        </w:rPr>
        <w:t>Health-seeking behavior for malaria among child and adult headed households in Rakai district, Uganda.</w:t>
      </w:r>
      <w:r w:rsidR="00830725" w:rsidRPr="00830725">
        <w:t xml:space="preserve"> Afr Health Sci, 2004. </w:t>
      </w:r>
      <w:r w:rsidR="00830725" w:rsidRPr="00830725">
        <w:rPr>
          <w:b/>
        </w:rPr>
        <w:t>4</w:t>
      </w:r>
      <w:r w:rsidR="00830725" w:rsidRPr="00830725">
        <w:t>(2): p. 119-24.</w:t>
      </w:r>
    </w:p>
    <w:p w14:paraId="41402CE4" w14:textId="77777777" w:rsidR="00830725" w:rsidRPr="00830725" w:rsidRDefault="00830725" w:rsidP="00830725">
      <w:pPr>
        <w:pStyle w:val="EndNoteBibliography"/>
        <w:spacing w:after="0"/>
        <w:ind w:left="720" w:hanging="720"/>
      </w:pPr>
      <w:r w:rsidRPr="00830725">
        <w:t>2.</w:t>
      </w:r>
      <w:r w:rsidRPr="00830725">
        <w:tab/>
        <w:t xml:space="preserve">Menon, M.P., J.D. Njau, and D.A. McFarland, </w:t>
      </w:r>
      <w:r w:rsidRPr="00830725">
        <w:rPr>
          <w:i/>
        </w:rPr>
        <w:t>Cost and Predictors of Care-Seeking Behaviors Among Caregivers of Febrile Children-Uganda, 2009.</w:t>
      </w:r>
      <w:r w:rsidRPr="00830725">
        <w:t xml:space="preserve"> Am J Trop Med Hyg, 2016. </w:t>
      </w:r>
      <w:r w:rsidRPr="00830725">
        <w:rPr>
          <w:b/>
        </w:rPr>
        <w:t>94</w:t>
      </w:r>
      <w:r w:rsidRPr="00830725">
        <w:t>(4): p. 932-7.</w:t>
      </w:r>
    </w:p>
    <w:p w14:paraId="39C3054C" w14:textId="77777777" w:rsidR="00830725" w:rsidRPr="00830725" w:rsidRDefault="00830725" w:rsidP="00830725">
      <w:pPr>
        <w:pStyle w:val="EndNoteBibliography"/>
        <w:spacing w:after="0"/>
        <w:ind w:left="720" w:hanging="720"/>
      </w:pPr>
      <w:r w:rsidRPr="00830725">
        <w:t>3.</w:t>
      </w:r>
      <w:r w:rsidRPr="00830725">
        <w:tab/>
        <w:t xml:space="preserve">Tumwesigire, S. and S. Watson, </w:t>
      </w:r>
      <w:r w:rsidRPr="00830725">
        <w:rPr>
          <w:i/>
        </w:rPr>
        <w:t>Health seeking behavior by families of children suspected to have malaria in Kabale: Uganda.</w:t>
      </w:r>
      <w:r w:rsidRPr="00830725">
        <w:t xml:space="preserve"> Afr Health Sci, 2002. </w:t>
      </w:r>
      <w:r w:rsidRPr="00830725">
        <w:rPr>
          <w:b/>
        </w:rPr>
        <w:t>2</w:t>
      </w:r>
      <w:r w:rsidRPr="00830725">
        <w:t>(3): p. 94-8.</w:t>
      </w:r>
    </w:p>
    <w:p w14:paraId="1CF23622" w14:textId="77777777" w:rsidR="00830725" w:rsidRPr="00830725" w:rsidRDefault="00830725" w:rsidP="00830725">
      <w:pPr>
        <w:pStyle w:val="EndNoteBibliography"/>
        <w:spacing w:after="0"/>
        <w:ind w:left="720" w:hanging="720"/>
      </w:pPr>
      <w:r w:rsidRPr="00830725">
        <w:t>4.</w:t>
      </w:r>
      <w:r w:rsidRPr="00830725">
        <w:tab/>
        <w:t xml:space="preserve">Cohen, J., et al., </w:t>
      </w:r>
      <w:r w:rsidRPr="00830725">
        <w:rPr>
          <w:i/>
        </w:rPr>
        <w:t>Determinants of malaria diagnostic uptake in the retail sector: qualitative analysis from focus groups in Uganda.</w:t>
      </w:r>
      <w:r w:rsidRPr="00830725">
        <w:t xml:space="preserve"> Malar J, 2015. </w:t>
      </w:r>
      <w:r w:rsidRPr="00830725">
        <w:rPr>
          <w:b/>
        </w:rPr>
        <w:t>14</w:t>
      </w:r>
      <w:r w:rsidRPr="00830725">
        <w:t>: p. 89.</w:t>
      </w:r>
    </w:p>
    <w:p w14:paraId="71A60697" w14:textId="77777777" w:rsidR="00830725" w:rsidRPr="00830725" w:rsidRDefault="00830725" w:rsidP="00830725">
      <w:pPr>
        <w:pStyle w:val="EndNoteBibliography"/>
        <w:spacing w:after="0"/>
        <w:ind w:left="720" w:hanging="720"/>
      </w:pPr>
      <w:r w:rsidRPr="00830725">
        <w:t>5.</w:t>
      </w:r>
      <w:r w:rsidRPr="00830725">
        <w:tab/>
        <w:t xml:space="preserve">Ray, N. and S. Ebener, </w:t>
      </w:r>
      <w:r w:rsidRPr="00830725">
        <w:rPr>
          <w:i/>
        </w:rPr>
        <w:t>AccessMod 3.0: computing geographic coverage and accessibility to health care services using anisotropic movement of patients.</w:t>
      </w:r>
      <w:r w:rsidRPr="00830725">
        <w:t xml:space="preserve"> Int J Health Geogr, 2008. </w:t>
      </w:r>
      <w:r w:rsidRPr="00830725">
        <w:rPr>
          <w:b/>
        </w:rPr>
        <w:t>7</w:t>
      </w:r>
      <w:r w:rsidRPr="00830725">
        <w:t>: p. 63.</w:t>
      </w:r>
    </w:p>
    <w:p w14:paraId="04C13177" w14:textId="77777777" w:rsidR="00830725" w:rsidRPr="00830725" w:rsidRDefault="00830725" w:rsidP="00830725">
      <w:pPr>
        <w:pStyle w:val="EndNoteBibliography"/>
        <w:spacing w:after="0"/>
        <w:ind w:left="720" w:hanging="720"/>
      </w:pPr>
      <w:r w:rsidRPr="00830725">
        <w:t>6.</w:t>
      </w:r>
      <w:r w:rsidRPr="00830725">
        <w:tab/>
        <w:t xml:space="preserve">WHO, </w:t>
      </w:r>
      <w:r w:rsidRPr="00830725">
        <w:rPr>
          <w:i/>
        </w:rPr>
        <w:t xml:space="preserve">World Malaria Report 2019 </w:t>
      </w:r>
      <w:r w:rsidRPr="00830725">
        <w:t>2019, World Health Organization: Geneva, Switzerland.</w:t>
      </w:r>
    </w:p>
    <w:p w14:paraId="5A194000" w14:textId="77777777" w:rsidR="00830725" w:rsidRPr="00830725" w:rsidRDefault="00830725" w:rsidP="00830725">
      <w:pPr>
        <w:pStyle w:val="EndNoteBibliography"/>
        <w:spacing w:after="0"/>
        <w:ind w:left="720" w:hanging="720"/>
      </w:pPr>
      <w:r w:rsidRPr="00830725">
        <w:t>7.</w:t>
      </w:r>
      <w:r w:rsidRPr="00830725">
        <w:tab/>
        <w:t xml:space="preserve">(NMCD), U.N.M.C.D., U.B.o.S. (UBOS), and ICF, </w:t>
      </w:r>
      <w:r w:rsidRPr="00830725">
        <w:rPr>
          <w:i/>
        </w:rPr>
        <w:t>Uganda Malaria Indicator Survey 2018-19</w:t>
      </w:r>
      <w:r w:rsidRPr="00830725">
        <w:t>. 2020, NMCD, UBOS, and ICF: Kampala, Uganda, and Rockville, Maryland, USA.</w:t>
      </w:r>
    </w:p>
    <w:p w14:paraId="79E775DA" w14:textId="77777777" w:rsidR="00830725" w:rsidRPr="00830725" w:rsidRDefault="00830725" w:rsidP="00830725">
      <w:pPr>
        <w:pStyle w:val="EndNoteBibliography"/>
        <w:ind w:left="720" w:hanging="720"/>
      </w:pPr>
      <w:r w:rsidRPr="00830725">
        <w:t>8.</w:t>
      </w:r>
      <w:r w:rsidRPr="00830725">
        <w:tab/>
        <w:t xml:space="preserve">Cooper, L., et al., </w:t>
      </w:r>
      <w:r w:rsidRPr="00830725">
        <w:rPr>
          <w:i/>
        </w:rPr>
        <w:t>Pareto rules for malaria super-spreaders and super-spreading.</w:t>
      </w:r>
      <w:r w:rsidRPr="00830725">
        <w:t xml:space="preserve"> Nat Commun, 2019. </w:t>
      </w:r>
      <w:r w:rsidRPr="00830725">
        <w:rPr>
          <w:b/>
        </w:rPr>
        <w:t>10</w:t>
      </w:r>
      <w:r w:rsidRPr="00830725">
        <w:t>(1): p. 3939.</w:t>
      </w:r>
    </w:p>
    <w:p w14:paraId="77F68E53" w14:textId="15B91F03" w:rsidR="00BA1AF6" w:rsidRDefault="00D41AA7" w:rsidP="0038444C">
      <w:pPr>
        <w:spacing w:before="240" w:line="360" w:lineRule="auto"/>
      </w:pPr>
      <w:r>
        <w:fldChar w:fldCharType="end"/>
      </w:r>
    </w:p>
    <w:sectPr w:rsidR="00BA1AF6" w:rsidSect="006275B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736284" w14:textId="77777777" w:rsidR="00F736BA" w:rsidRDefault="00F736BA" w:rsidP="0074335C">
      <w:pPr>
        <w:spacing w:after="0" w:line="240" w:lineRule="auto"/>
      </w:pPr>
      <w:r>
        <w:separator/>
      </w:r>
    </w:p>
  </w:endnote>
  <w:endnote w:type="continuationSeparator" w:id="0">
    <w:p w14:paraId="1E50504D" w14:textId="77777777" w:rsidR="00F736BA" w:rsidRDefault="00F736BA" w:rsidP="007433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altName w:val="Courier New"/>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6516031"/>
      <w:docPartObj>
        <w:docPartGallery w:val="Page Numbers (Bottom of Page)"/>
        <w:docPartUnique/>
      </w:docPartObj>
    </w:sdtPr>
    <w:sdtContent>
      <w:sdt>
        <w:sdtPr>
          <w:id w:val="-1769616900"/>
          <w:docPartObj>
            <w:docPartGallery w:val="Page Numbers (Top of Page)"/>
            <w:docPartUnique/>
          </w:docPartObj>
        </w:sdtPr>
        <w:sdtContent>
          <w:p w14:paraId="390187C4" w14:textId="56D66CE7" w:rsidR="00283C76" w:rsidRDefault="00283C76">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4C6B0252" w14:textId="77777777" w:rsidR="00283C76" w:rsidRDefault="00283C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E51740" w14:textId="77777777" w:rsidR="00F736BA" w:rsidRDefault="00F736BA" w:rsidP="0074335C">
      <w:pPr>
        <w:spacing w:after="0" w:line="240" w:lineRule="auto"/>
      </w:pPr>
      <w:r>
        <w:separator/>
      </w:r>
    </w:p>
  </w:footnote>
  <w:footnote w:type="continuationSeparator" w:id="0">
    <w:p w14:paraId="4C0BCBBD" w14:textId="77777777" w:rsidR="00F736BA" w:rsidRDefault="00F736BA" w:rsidP="0074335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8B1306"/>
    <w:multiLevelType w:val="hybridMultilevel"/>
    <w:tmpl w:val="595813F8"/>
    <w:lvl w:ilvl="0" w:tplc="04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467CC5"/>
    <w:multiLevelType w:val="hybridMultilevel"/>
    <w:tmpl w:val="73D2C106"/>
    <w:lvl w:ilvl="0" w:tplc="7996D712">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A0B27F6"/>
    <w:multiLevelType w:val="hybridMultilevel"/>
    <w:tmpl w:val="00B0B110"/>
    <w:lvl w:ilvl="0" w:tplc="04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E643424"/>
    <w:multiLevelType w:val="hybridMultilevel"/>
    <w:tmpl w:val="00B0B110"/>
    <w:lvl w:ilvl="0" w:tplc="04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C0760C7"/>
    <w:multiLevelType w:val="hybridMultilevel"/>
    <w:tmpl w:val="9F1EAB58"/>
    <w:lvl w:ilvl="0" w:tplc="04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4"/>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0rz5wvzrvd50qex2snvaft1et2zsewp95td&quot;&gt;My EndNote Library_revisedagain&lt;record-ids&gt;&lt;item&gt;738&lt;/item&gt;&lt;item&gt;741&lt;/item&gt;&lt;item&gt;761&lt;/item&gt;&lt;item&gt;794&lt;/item&gt;&lt;item&gt;1571&lt;/item&gt;&lt;item&gt;1580&lt;/item&gt;&lt;item&gt;1762&lt;/item&gt;&lt;item&gt;1836&lt;/item&gt;&lt;/record-ids&gt;&lt;/item&gt;&lt;/Libraries&gt;"/>
  </w:docVars>
  <w:rsids>
    <w:rsidRoot w:val="005B4E3C"/>
    <w:rsid w:val="00010744"/>
    <w:rsid w:val="00011185"/>
    <w:rsid w:val="00023C6B"/>
    <w:rsid w:val="00025AD7"/>
    <w:rsid w:val="00047AA5"/>
    <w:rsid w:val="000514FE"/>
    <w:rsid w:val="00061900"/>
    <w:rsid w:val="00062CFA"/>
    <w:rsid w:val="00065193"/>
    <w:rsid w:val="000660CC"/>
    <w:rsid w:val="000B2DD8"/>
    <w:rsid w:val="000B2FE9"/>
    <w:rsid w:val="000D4CF0"/>
    <w:rsid w:val="000D56E7"/>
    <w:rsid w:val="000F57A5"/>
    <w:rsid w:val="00110CA2"/>
    <w:rsid w:val="001421A9"/>
    <w:rsid w:val="00143CEF"/>
    <w:rsid w:val="00154279"/>
    <w:rsid w:val="001557CA"/>
    <w:rsid w:val="0016565A"/>
    <w:rsid w:val="0016724C"/>
    <w:rsid w:val="0017158F"/>
    <w:rsid w:val="001961A7"/>
    <w:rsid w:val="001A34F0"/>
    <w:rsid w:val="001B3DD2"/>
    <w:rsid w:val="001B4E5F"/>
    <w:rsid w:val="001B570E"/>
    <w:rsid w:val="001C742D"/>
    <w:rsid w:val="001E3CD8"/>
    <w:rsid w:val="00212F1B"/>
    <w:rsid w:val="0022676C"/>
    <w:rsid w:val="00235053"/>
    <w:rsid w:val="00242E1C"/>
    <w:rsid w:val="00257907"/>
    <w:rsid w:val="00264FA5"/>
    <w:rsid w:val="0028327F"/>
    <w:rsid w:val="00283C76"/>
    <w:rsid w:val="002A231B"/>
    <w:rsid w:val="002A3379"/>
    <w:rsid w:val="002A444D"/>
    <w:rsid w:val="002C5112"/>
    <w:rsid w:val="002F4A3C"/>
    <w:rsid w:val="00341290"/>
    <w:rsid w:val="003413EA"/>
    <w:rsid w:val="00363357"/>
    <w:rsid w:val="00364E39"/>
    <w:rsid w:val="0038444C"/>
    <w:rsid w:val="0039296C"/>
    <w:rsid w:val="003A3A96"/>
    <w:rsid w:val="003C5150"/>
    <w:rsid w:val="003D4635"/>
    <w:rsid w:val="004135BF"/>
    <w:rsid w:val="004579F5"/>
    <w:rsid w:val="00496237"/>
    <w:rsid w:val="004D4010"/>
    <w:rsid w:val="004D6DA4"/>
    <w:rsid w:val="004D790F"/>
    <w:rsid w:val="005455D0"/>
    <w:rsid w:val="00567126"/>
    <w:rsid w:val="00567F64"/>
    <w:rsid w:val="00570261"/>
    <w:rsid w:val="00580467"/>
    <w:rsid w:val="00595284"/>
    <w:rsid w:val="005B4E3C"/>
    <w:rsid w:val="005C41E4"/>
    <w:rsid w:val="005C5D87"/>
    <w:rsid w:val="005C730A"/>
    <w:rsid w:val="005E2F12"/>
    <w:rsid w:val="005F7481"/>
    <w:rsid w:val="00612A7E"/>
    <w:rsid w:val="006275B6"/>
    <w:rsid w:val="0065691D"/>
    <w:rsid w:val="0067170A"/>
    <w:rsid w:val="00697FA0"/>
    <w:rsid w:val="006A2D8B"/>
    <w:rsid w:val="006F080C"/>
    <w:rsid w:val="00731C3F"/>
    <w:rsid w:val="0074335C"/>
    <w:rsid w:val="00743AD1"/>
    <w:rsid w:val="00766225"/>
    <w:rsid w:val="00766983"/>
    <w:rsid w:val="00784DC6"/>
    <w:rsid w:val="00787333"/>
    <w:rsid w:val="007914EB"/>
    <w:rsid w:val="007928A5"/>
    <w:rsid w:val="007A2661"/>
    <w:rsid w:val="007E1B8E"/>
    <w:rsid w:val="00805892"/>
    <w:rsid w:val="00830725"/>
    <w:rsid w:val="00831AA4"/>
    <w:rsid w:val="00886320"/>
    <w:rsid w:val="008863C5"/>
    <w:rsid w:val="00886847"/>
    <w:rsid w:val="008A63EF"/>
    <w:rsid w:val="008C2C99"/>
    <w:rsid w:val="008D1823"/>
    <w:rsid w:val="008D5B4F"/>
    <w:rsid w:val="008E0853"/>
    <w:rsid w:val="00912A18"/>
    <w:rsid w:val="00913326"/>
    <w:rsid w:val="00924715"/>
    <w:rsid w:val="00947F11"/>
    <w:rsid w:val="00962132"/>
    <w:rsid w:val="00993846"/>
    <w:rsid w:val="009A11D8"/>
    <w:rsid w:val="009A6F06"/>
    <w:rsid w:val="009C4D10"/>
    <w:rsid w:val="009C5723"/>
    <w:rsid w:val="009D2235"/>
    <w:rsid w:val="00A00E5D"/>
    <w:rsid w:val="00A26F1E"/>
    <w:rsid w:val="00A336F2"/>
    <w:rsid w:val="00A3432D"/>
    <w:rsid w:val="00A5054F"/>
    <w:rsid w:val="00A6399A"/>
    <w:rsid w:val="00A66EC9"/>
    <w:rsid w:val="00A81868"/>
    <w:rsid w:val="00A853BE"/>
    <w:rsid w:val="00AB1730"/>
    <w:rsid w:val="00AE76CA"/>
    <w:rsid w:val="00B077A0"/>
    <w:rsid w:val="00B16486"/>
    <w:rsid w:val="00B31348"/>
    <w:rsid w:val="00B36E9C"/>
    <w:rsid w:val="00B5645D"/>
    <w:rsid w:val="00B6631A"/>
    <w:rsid w:val="00B66DC9"/>
    <w:rsid w:val="00B86660"/>
    <w:rsid w:val="00B90935"/>
    <w:rsid w:val="00B9354F"/>
    <w:rsid w:val="00BA1AF6"/>
    <w:rsid w:val="00BA5FA3"/>
    <w:rsid w:val="00BE58CE"/>
    <w:rsid w:val="00C2414D"/>
    <w:rsid w:val="00C36E53"/>
    <w:rsid w:val="00C46C74"/>
    <w:rsid w:val="00C5636B"/>
    <w:rsid w:val="00C824EC"/>
    <w:rsid w:val="00C84960"/>
    <w:rsid w:val="00C96FEB"/>
    <w:rsid w:val="00C9769A"/>
    <w:rsid w:val="00CE5C15"/>
    <w:rsid w:val="00CF3B3E"/>
    <w:rsid w:val="00CF4EE7"/>
    <w:rsid w:val="00CF5F67"/>
    <w:rsid w:val="00D06742"/>
    <w:rsid w:val="00D1674A"/>
    <w:rsid w:val="00D26398"/>
    <w:rsid w:val="00D41AA7"/>
    <w:rsid w:val="00D514BB"/>
    <w:rsid w:val="00D5410C"/>
    <w:rsid w:val="00D65AC2"/>
    <w:rsid w:val="00D66780"/>
    <w:rsid w:val="00D739CC"/>
    <w:rsid w:val="00D73B35"/>
    <w:rsid w:val="00DC6B4D"/>
    <w:rsid w:val="00DE46D8"/>
    <w:rsid w:val="00DE5CBA"/>
    <w:rsid w:val="00E10C82"/>
    <w:rsid w:val="00E12CBA"/>
    <w:rsid w:val="00E15FA0"/>
    <w:rsid w:val="00E20ED0"/>
    <w:rsid w:val="00E2241E"/>
    <w:rsid w:val="00E23D1C"/>
    <w:rsid w:val="00E80C32"/>
    <w:rsid w:val="00EA34F5"/>
    <w:rsid w:val="00EB50CF"/>
    <w:rsid w:val="00EC11AB"/>
    <w:rsid w:val="00ED30AE"/>
    <w:rsid w:val="00EE581A"/>
    <w:rsid w:val="00F12DCB"/>
    <w:rsid w:val="00F221B9"/>
    <w:rsid w:val="00F245DA"/>
    <w:rsid w:val="00F26604"/>
    <w:rsid w:val="00F26F6C"/>
    <w:rsid w:val="00F31C76"/>
    <w:rsid w:val="00F329B1"/>
    <w:rsid w:val="00F442AF"/>
    <w:rsid w:val="00F532B9"/>
    <w:rsid w:val="00F56DA0"/>
    <w:rsid w:val="00F60C68"/>
    <w:rsid w:val="00F70FE8"/>
    <w:rsid w:val="00F736BA"/>
    <w:rsid w:val="00F83A6A"/>
    <w:rsid w:val="00F87CEC"/>
    <w:rsid w:val="00F97E87"/>
    <w:rsid w:val="00FA374F"/>
    <w:rsid w:val="00FD16CC"/>
    <w:rsid w:val="00FE7AA2"/>
    <w:rsid w:val="00FF21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F0D390"/>
  <w15:chartTrackingRefBased/>
  <w15:docId w15:val="{2465EA18-4B98-42C1-9246-1B5E6FD19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link w:val="CaptionChar"/>
    <w:uiPriority w:val="35"/>
    <w:unhideWhenUsed/>
    <w:qFormat/>
    <w:rsid w:val="00B5645D"/>
    <w:pPr>
      <w:spacing w:after="200" w:line="240" w:lineRule="auto"/>
    </w:pPr>
    <w:rPr>
      <w:i/>
      <w:iCs/>
      <w:color w:val="44546A" w:themeColor="text2"/>
      <w:sz w:val="18"/>
      <w:szCs w:val="18"/>
    </w:rPr>
  </w:style>
  <w:style w:type="paragraph" w:customStyle="1" w:styleId="EndNoteBibliographyTitle">
    <w:name w:val="EndNote Bibliography Title"/>
    <w:basedOn w:val="Normal"/>
    <w:link w:val="EndNoteBibliographyTitleChar"/>
    <w:rsid w:val="00D41AA7"/>
    <w:pPr>
      <w:spacing w:after="0"/>
      <w:jc w:val="center"/>
    </w:pPr>
    <w:rPr>
      <w:rFonts w:ascii="Calibri" w:hAnsi="Calibri"/>
      <w:noProof/>
    </w:rPr>
  </w:style>
  <w:style w:type="character" w:customStyle="1" w:styleId="CaptionChar">
    <w:name w:val="Caption Char"/>
    <w:basedOn w:val="DefaultParagraphFont"/>
    <w:link w:val="Caption"/>
    <w:uiPriority w:val="35"/>
    <w:rsid w:val="00D41AA7"/>
    <w:rPr>
      <w:i/>
      <w:iCs/>
      <w:color w:val="44546A" w:themeColor="text2"/>
      <w:sz w:val="18"/>
      <w:szCs w:val="18"/>
    </w:rPr>
  </w:style>
  <w:style w:type="character" w:customStyle="1" w:styleId="EndNoteBibliographyTitleChar">
    <w:name w:val="EndNote Bibliography Title Char"/>
    <w:basedOn w:val="CaptionChar"/>
    <w:link w:val="EndNoteBibliographyTitle"/>
    <w:rsid w:val="00D41AA7"/>
    <w:rPr>
      <w:rFonts w:ascii="Calibri" w:hAnsi="Calibri"/>
      <w:i w:val="0"/>
      <w:iCs w:val="0"/>
      <w:noProof/>
      <w:color w:val="44546A" w:themeColor="text2"/>
      <w:sz w:val="18"/>
      <w:szCs w:val="18"/>
    </w:rPr>
  </w:style>
  <w:style w:type="paragraph" w:customStyle="1" w:styleId="EndNoteBibliography">
    <w:name w:val="EndNote Bibliography"/>
    <w:basedOn w:val="Normal"/>
    <w:link w:val="EndNoteBibliographyChar"/>
    <w:rsid w:val="00D41AA7"/>
    <w:pPr>
      <w:spacing w:line="240" w:lineRule="auto"/>
    </w:pPr>
    <w:rPr>
      <w:rFonts w:ascii="Calibri" w:hAnsi="Calibri"/>
      <w:noProof/>
    </w:rPr>
  </w:style>
  <w:style w:type="character" w:customStyle="1" w:styleId="EndNoteBibliographyChar">
    <w:name w:val="EndNote Bibliography Char"/>
    <w:basedOn w:val="CaptionChar"/>
    <w:link w:val="EndNoteBibliography"/>
    <w:rsid w:val="00D41AA7"/>
    <w:rPr>
      <w:rFonts w:ascii="Calibri" w:hAnsi="Calibri"/>
      <w:i w:val="0"/>
      <w:iCs w:val="0"/>
      <w:noProof/>
      <w:color w:val="44546A" w:themeColor="text2"/>
      <w:sz w:val="18"/>
      <w:szCs w:val="18"/>
    </w:rPr>
  </w:style>
  <w:style w:type="paragraph" w:styleId="BalloonText">
    <w:name w:val="Balloon Text"/>
    <w:basedOn w:val="Normal"/>
    <w:link w:val="BalloonTextChar"/>
    <w:uiPriority w:val="99"/>
    <w:semiHidden/>
    <w:unhideWhenUsed/>
    <w:rsid w:val="00D73B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3B35"/>
    <w:rPr>
      <w:rFonts w:ascii="Segoe UI" w:hAnsi="Segoe UI" w:cs="Segoe UI"/>
      <w:sz w:val="18"/>
      <w:szCs w:val="18"/>
    </w:rPr>
  </w:style>
  <w:style w:type="paragraph" w:styleId="ListParagraph">
    <w:name w:val="List Paragraph"/>
    <w:basedOn w:val="Normal"/>
    <w:uiPriority w:val="34"/>
    <w:qFormat/>
    <w:rsid w:val="00BA5FA3"/>
    <w:pPr>
      <w:ind w:left="720"/>
      <w:contextualSpacing/>
    </w:pPr>
  </w:style>
  <w:style w:type="paragraph" w:styleId="Header">
    <w:name w:val="header"/>
    <w:basedOn w:val="Normal"/>
    <w:link w:val="HeaderChar"/>
    <w:uiPriority w:val="99"/>
    <w:unhideWhenUsed/>
    <w:rsid w:val="007433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35C"/>
  </w:style>
  <w:style w:type="paragraph" w:styleId="Footer">
    <w:name w:val="footer"/>
    <w:basedOn w:val="Normal"/>
    <w:link w:val="FooterChar"/>
    <w:uiPriority w:val="99"/>
    <w:unhideWhenUsed/>
    <w:rsid w:val="0074335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3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8831764">
      <w:bodyDiv w:val="1"/>
      <w:marLeft w:val="0"/>
      <w:marRight w:val="0"/>
      <w:marTop w:val="0"/>
      <w:marBottom w:val="0"/>
      <w:divBdr>
        <w:top w:val="none" w:sz="0" w:space="0" w:color="auto"/>
        <w:left w:val="none" w:sz="0" w:space="0" w:color="auto"/>
        <w:bottom w:val="none" w:sz="0" w:space="0" w:color="auto"/>
        <w:right w:val="none" w:sz="0" w:space="0" w:color="auto"/>
      </w:divBdr>
    </w:div>
    <w:div w:id="581181582">
      <w:bodyDiv w:val="1"/>
      <w:marLeft w:val="0"/>
      <w:marRight w:val="0"/>
      <w:marTop w:val="0"/>
      <w:marBottom w:val="0"/>
      <w:divBdr>
        <w:top w:val="none" w:sz="0" w:space="0" w:color="auto"/>
        <w:left w:val="none" w:sz="0" w:space="0" w:color="auto"/>
        <w:bottom w:val="none" w:sz="0" w:space="0" w:color="auto"/>
        <w:right w:val="none" w:sz="0" w:space="0" w:color="auto"/>
      </w:divBdr>
    </w:div>
    <w:div w:id="1355154942">
      <w:bodyDiv w:val="1"/>
      <w:marLeft w:val="0"/>
      <w:marRight w:val="0"/>
      <w:marTop w:val="0"/>
      <w:marBottom w:val="0"/>
      <w:divBdr>
        <w:top w:val="none" w:sz="0" w:space="0" w:color="auto"/>
        <w:left w:val="none" w:sz="0" w:space="0" w:color="auto"/>
        <w:bottom w:val="none" w:sz="0" w:space="0" w:color="auto"/>
        <w:right w:val="none" w:sz="0" w:space="0" w:color="auto"/>
      </w:divBdr>
    </w:div>
    <w:div w:id="1610964346">
      <w:bodyDiv w:val="1"/>
      <w:marLeft w:val="0"/>
      <w:marRight w:val="0"/>
      <w:marTop w:val="0"/>
      <w:marBottom w:val="0"/>
      <w:divBdr>
        <w:top w:val="none" w:sz="0" w:space="0" w:color="auto"/>
        <w:left w:val="none" w:sz="0" w:space="0" w:color="auto"/>
        <w:bottom w:val="none" w:sz="0" w:space="0" w:color="auto"/>
        <w:right w:val="none" w:sz="0" w:space="0" w:color="auto"/>
      </w:divBdr>
    </w:div>
    <w:div w:id="1611208082">
      <w:bodyDiv w:val="1"/>
      <w:marLeft w:val="0"/>
      <w:marRight w:val="0"/>
      <w:marTop w:val="0"/>
      <w:marBottom w:val="0"/>
      <w:divBdr>
        <w:top w:val="none" w:sz="0" w:space="0" w:color="auto"/>
        <w:left w:val="none" w:sz="0" w:space="0" w:color="auto"/>
        <w:bottom w:val="none" w:sz="0" w:space="0" w:color="auto"/>
        <w:right w:val="none" w:sz="0" w:space="0" w:color="auto"/>
      </w:divBdr>
    </w:div>
    <w:div w:id="2048025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6.tiff"/><Relationship Id="rId18" Type="http://schemas.openxmlformats.org/officeDocument/2006/relationships/image" Target="media/image11.tiff"/><Relationship Id="rId26" Type="http://schemas.openxmlformats.org/officeDocument/2006/relationships/image" Target="media/image19.tiff"/><Relationship Id="rId3" Type="http://schemas.openxmlformats.org/officeDocument/2006/relationships/settings" Target="settings.xml"/><Relationship Id="rId21" Type="http://schemas.openxmlformats.org/officeDocument/2006/relationships/image" Target="media/image14.tiff"/><Relationship Id="rId7" Type="http://schemas.openxmlformats.org/officeDocument/2006/relationships/image" Target="media/image1.tiff"/><Relationship Id="rId12" Type="http://schemas.openxmlformats.org/officeDocument/2006/relationships/footer" Target="footer1.xml"/><Relationship Id="rId17" Type="http://schemas.openxmlformats.org/officeDocument/2006/relationships/image" Target="media/image10.tiff"/><Relationship Id="rId25" Type="http://schemas.openxmlformats.org/officeDocument/2006/relationships/image" Target="media/image18.tiff"/><Relationship Id="rId2" Type="http://schemas.openxmlformats.org/officeDocument/2006/relationships/styles" Target="styles.xml"/><Relationship Id="rId16" Type="http://schemas.openxmlformats.org/officeDocument/2006/relationships/image" Target="media/image9.tiff"/><Relationship Id="rId20" Type="http://schemas.openxmlformats.org/officeDocument/2006/relationships/image" Target="media/image13.tiff"/><Relationship Id="rId29" Type="http://schemas.openxmlformats.org/officeDocument/2006/relationships/image" Target="media/image22.tif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24" Type="http://schemas.openxmlformats.org/officeDocument/2006/relationships/image" Target="media/image17.tiff"/><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8.tiff"/><Relationship Id="rId23" Type="http://schemas.openxmlformats.org/officeDocument/2006/relationships/image" Target="media/image16.tiff"/><Relationship Id="rId28" Type="http://schemas.openxmlformats.org/officeDocument/2006/relationships/image" Target="media/image21.tiff"/><Relationship Id="rId10" Type="http://schemas.openxmlformats.org/officeDocument/2006/relationships/image" Target="media/image4.tiff"/><Relationship Id="rId19" Type="http://schemas.openxmlformats.org/officeDocument/2006/relationships/image" Target="media/image12.tiff"/><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7.tiff"/><Relationship Id="rId22" Type="http://schemas.openxmlformats.org/officeDocument/2006/relationships/image" Target="media/image15.tiff"/><Relationship Id="rId27" Type="http://schemas.openxmlformats.org/officeDocument/2006/relationships/image" Target="media/image20.tiff"/><Relationship Id="rId30" Type="http://schemas.openxmlformats.org/officeDocument/2006/relationships/image" Target="media/image23.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6317</TotalTime>
  <Pages>34</Pages>
  <Words>6360</Words>
  <Characters>36252</Characters>
  <Application>Microsoft Office Word</Application>
  <DocSecurity>0</DocSecurity>
  <Lines>302</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dc:creator>
  <cp:keywords/>
  <dc:description/>
  <cp:lastModifiedBy>SP</cp:lastModifiedBy>
  <cp:revision>117</cp:revision>
  <dcterms:created xsi:type="dcterms:W3CDTF">2020-05-14T17:27:00Z</dcterms:created>
  <dcterms:modified xsi:type="dcterms:W3CDTF">2020-07-30T14:59:00Z</dcterms:modified>
</cp:coreProperties>
</file>