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71DCF" w14:textId="77777777" w:rsidR="00FC1FD6" w:rsidRPr="00FC1FD6" w:rsidRDefault="00FC1FD6" w:rsidP="00FC1FD6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FC1FD6">
        <w:rPr>
          <w:rFonts w:ascii="Arial" w:eastAsia="Arial" w:hAnsi="Arial" w:cs="Arial"/>
          <w:sz w:val="22"/>
          <w:szCs w:val="22"/>
          <w:u w:val="single"/>
        </w:rPr>
        <w:t>Table 4:</w:t>
      </w:r>
    </w:p>
    <w:p w14:paraId="3DAF88A2" w14:textId="77777777" w:rsidR="00FC1FD6" w:rsidRPr="00FC1FD6" w:rsidRDefault="00FC1FD6" w:rsidP="00FC1FD6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</w:rPr>
      </w:pPr>
      <w:r w:rsidRPr="00FC1FD6">
        <w:rPr>
          <w:rFonts w:ascii="Arial" w:eastAsia="Arial" w:hAnsi="Arial" w:cs="Arial"/>
          <w:sz w:val="22"/>
          <w:szCs w:val="22"/>
        </w:rPr>
        <w:t>Title: Hepatic recurrence</w:t>
      </w:r>
    </w:p>
    <w:p w14:paraId="1219810D" w14:textId="77777777" w:rsidR="00FC1FD6" w:rsidRPr="00FC1FD6" w:rsidRDefault="00FC1FD6" w:rsidP="00FC1FD6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</w:rPr>
      </w:pPr>
      <w:r w:rsidRPr="00FC1FD6">
        <w:rPr>
          <w:rFonts w:ascii="Arial" w:eastAsia="Arial" w:hAnsi="Arial" w:cs="Arial"/>
          <w:sz w:val="22"/>
          <w:szCs w:val="22"/>
        </w:rPr>
        <w:t xml:space="preserve">Footnotes: Results presented as n (%) unless otherwise specified. </w:t>
      </w:r>
      <w:proofErr w:type="spellStart"/>
      <w:r w:rsidRPr="00FC1FD6">
        <w:rPr>
          <w:rFonts w:ascii="Arial" w:eastAsia="Arial" w:hAnsi="Arial" w:cs="Arial"/>
          <w:sz w:val="22"/>
          <w:szCs w:val="22"/>
        </w:rPr>
        <w:t>GTVr</w:t>
      </w:r>
      <w:proofErr w:type="spellEnd"/>
      <w:r w:rsidRPr="00FC1FD6">
        <w:rPr>
          <w:rFonts w:ascii="Arial" w:eastAsia="Arial" w:hAnsi="Arial" w:cs="Arial"/>
          <w:sz w:val="22"/>
          <w:szCs w:val="22"/>
        </w:rPr>
        <w:t xml:space="preserve"> (volume of recurrence); </w:t>
      </w:r>
      <w:proofErr w:type="spellStart"/>
      <w:r w:rsidRPr="00FC1FD6">
        <w:rPr>
          <w:rFonts w:ascii="Arial" w:eastAsia="Arial" w:hAnsi="Arial" w:cs="Arial"/>
          <w:sz w:val="22"/>
          <w:szCs w:val="22"/>
        </w:rPr>
        <w:t>PTVi</w:t>
      </w:r>
      <w:proofErr w:type="spellEnd"/>
      <w:r w:rsidRPr="00FC1FD6">
        <w:rPr>
          <w:rFonts w:ascii="Arial" w:eastAsia="Arial" w:hAnsi="Arial" w:cs="Arial"/>
          <w:sz w:val="22"/>
          <w:szCs w:val="22"/>
        </w:rPr>
        <w:t xml:space="preserve"> (initial Planning target volume); IQR (Interquartile Range).</w:t>
      </w:r>
    </w:p>
    <w:p w14:paraId="77788D29" w14:textId="77777777" w:rsidR="00FC1FD6" w:rsidRPr="00FC1FD6" w:rsidRDefault="00FC1FD6" w:rsidP="00FC1FD6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</w:rPr>
      </w:pPr>
      <w:r w:rsidRPr="00FC1FD6">
        <w:rPr>
          <w:rFonts w:ascii="Arial" w:eastAsia="Arial" w:hAnsi="Arial" w:cs="Arial"/>
          <w:sz w:val="22"/>
          <w:szCs w:val="22"/>
        </w:rPr>
        <w:t>N= 32 (we reported 32 recurrences in 22 patients).</w:t>
      </w:r>
    </w:p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1FD6" w:rsidRPr="00FC1FD6" w14:paraId="0FB92E70" w14:textId="77777777" w:rsidTr="00253C60"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66CC5BFF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Characteristics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48F23A73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N= 32</w:t>
            </w:r>
          </w:p>
        </w:tc>
      </w:tr>
      <w:tr w:rsidR="00FC1FD6" w:rsidRPr="00FC1FD6" w14:paraId="0718F424" w14:textId="77777777" w:rsidTr="00253C60">
        <w:tc>
          <w:tcPr>
            <w:tcW w:w="4531" w:type="dxa"/>
            <w:tcBorders>
              <w:bottom w:val="nil"/>
            </w:tcBorders>
            <w:shd w:val="clear" w:color="auto" w:fill="auto"/>
          </w:tcPr>
          <w:p w14:paraId="4E373E4D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C1FD6">
              <w:rPr>
                <w:rFonts w:ascii="Arial" w:eastAsia="Arial" w:hAnsi="Arial" w:cs="Arial"/>
                <w:sz w:val="22"/>
                <w:szCs w:val="22"/>
              </w:rPr>
              <w:t>GTVr</w:t>
            </w:r>
            <w:proofErr w:type="spellEnd"/>
            <w:r w:rsidRPr="00FC1FD6">
              <w:rPr>
                <w:rFonts w:ascii="Arial" w:eastAsia="Arial" w:hAnsi="Arial" w:cs="Arial"/>
                <w:sz w:val="22"/>
                <w:szCs w:val="22"/>
              </w:rPr>
              <w:t xml:space="preserve"> volume (cm</w:t>
            </w:r>
            <w:r w:rsidRPr="00FC1FD6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3</w:t>
            </w:r>
            <w:r w:rsidRPr="00FC1FD6">
              <w:rPr>
                <w:rFonts w:ascii="Arial" w:eastAsia="Arial" w:hAnsi="Arial" w:cs="Arial"/>
                <w:sz w:val="22"/>
                <w:szCs w:val="22"/>
              </w:rPr>
              <w:t>), median [IQR]</w:t>
            </w:r>
          </w:p>
        </w:tc>
        <w:tc>
          <w:tcPr>
            <w:tcW w:w="4531" w:type="dxa"/>
            <w:tcBorders>
              <w:bottom w:val="nil"/>
            </w:tcBorders>
            <w:shd w:val="clear" w:color="auto" w:fill="auto"/>
          </w:tcPr>
          <w:p w14:paraId="385DF1FB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3,77 [2,07 – 9,56]</w:t>
            </w:r>
          </w:p>
        </w:tc>
      </w:tr>
      <w:tr w:rsidR="00FC1FD6" w:rsidRPr="00FC1FD6" w14:paraId="2F5F339E" w14:textId="77777777" w:rsidTr="00253C60"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14:paraId="635AC744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Type of recurrence</w:t>
            </w:r>
          </w:p>
          <w:p w14:paraId="2C9B72C4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Inside the 80% isodose</w:t>
            </w:r>
          </w:p>
          <w:p w14:paraId="628E94BB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Inside the 70% isodose</w:t>
            </w:r>
          </w:p>
          <w:p w14:paraId="12ECA75F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Inside the 50% isodose</w:t>
            </w:r>
          </w:p>
          <w:p w14:paraId="1BDDAE65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 xml:space="preserve">Inside the </w:t>
            </w:r>
            <w:proofErr w:type="spellStart"/>
            <w:r w:rsidRPr="00FC1FD6">
              <w:rPr>
                <w:rFonts w:ascii="Arial" w:eastAsia="Arial" w:hAnsi="Arial" w:cs="Arial"/>
                <w:sz w:val="22"/>
                <w:szCs w:val="22"/>
              </w:rPr>
              <w:t>PTVi</w:t>
            </w:r>
            <w:proofErr w:type="spellEnd"/>
          </w:p>
          <w:p w14:paraId="22782C17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Liver recurrence outside the initial target volumes or isodoses</w:t>
            </w:r>
          </w:p>
        </w:tc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14:paraId="77402832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73530F0E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12 (37.5)</w:t>
            </w:r>
          </w:p>
          <w:p w14:paraId="547586E4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12 (37.5)</w:t>
            </w:r>
          </w:p>
          <w:p w14:paraId="3BC4CDF1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12 (37.5)</w:t>
            </w:r>
          </w:p>
          <w:p w14:paraId="081D6CB9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10 (31.25)</w:t>
            </w:r>
          </w:p>
          <w:p w14:paraId="6BE0A456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</w:p>
          <w:p w14:paraId="240D5AC0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20 (62.5)</w:t>
            </w:r>
          </w:p>
        </w:tc>
      </w:tr>
      <w:tr w:rsidR="00FC1FD6" w:rsidRPr="00FC1FD6" w14:paraId="246DE711" w14:textId="77777777" w:rsidTr="00253C60"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14:paraId="724C1341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Shared volume with isodose 80%</w:t>
            </w:r>
          </w:p>
          <w:p w14:paraId="6B8BA32A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Unshared volume</w:t>
            </w:r>
          </w:p>
          <w:p w14:paraId="66FF7A84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Out-of-field</w:t>
            </w:r>
          </w:p>
          <w:p w14:paraId="720C0852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Marginal</w:t>
            </w:r>
          </w:p>
          <w:p w14:paraId="52A820FB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In-field</w:t>
            </w:r>
          </w:p>
        </w:tc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14:paraId="17062C4E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2DE6E1F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kern w:val="2"/>
                <w:sz w:val="22"/>
                <w:szCs w:val="22"/>
                <w14:ligatures w14:val="standardContextual"/>
              </w:rPr>
            </w:pPr>
            <w:r w:rsidRPr="00FC1FD6">
              <w:rPr>
                <w:rFonts w:ascii="Arial" w:eastAsia="Arial" w:hAnsi="Arial" w:cs="Arial"/>
                <w:kern w:val="2"/>
                <w:sz w:val="22"/>
                <w:szCs w:val="22"/>
                <w14:ligatures w14:val="standardContextual"/>
              </w:rPr>
              <w:t>20 (62.5)</w:t>
            </w:r>
          </w:p>
          <w:p w14:paraId="0A338789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kern w:val="2"/>
                <w:sz w:val="22"/>
                <w:szCs w:val="22"/>
                <w14:ligatures w14:val="standardContextual"/>
              </w:rPr>
            </w:pPr>
            <w:r w:rsidRPr="00FC1FD6">
              <w:rPr>
                <w:rFonts w:ascii="Arial" w:eastAsia="Arial" w:hAnsi="Arial" w:cs="Arial"/>
                <w:kern w:val="2"/>
                <w:sz w:val="22"/>
                <w:szCs w:val="22"/>
                <w14:ligatures w14:val="standardContextual"/>
              </w:rPr>
              <w:t>3 (9.4)</w:t>
            </w:r>
          </w:p>
          <w:p w14:paraId="75E3584D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kern w:val="2"/>
                <w:sz w:val="22"/>
                <w:szCs w:val="22"/>
                <w14:ligatures w14:val="standardContextual"/>
              </w:rPr>
            </w:pPr>
            <w:r w:rsidRPr="00FC1FD6">
              <w:rPr>
                <w:rFonts w:ascii="Arial" w:eastAsia="Arial" w:hAnsi="Arial" w:cs="Arial"/>
                <w:kern w:val="2"/>
                <w:sz w:val="22"/>
                <w:szCs w:val="22"/>
                <w14:ligatures w14:val="standardContextual"/>
              </w:rPr>
              <w:t>5 (15.6)</w:t>
            </w:r>
          </w:p>
          <w:p w14:paraId="2DBF7164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4 (12.5)</w:t>
            </w:r>
          </w:p>
        </w:tc>
      </w:tr>
      <w:tr w:rsidR="00FC1FD6" w:rsidRPr="00FC1FD6" w14:paraId="6E3417F4" w14:textId="77777777" w:rsidTr="00253C60"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14:paraId="27463392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Shared volume with isodose 70%</w:t>
            </w:r>
          </w:p>
          <w:p w14:paraId="4B352AF3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Unshared volume</w:t>
            </w:r>
          </w:p>
          <w:p w14:paraId="51BD8DFC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Out-of-field</w:t>
            </w:r>
          </w:p>
          <w:p w14:paraId="6FFCD0FD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Marginal</w:t>
            </w:r>
          </w:p>
          <w:p w14:paraId="50EA6EF3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In-field</w:t>
            </w:r>
          </w:p>
        </w:tc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14:paraId="4CAF2F7A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77BD34EE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20 (62.5)</w:t>
            </w:r>
          </w:p>
          <w:p w14:paraId="30A497F5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2 (6.25)</w:t>
            </w:r>
          </w:p>
          <w:p w14:paraId="35665178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6 (18.75)</w:t>
            </w:r>
          </w:p>
          <w:p w14:paraId="31503CAA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4 (12.5)</w:t>
            </w:r>
          </w:p>
        </w:tc>
      </w:tr>
      <w:tr w:rsidR="00FC1FD6" w:rsidRPr="00FC1FD6" w14:paraId="777C4919" w14:textId="77777777" w:rsidTr="00253C60">
        <w:tc>
          <w:tcPr>
            <w:tcW w:w="4531" w:type="dxa"/>
            <w:tcBorders>
              <w:top w:val="nil"/>
            </w:tcBorders>
            <w:shd w:val="clear" w:color="auto" w:fill="auto"/>
          </w:tcPr>
          <w:p w14:paraId="5F87CF72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Shared volume with isodose 50%</w:t>
            </w:r>
          </w:p>
          <w:p w14:paraId="782E2027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Unshared volume</w:t>
            </w:r>
          </w:p>
          <w:p w14:paraId="1C946CE9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Out-of-field</w:t>
            </w:r>
          </w:p>
          <w:p w14:paraId="0522D9F9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Marginal</w:t>
            </w:r>
          </w:p>
          <w:p w14:paraId="2510E932" w14:textId="77777777" w:rsidR="00FC1FD6" w:rsidRPr="00FC1FD6" w:rsidRDefault="00FC1FD6" w:rsidP="00FC1FD6">
            <w:pPr>
              <w:spacing w:after="0" w:line="360" w:lineRule="auto"/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</w:rPr>
              <w:t>In-field</w:t>
            </w:r>
          </w:p>
        </w:tc>
        <w:tc>
          <w:tcPr>
            <w:tcW w:w="4531" w:type="dxa"/>
            <w:tcBorders>
              <w:top w:val="nil"/>
            </w:tcBorders>
            <w:shd w:val="clear" w:color="auto" w:fill="auto"/>
          </w:tcPr>
          <w:p w14:paraId="14CEDE6F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F3815CC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20 (62.5)</w:t>
            </w:r>
          </w:p>
          <w:p w14:paraId="05A92C46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0 (0)</w:t>
            </w:r>
          </w:p>
          <w:p w14:paraId="461421E4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3 (9.4)</w:t>
            </w:r>
          </w:p>
          <w:p w14:paraId="0D6504F8" w14:textId="77777777" w:rsidR="00FC1FD6" w:rsidRPr="00FC1FD6" w:rsidRDefault="00FC1FD6" w:rsidP="00FC1FD6">
            <w:pPr>
              <w:spacing w:after="0"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fr-FR"/>
              </w:rPr>
            </w:pPr>
            <w:r w:rsidRPr="00FC1FD6">
              <w:rPr>
                <w:rFonts w:ascii="Arial" w:eastAsia="Arial" w:hAnsi="Arial" w:cs="Arial"/>
                <w:sz w:val="22"/>
                <w:szCs w:val="22"/>
                <w:lang w:val="fr-FR"/>
              </w:rPr>
              <w:t>9 (28.1)</w:t>
            </w:r>
          </w:p>
        </w:tc>
      </w:tr>
    </w:tbl>
    <w:p w14:paraId="760D4E52" w14:textId="77777777" w:rsidR="00FC1FD6" w:rsidRPr="00FC1FD6" w:rsidRDefault="00FC1FD6" w:rsidP="00FC1FD6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7782A4EF" w14:textId="77777777" w:rsidR="00FC1FD6" w:rsidRPr="00FC1FD6" w:rsidRDefault="00FC1FD6" w:rsidP="00FC1FD6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</w:p>
    <w:p w14:paraId="76E4B6B2" w14:textId="02F8EF73" w:rsidR="003C5F29" w:rsidRPr="002E27CE" w:rsidRDefault="003C5F29" w:rsidP="002E27CE">
      <w:pPr>
        <w:rPr>
          <w:rFonts w:ascii="Arial" w:eastAsia="Arial" w:hAnsi="Arial" w:cs="Arial"/>
          <w:sz w:val="22"/>
          <w:szCs w:val="22"/>
          <w:u w:val="single"/>
        </w:rPr>
      </w:pPr>
    </w:p>
    <w:sectPr w:rsidR="003C5F29" w:rsidRPr="002E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29"/>
    <w:rsid w:val="0005413D"/>
    <w:rsid w:val="002E27CE"/>
    <w:rsid w:val="003C5F29"/>
    <w:rsid w:val="00FC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D5835"/>
  <w15:chartTrackingRefBased/>
  <w15:docId w15:val="{6BE83055-49A3-7940-B5C8-BF9D90BE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29"/>
    <w:pPr>
      <w:spacing w:after="200"/>
    </w:pPr>
    <w:rPr>
      <w:rFonts w:ascii="Cambria" w:eastAsia="Cambria" w:hAnsi="Cambria" w:cs="Cambria"/>
      <w:kern w:val="0"/>
      <w:lang w:val="en-US" w:eastAsia="ja-JP"/>
      <w14:ligatures w14:val="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C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Alizee Renan</dc:creator>
  <cp:keywords/>
  <dc:description/>
  <cp:lastModifiedBy>Alizee Renan</cp:lastModifiedBy>
  <cp:revision>2</cp:revision>
  <dcterms:created xsi:type="dcterms:W3CDTF">2024-10-15T20:29:00Z</dcterms:created>
  <dcterms:modified xsi:type="dcterms:W3CDTF">2024-10-15T20:29:00Z</dcterms:modified>
</cp:coreProperties>
</file>