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3753B" w14:textId="349B463B" w:rsidR="00D9189B" w:rsidRPr="001E127F" w:rsidRDefault="00D9189B" w:rsidP="00D4579B">
      <w:pPr>
        <w:rPr>
          <w:rFonts w:cstheme="minorHAnsi"/>
          <w:b/>
          <w:sz w:val="24"/>
          <w:szCs w:val="24"/>
        </w:rPr>
      </w:pPr>
      <w:r w:rsidRPr="001E127F">
        <w:rPr>
          <w:rFonts w:cstheme="minorHAnsi"/>
          <w:b/>
          <w:sz w:val="24"/>
          <w:szCs w:val="24"/>
        </w:rPr>
        <w:t xml:space="preserve">Supplemental Figure </w:t>
      </w:r>
      <w:r w:rsidR="00E278C6" w:rsidRPr="001E127F">
        <w:rPr>
          <w:rFonts w:cstheme="minorHAnsi"/>
          <w:b/>
          <w:sz w:val="24"/>
          <w:szCs w:val="24"/>
        </w:rPr>
        <w:t>1</w:t>
      </w:r>
      <w:r w:rsidRPr="001E127F">
        <w:rPr>
          <w:rFonts w:cstheme="minorHAnsi"/>
          <w:b/>
          <w:sz w:val="24"/>
          <w:szCs w:val="24"/>
        </w:rPr>
        <w:t>.</w:t>
      </w:r>
      <w:r w:rsidRPr="001E127F">
        <w:rPr>
          <w:rFonts w:cstheme="minorHAnsi"/>
          <w:sz w:val="24"/>
          <w:szCs w:val="24"/>
        </w:rPr>
        <w:t xml:space="preserve"> </w:t>
      </w:r>
      <w:r w:rsidR="00D4579B" w:rsidRPr="001E127F">
        <w:rPr>
          <w:rFonts w:cstheme="minorHAnsi"/>
          <w:sz w:val="24"/>
          <w:szCs w:val="24"/>
        </w:rPr>
        <w:t>Schematic of protein constructs</w:t>
      </w:r>
      <w:r w:rsidR="008A6F83" w:rsidRPr="001E127F">
        <w:rPr>
          <w:rFonts w:cstheme="minorHAnsi"/>
          <w:sz w:val="24"/>
          <w:szCs w:val="24"/>
        </w:rPr>
        <w:t xml:space="preserve"> evaluated in this study</w:t>
      </w:r>
      <w:r w:rsidR="00D4579B" w:rsidRPr="001E127F">
        <w:rPr>
          <w:rFonts w:cstheme="minorHAnsi"/>
          <w:sz w:val="24"/>
          <w:szCs w:val="24"/>
        </w:rPr>
        <w:t xml:space="preserve"> and </w:t>
      </w:r>
      <w:r w:rsidR="001E127F" w:rsidRPr="001E127F">
        <w:rPr>
          <w:rFonts w:cstheme="minorHAnsi"/>
          <w:sz w:val="24"/>
          <w:szCs w:val="24"/>
        </w:rPr>
        <w:t xml:space="preserve">the </w:t>
      </w:r>
      <w:r w:rsidR="00D4579B" w:rsidRPr="001E127F">
        <w:rPr>
          <w:rFonts w:cstheme="minorHAnsi"/>
          <w:sz w:val="24"/>
          <w:szCs w:val="24"/>
        </w:rPr>
        <w:t>l</w:t>
      </w:r>
      <w:r w:rsidRPr="00F72558">
        <w:rPr>
          <w:rFonts w:cstheme="minorHAnsi"/>
          <w:sz w:val="24"/>
          <w:szCs w:val="24"/>
        </w:rPr>
        <w:t xml:space="preserve">ocations of peptides monitored by SRM analysis. </w:t>
      </w:r>
      <w:r w:rsidR="006D49C8" w:rsidRPr="00F72558">
        <w:rPr>
          <w:rFonts w:cstheme="minorHAnsi"/>
          <w:sz w:val="24"/>
          <w:szCs w:val="24"/>
        </w:rPr>
        <w:t>Iduronate-2-sulfatase (</w:t>
      </w:r>
      <w:r w:rsidR="00D64949" w:rsidRPr="00F72558">
        <w:rPr>
          <w:rFonts w:cstheme="minorHAnsi"/>
          <w:sz w:val="24"/>
          <w:szCs w:val="24"/>
        </w:rPr>
        <w:t>IDS</w:t>
      </w:r>
      <w:r w:rsidR="006D49C8" w:rsidRPr="00F72558">
        <w:rPr>
          <w:rFonts w:cstheme="minorHAnsi"/>
          <w:sz w:val="24"/>
          <w:szCs w:val="24"/>
        </w:rPr>
        <w:t>)</w:t>
      </w:r>
      <w:r w:rsidR="00D64949" w:rsidRPr="00F72558">
        <w:rPr>
          <w:rFonts w:cstheme="minorHAnsi"/>
          <w:sz w:val="24"/>
          <w:szCs w:val="24"/>
        </w:rPr>
        <w:t xml:space="preserve"> </w:t>
      </w:r>
      <w:r w:rsidR="008A6F83" w:rsidRPr="00F72558">
        <w:rPr>
          <w:rFonts w:cstheme="minorHAnsi"/>
          <w:sz w:val="24"/>
          <w:szCs w:val="24"/>
        </w:rPr>
        <w:t xml:space="preserve">contains </w:t>
      </w:r>
      <w:r w:rsidR="006D49C8" w:rsidRPr="00F72558">
        <w:rPr>
          <w:rFonts w:cstheme="minorHAnsi"/>
          <w:sz w:val="24"/>
          <w:szCs w:val="24"/>
        </w:rPr>
        <w:t>a</w:t>
      </w:r>
      <w:r w:rsidR="008A6F83" w:rsidRPr="00F72558">
        <w:rPr>
          <w:rFonts w:cstheme="minorHAnsi"/>
          <w:sz w:val="24"/>
          <w:szCs w:val="24"/>
        </w:rPr>
        <w:t xml:space="preserve"> cleavage sites for processing of an N-terminal propeptide</w:t>
      </w:r>
      <w:r w:rsidR="006D49C8" w:rsidRPr="00F72558">
        <w:rPr>
          <w:rFonts w:cstheme="minorHAnsi"/>
          <w:sz w:val="24"/>
          <w:szCs w:val="24"/>
        </w:rPr>
        <w:t>, as well as a internal proteolytic cleavage site for processing into the mature protein comprised of a 42 kDa</w:t>
      </w:r>
      <w:r w:rsidR="008A6F83" w:rsidRPr="00F72558">
        <w:rPr>
          <w:rFonts w:cstheme="minorHAnsi"/>
          <w:sz w:val="24"/>
          <w:szCs w:val="24"/>
        </w:rPr>
        <w:t xml:space="preserve"> and </w:t>
      </w:r>
      <w:r w:rsidR="006D49C8" w:rsidRPr="00F72558">
        <w:rPr>
          <w:rFonts w:cstheme="minorHAnsi"/>
          <w:sz w:val="24"/>
          <w:szCs w:val="24"/>
        </w:rPr>
        <w:t xml:space="preserve">14 kDa polypeptides </w:t>
      </w:r>
      <w:r w:rsidR="006D49C8" w:rsidRPr="001E127F">
        <w:rPr>
          <w:rFonts w:cstheme="minorHAnsi"/>
          <w:sz w:val="24"/>
          <w:szCs w:val="24"/>
        </w:rPr>
        <w:fldChar w:fldCharType="begin" w:fldLock="1"/>
      </w:r>
      <w:r w:rsidR="00F72558">
        <w:rPr>
          <w:rFonts w:cstheme="minorHAnsi"/>
          <w:sz w:val="24"/>
          <w:szCs w:val="24"/>
        </w:rPr>
        <w:instrText>ADDIN CSL_CITATION {"citationItems":[{"id":"ITEM-1","itemData":{"DOI":"10.1073/pnas.87.21.8531","ISSN":"0027-8424","PMID":"2122463","abstract":"Iduronate 2-sulfatase (IDS, EC 3.1.6.13) is required for the lysosomal degradation of heparan sulfate and dermatan sulfate. Mutations causing IDS deficiency in humans result in the lysosomal storage of these glycosaminoglycans and Hunter syndrome, an X chromosome-linked disease. We have isolated and sequenced a 2.3-kilobase cDNA clone coding for the entire sequence of human IDS. Analysis of the deduced 550-amino acid IDS precursor sequence indicates that IDS has a 25-amino acid amino-terminal signal sequence, followed by 8 amino acids that are removed from the proprotein. An internal proteolytic cleavage occurs to produce the mature IDS present in human liver shown to contain a 42-kDa polypeptide N-terminal to a 14-kDa polypeptide. The IDS sequence has strong sequence homology with other sulfatases (such as sea urchin arylsulfatase, human arylsulfatases A, B, and C, and human glucosamine 6-sulfatase), suggesting that the sulfatases comprise an evolutionarily related family of genes that arose by gene duplication and divergent evolution. The arylsulfatases have a greater homology with each other than with the non-arylsulfatases (IDS and glucosamine 6-sulfatase). The IDS cDNA detected RNA species of 5.7, 5.4, 2.1, and 1.4 kilobases in human placental RNA and revealed structural alterations and gross deletions of the IDS gene in many of the clinically severe Hunter syndrome patients studied.","author":[{"dropping-particle":"","family":"Wilson","given":"P J","non-dropping-particle":"","parse-names":false,"suffix":""},{"dropping-particle":"","family":"Morris","given":"C P","non-dropping-particle":"","parse-names":false,"suffix":""},{"dropping-particle":"","family":"Anson","given":"D S","non-dropping-particle":"","parse-names":false,"suffix":""},{"dropping-particle":"","family":"Occhiodoro","given":"T","non-dropping-particle":"","parse-names":false,"suffix":""},{"dropping-particle":"","family":"Bielicki","given":"J","non-dropping-particle":"","parse-names":false,"suffix":""},{"dropping-particle":"","family":"Clements","given":"P R","non-dropping-particle":"","parse-names":false,"suffix":""},{"dropping-particle":"","family":"Hopwood","given":"J J","non-dropping-particle":"","parse-names":false,"suffix":""}],"container-title":"Proceedings of the National Academy of Sciences of the United States of America","id":"ITEM-1","issue":"21","issued":{"date-parts":[["1990","11"]]},"page":"8531-5","title":"Hunter syndrome: isolation of an iduronate-2-sulfatase cDNA clone and analysis of patient DNA.","type":"article-journal","volume":"87"},"uris":["http://www.mendeley.com/documents/?uuid=6a99f2be-4ddf-48f1-87df-b1e19f1beede"]}],"mendeley":{"formattedCitation":"&lt;sup&gt;1&lt;/sup&gt;","plainTextFormattedCitation":"1","previouslyFormattedCitation":"(Wilson et al., 1990)"},"properties":{"noteIndex":0},"schema":"https://github.com/citation-style-language/schema/raw/master/csl-citation.json"}</w:instrText>
      </w:r>
      <w:r w:rsidR="006D49C8" w:rsidRPr="001E127F">
        <w:rPr>
          <w:rFonts w:cstheme="minorHAnsi"/>
          <w:sz w:val="24"/>
          <w:szCs w:val="24"/>
        </w:rPr>
        <w:fldChar w:fldCharType="separate"/>
      </w:r>
      <w:r w:rsidR="00F72558" w:rsidRPr="00F72558">
        <w:rPr>
          <w:rFonts w:cstheme="minorHAnsi"/>
          <w:noProof/>
          <w:sz w:val="24"/>
          <w:szCs w:val="24"/>
          <w:vertAlign w:val="superscript"/>
        </w:rPr>
        <w:t>1</w:t>
      </w:r>
      <w:r w:rsidR="006D49C8" w:rsidRPr="001E127F">
        <w:rPr>
          <w:rFonts w:cstheme="minorHAnsi"/>
          <w:sz w:val="24"/>
          <w:szCs w:val="24"/>
        </w:rPr>
        <w:fldChar w:fldCharType="end"/>
      </w:r>
      <w:r w:rsidR="006D49C8" w:rsidRPr="001E127F">
        <w:rPr>
          <w:rFonts w:cstheme="minorHAnsi"/>
          <w:sz w:val="24"/>
          <w:szCs w:val="24"/>
        </w:rPr>
        <w:t xml:space="preserve">. </w:t>
      </w:r>
      <w:r w:rsidR="00D64949" w:rsidRPr="001E127F">
        <w:rPr>
          <w:rFonts w:cstheme="minorHAnsi"/>
          <w:sz w:val="24"/>
          <w:szCs w:val="24"/>
        </w:rPr>
        <w:t xml:space="preserve"> </w:t>
      </w:r>
      <w:r w:rsidR="006D49C8" w:rsidRPr="001E127F">
        <w:rPr>
          <w:rFonts w:cstheme="minorHAnsi"/>
          <w:sz w:val="24"/>
          <w:szCs w:val="24"/>
        </w:rPr>
        <w:t>FC5, camelid VHH that b</w:t>
      </w:r>
      <w:r w:rsidR="006D49C8" w:rsidRPr="00F72558">
        <w:rPr>
          <w:rFonts w:cstheme="minorHAnsi"/>
          <w:sz w:val="24"/>
          <w:szCs w:val="24"/>
        </w:rPr>
        <w:t>inds to TMEM30A</w:t>
      </w:r>
      <w:r w:rsidR="000E4E84" w:rsidRPr="00F72558">
        <w:rPr>
          <w:rFonts w:cstheme="minorHAnsi"/>
          <w:sz w:val="24"/>
          <w:szCs w:val="24"/>
        </w:rPr>
        <w:t xml:space="preserve"> </w:t>
      </w:r>
      <w:r w:rsidR="000E4E84" w:rsidRPr="001E127F">
        <w:rPr>
          <w:rFonts w:cstheme="minorHAnsi"/>
          <w:sz w:val="24"/>
          <w:szCs w:val="24"/>
        </w:rPr>
        <w:fldChar w:fldCharType="begin" w:fldLock="1"/>
      </w:r>
      <w:r w:rsidR="00F72558">
        <w:rPr>
          <w:rFonts w:cstheme="minorHAnsi"/>
          <w:sz w:val="24"/>
          <w:szCs w:val="24"/>
        </w:rPr>
        <w:instrText>ADDIN CSL_CITATION {"citationItems":[{"id":"ITEM-1","itemData":{"DOI":"10.1007/s40259-018-0309-y","ISSN":"1179-190X","PMID":"30306341","abstract":"Antibody, immuno- and gene therapies developed for neurological indications face a delivery challenge posed by various anatomical and physiological barriers within the central nervous system (CNS); most notably, the blood-brain barrier (BBB). Emerging delivery technologies for biotherapeutics have focused on trans-cellular pathways across the BBB utilizing receptor-mediated transcytosis (RMT). 'Traditionally' targeted RMT receptors, transferrin receptor (TfR) and insulin receptor (IR), are ubiquitously expressed and pose numerous translational challenges during development, including species differences and safety risks. Recent advances in antibody engineering technologies and discoveries of RMT targets and BBB-crossing antibodies that are more BBB-selective have combined to create a new preclinical pipeline of BBB-crossing biotherapeutics with improved efficacy and safety. Novel BBB-selective RMT targets and carrier antibodies have exposed additional opportunities for re-targeting gene delivery vectors or nanocarriers for more efficient brain delivery. Emergence and refinement of core technologies of genetic engineering and editing as well as biomanufacturing of viral vectors and cell-derived products have de-risked the path to the development of systemic gene therapy approaches for the CNS. In particular, brain-tropic viral vectors and extracellular vesicles have recently expanded the repertoire of brain delivery strategies for biotherapeutics. Whereas protein biotherapeutics and bispecific antibodies enabled for BBB transcytosis are rapidly heading towards clinical trials, systemic gene therapy approaches for CNS will likely remain in research phase for the foreseeable future. The promise and limitations of these emerging cross-BBB delivery technologies are further discussed in this article.","author":[{"dropping-particle":"","family":"Stanimirovic","given":"Danica B.","non-dropping-particle":"","parse-names":false,"suffix":""},{"dropping-particle":"","family":"Sandhu","given":"Jagdeep K.","non-dropping-particle":"","parse-names":false,"suffix":""},{"dropping-particle":"","family":"Costain","given":"Will J.","non-dropping-particle":"","parse-names":false,"suffix":""}],"container-title":"BioDrugs : clinical immunotherapeutics, biopharmaceuticals and gene therapy","id":"ITEM-1","issue":"6","issued":{"date-parts":[["2018","12","10"]]},"page":"547-559","title":"Emerging Technologies for Delivery of Biotherapeutics and Gene Therapy Across the Blood-Brain Barrier.","type":"article-journal","volume":"32"},"uris":["http://www.mendeley.com/documents/?uuid=0679b8bd-bd76-47a3-836c-3983966a7c4e"]}],"mendeley":{"formattedCitation":"&lt;sup&gt;2&lt;/sup&gt;","plainTextFormattedCitation":"2","previouslyFormattedCitation":"(Stanimirovic, Sandhu, &amp; Costain, 2018)"},"properties":{"noteIndex":0},"schema":"https://github.com/citation-style-language/schema/raw/master/csl-citation.json"}</w:instrText>
      </w:r>
      <w:r w:rsidR="000E4E84" w:rsidRPr="001E127F">
        <w:rPr>
          <w:rFonts w:cstheme="minorHAnsi"/>
          <w:sz w:val="24"/>
          <w:szCs w:val="24"/>
        </w:rPr>
        <w:fldChar w:fldCharType="separate"/>
      </w:r>
      <w:r w:rsidR="00F72558" w:rsidRPr="00F72558">
        <w:rPr>
          <w:rFonts w:cstheme="minorHAnsi"/>
          <w:noProof/>
          <w:sz w:val="24"/>
          <w:szCs w:val="24"/>
          <w:vertAlign w:val="superscript"/>
        </w:rPr>
        <w:t>2</w:t>
      </w:r>
      <w:r w:rsidR="000E4E84" w:rsidRPr="001E127F">
        <w:rPr>
          <w:rFonts w:cstheme="minorHAnsi"/>
          <w:sz w:val="24"/>
          <w:szCs w:val="24"/>
        </w:rPr>
        <w:fldChar w:fldCharType="end"/>
      </w:r>
      <w:r w:rsidR="006D49C8" w:rsidRPr="001E127F">
        <w:rPr>
          <w:rFonts w:cstheme="minorHAnsi"/>
          <w:sz w:val="24"/>
          <w:szCs w:val="24"/>
        </w:rPr>
        <w:t>; IGFR3H5, humanized camelid VHH that binds to IGF1R</w:t>
      </w:r>
      <w:r w:rsidR="000E4E84" w:rsidRPr="001E127F">
        <w:rPr>
          <w:rFonts w:cstheme="minorHAnsi"/>
          <w:sz w:val="24"/>
          <w:szCs w:val="24"/>
        </w:rPr>
        <w:t xml:space="preserve"> </w:t>
      </w:r>
      <w:r w:rsidR="000E4E84" w:rsidRPr="001E127F">
        <w:rPr>
          <w:rFonts w:cstheme="minorHAnsi"/>
          <w:sz w:val="24"/>
          <w:szCs w:val="24"/>
        </w:rPr>
        <w:fldChar w:fldCharType="begin" w:fldLock="1"/>
      </w:r>
      <w:r w:rsidR="00F72558">
        <w:rPr>
          <w:rFonts w:cstheme="minorHAnsi"/>
          <w:sz w:val="24"/>
          <w:szCs w:val="24"/>
        </w:rPr>
        <w:instrText>ADDIN CSL_CITATION {"citationItems":[{"id":"ITEM-1","itemData":{"DOI":"10.3390/pharmaceutics14071452","ISSN":"1999-4923","PMID":"35890347","abstract":"The ability of drugs and therapeutic antibodies to reach central nervous system (CNS) targets is greatly diminished by the blood-brain barrier (BBB). Receptor-mediated transcytosis (RMT), which is responsible for the transport of natural protein ligands across the BBB, was identified as a way to increase drug delivery to the brain. In this study, we characterized IGF1R5, which is a single-domain antibody (sdAb) that binds to insulin-like growth factor-1 receptor (IGF1R) at the BBB, as a ligand that triggers RMT and could deliver cargo molecules that otherwise do not cross the BBB. Surface plasmon resonance binding analyses demonstrated the species cross-reactivity of IGF1R5 toward IGF1R from multiple species. To overcome the short serum half-life of sdAbs, we fused IGF1R5 to the human (hFc) or mouse Fc domain (mFc). IGF1R5 in both N- and C-terminal mFc fusion showed enhanced transmigration across a rat BBB model (SV-ARBEC) in vitro. Increased levels of hFc-IGF1R5 in the cerebrospinal fluid and vessel-depleted brain parenchyma fractions further confirmed the ability of IGF1R5 to cross the BBB in vivo. We next tested whether this carrier was able to ferry a pharmacologically active payload across the BBB by measuring the hypothermic and analgesic properties of neurotensin and galanin, respectively. The fusion of IGF1R5-hFc to neurotensin induced a dose-dependent reduction in the core temperature. The reversal of hyperalgesia by galanin that was chemically linked to IGF1R5-mFc was demonstrated using the Hargreaves model of inflammatory pain. Taken together, our results provided a proof of concept that appropriate antibodies, such as IGF1R5 against IGF1R, are suitable as RMT carriers for the delivery of therapeutic cargos for CNS applications.","author":[{"dropping-particle":"","family":"Yogi","given":"Alvaro","non-dropping-particle":"","parse-names":false,"suffix":""},{"dropping-particle":"","family":"Hussack","given":"Greg","non-dropping-particle":"","parse-names":false,"suffix":""},{"dropping-particle":"","family":"Faassen","given":"Henk","non-dropping-particle":"van","parse-names":false,"suffix":""},{"dropping-particle":"","family":"Haqqani","given":"Arsalan S","non-dropping-particle":"","parse-names":false,"suffix":""},{"dropping-particle":"","family":"Delaney","given":"Christie E","non-dropping-particle":"","parse-names":false,"suffix":""},{"dropping-particle":"","family":"Brunette","given":"Eric","non-dropping-particle":"","parse-names":false,"suffix":""},{"dropping-particle":"","family":"Sandhu","given":"Jagdeep K","non-dropping-particle":"","parse-names":false,"suffix":""},{"dropping-particle":"","family":"Hewitt","given":"Melissa","non-dropping-particle":"","parse-names":false,"suffix":""},{"dropping-particle":"","family":"Sulea","given":"Traian","non-dropping-particle":"","parse-names":false,"suffix":""},{"dropping-particle":"","family":"Kemmerich","given":"Kristin","non-dropping-particle":"","parse-names":false,"suffix":""},{"dropping-particle":"","family":"Stanimirovic","given":"Danica B","non-dropping-particle":"","parse-names":false,"suffix":""}],"container-title":"Pharmaceutics","id":"ITEM-1","issue":"7","issued":{"date-parts":[["2022","7","12"]]},"title":"Brain Delivery of IGF1R5, a Single-Domain Antibody Targeting Insulin-like Growth Factor-1 Receptor.","type":"article-journal","volume":"14"},"uris":["http://www.mendeley.com/documents/?uuid=27d2f3b8-c435-4706-8bbb-2cf8327dba0b"]}],"mendeley":{"formattedCitation":"&lt;sup&gt;3&lt;/sup&gt;","plainTextFormattedCitation":"3","previouslyFormattedCitation":"(Yogi et al., 2022)"},"properties":{"noteIndex":0},"schema":"https://github.com/citation-style-language/schema/raw/master/csl-citation.json"}</w:instrText>
      </w:r>
      <w:r w:rsidR="000E4E84" w:rsidRPr="001E127F">
        <w:rPr>
          <w:rFonts w:cstheme="minorHAnsi"/>
          <w:sz w:val="24"/>
          <w:szCs w:val="24"/>
        </w:rPr>
        <w:fldChar w:fldCharType="separate"/>
      </w:r>
      <w:r w:rsidR="00F72558" w:rsidRPr="00F72558">
        <w:rPr>
          <w:rFonts w:cstheme="minorHAnsi"/>
          <w:noProof/>
          <w:sz w:val="24"/>
          <w:szCs w:val="24"/>
          <w:vertAlign w:val="superscript"/>
        </w:rPr>
        <w:t>3</w:t>
      </w:r>
      <w:r w:rsidR="000E4E84" w:rsidRPr="001E127F">
        <w:rPr>
          <w:rFonts w:cstheme="minorHAnsi"/>
          <w:sz w:val="24"/>
          <w:szCs w:val="24"/>
        </w:rPr>
        <w:fldChar w:fldCharType="end"/>
      </w:r>
      <w:r w:rsidR="006D49C8" w:rsidRPr="001E127F">
        <w:rPr>
          <w:rFonts w:cstheme="minorHAnsi"/>
          <w:sz w:val="24"/>
          <w:szCs w:val="24"/>
        </w:rPr>
        <w:t>; HSA, human serum albumin</w:t>
      </w:r>
      <w:r w:rsidR="000E4E84" w:rsidRPr="001E127F">
        <w:rPr>
          <w:rFonts w:cstheme="minorHAnsi"/>
          <w:sz w:val="24"/>
          <w:szCs w:val="24"/>
        </w:rPr>
        <w:t xml:space="preserve"> with the K573P mutation; R28, camelid VHH th</w:t>
      </w:r>
      <w:r w:rsidR="001E127F" w:rsidRPr="001E127F">
        <w:rPr>
          <w:rFonts w:cstheme="minorHAnsi"/>
          <w:sz w:val="24"/>
          <w:szCs w:val="24"/>
        </w:rPr>
        <w:t>at</w:t>
      </w:r>
      <w:r w:rsidR="000E4E84" w:rsidRPr="00F72558">
        <w:rPr>
          <w:rFonts w:cstheme="minorHAnsi"/>
          <w:sz w:val="24"/>
          <w:szCs w:val="24"/>
        </w:rPr>
        <w:t xml:space="preserve"> binds serum albumin </w:t>
      </w:r>
      <w:r w:rsidR="000E4E84" w:rsidRPr="001E127F">
        <w:rPr>
          <w:rFonts w:cstheme="minorHAnsi"/>
          <w:sz w:val="24"/>
          <w:szCs w:val="24"/>
        </w:rPr>
        <w:fldChar w:fldCharType="begin" w:fldLock="1"/>
      </w:r>
      <w:r w:rsidR="00F72558">
        <w:rPr>
          <w:rFonts w:cstheme="minorHAnsi"/>
          <w:sz w:val="24"/>
          <w:szCs w:val="24"/>
        </w:rPr>
        <w:instrText xml:space="preserve">ADDIN CSL_CITATION {"citationItems":[{"id":"ITEM-1","itemData":{"DOI":"10.1093/protein/gzv039","ISSN":"1741-0134","PMID":"26319004","abstract":"Antibodies that cross-react with multiple isoforms or homologue of a given protein are often desirable, especially in therapeutic applications. Here, we report the identification of several unique, clonally unrelated, single-domain antibodies (sdAbs) that bind to multiple serum albumin orthologues (human, rhesus, rat and mouse) with low-to-medium nanomolar affinity from a llama immunized only with human serum albumin. Using single-round panning of a phage-displayed sdAb library against serum albumins and next-generation DNA sequencing, we were able to predict patterns of sdAb reactivity to the albumins of different species with </w:instrText>
      </w:r>
      <w:r w:rsidR="00F72558">
        <w:rPr>
          <w:rFonts w:ascii="Cambria Math" w:hAnsi="Cambria Math" w:cs="Cambria Math"/>
          <w:sz w:val="24"/>
          <w:szCs w:val="24"/>
        </w:rPr>
        <w:instrText>∼</w:instrText>
      </w:r>
      <w:r w:rsidR="00F72558">
        <w:rPr>
          <w:rFonts w:cstheme="minorHAnsi"/>
          <w:sz w:val="24"/>
          <w:szCs w:val="24"/>
        </w:rPr>
        <w:instrText>90% accuracy. We expect this strategy to be generally applicable for identifying cross-reactive sdAbs, particularly when these exist at low frequency and/or are poorly enriched by panning. Moreover, the sdAbs identified here are of potential interest for serum half-life extension of biologics.","author":[{"dropping-particle":"","family":"Henry","given":"Kevin A","non-dropping-particle":"","parse-names":false,"suffix":""},{"dropping-particle":"","family":"Tanha","given":"Jamshid","non-dropping-particle":"","parse-names":false,"suffix":""},{"dropping-particle":"","family":"Hussack","given":"Greg","non-dropping-particle":"","parse-names":false,"suffix":""}],"container-title":"Protein engineering, design &amp; selection : PEDS","id":"ITEM-1","issue":"10","issued":{"date-parts":[["2015","10"]]},"page":"379-83","title":"Identification of cross-reactive single-domain antibodies against serum albumin using next-generation DNA sequencing.","type":"article-journal","volume":"28"},"uris":["http://www.mendeley.com/documents/?uuid=84a39f2f-f897-36fc-9ee9-a7ae9af3554b"]},{"id":"ITEM-2","itemData":{"DOI":"10.1096/fj.201903231R","ISSN":"1530-6860","PMID":"32342547","abstract":"Prolonged serum half-life is required for the efficacy of most protein therapeutics. One strategy for half-life extension is to exploit the long circulating half-life of serum albumin by incorporating a binding moiety that recognizes albumin. Here, we describe camelid single-domain antibodies (VH Hs) that bind the serum albumins of multiple species with moderate to high affinity at both neutral and endosomal pH and significantly extend the serum half-lives of multiple proteins in rats from minutes to days. We serendipitously identified an additional VH H (M75) that is naturally pH-sensitive: at endosomal pH, binding affinity for human serum albumin (HSA) was dramatically weakened and binding to rat serum albumin (RSA) was undetectable. Domain mapping revealed that M75 bound to HSA domain 1 and 2. Moreover, alanine scanning of HSA His residues suggested a critical role for His247, located in HSA domain 2, in M75 binding and its pH dependence. Isothermal titration calorimetry experiments were suggestive of proton-linked binding of M75 to HSA, with differing binding enthalpies observed for full-length HSA and an HSA domain 1-domain 2 fusion protein in which surface-exposed His residues were substituted with Ala. M75 conferred moderate half-life extension in rats, from minutes to hours, likely due to rapid dissociation from RSA during FcRn-mediated endosomal recycling in tandem with albumin conformational changes induced by M75 binding that prevented interaction with FcRn. Humanized VH Hs maintained in vivo half-life extension capabilities. These VH Hs represent a new set of tools for extending protein therapeutic half-life and one (M75) demonstrates a unique pH-sensitive binding interaction that can be exploited to achieve modest in vivo half-life.","author":[{"dropping-particle":"","family":"Faassen","given":"Henk","non-dropping-particle":"van","parse-names":false,"suffix":""},{"dropping-particle":"","family":"Ryan","given":"Shannon","non-dropping-particle":"","parse-names":false,"suffix":""},{"dropping-particle":"","family":"Henry","given":"Kevin A","non-dropping-particle":"","parse-names":false,"suffix":""},{"dropping-particle":"","family":"Raphael","given":"Shalini","non-dropping-particle":"","parse-names":false,"suffix":""},{"dropping-particle":"","family":"Yang","given":"Qingling","non-dropping-particle":"","parse-names":false,"suffix":""},{"dropping-particle":"","family":"Rossotti","given":"Martin A","non-dropping-particle":"","parse-names":false,"suffix":""},{"dropping-particle":"","family":"Brunette","given":"Eric","non-dropping-particle":"","parse-names":false,"suffix":""},{"dropping-particle":"","family":"Jiang","given":"Susan","non-dropping-particle":"","parse-names":false,"suffix":""},{"dropping-particle":"","family":"Haqqani","given":"Arsalan S","non-dropping-particle":"","parse-names":false,"suffix":""},{"dropping-particle":"","family":"Sulea","given":"Traian","non-dropping-particle":"","parse-names":false,"suffix":""},{"dropping-particle":"","family":"MacKenzie","given":"C Roger","non-dropping-particle":"","parse-names":false,"suffix":""},{"dropping-particle":"","family":"Tanha","given":"Jamshid","non-dropping-particle":"","parse-names":false,"suffix":""},{"dropping-particle":"","family":"Hussack","given":"Greg","non-dropping-particle":"","parse-names":false,"suffix":""}],"container-title":"FASEB journal : official publication of the Federation of American Societies for Experimental Biology","id":"ITEM-2","issue":"6","issued":{"date-parts":[["2020","6"]]},"page":"8155-8171","title":"Serum albumin-binding VH Hs with variable pH sensitivities enable tailored half-life extension of biologics.","type":"article-journal","volume":"34"},"uris":["http://www.mendeley.com/documents/?uuid=795656cf-11a7-441f-a14d-4ded5a3514cc"]}],"mendeley":{"formattedCitation":"&lt;sup&gt;4,5&lt;/sup&gt;","plainTextFormattedCitation":"4,5","previouslyFormattedCitation":"(Henry, Tanha, &amp; Hussack, 2015; van Faassen et al., 2020)"},"properties":{"noteIndex":0},"schema":"https://github.com/citation-style-language/schema/raw/master/csl-citation.json"}</w:instrText>
      </w:r>
      <w:r w:rsidR="000E4E84" w:rsidRPr="001E127F">
        <w:rPr>
          <w:rFonts w:cstheme="minorHAnsi"/>
          <w:sz w:val="24"/>
          <w:szCs w:val="24"/>
        </w:rPr>
        <w:fldChar w:fldCharType="separate"/>
      </w:r>
      <w:r w:rsidR="00F72558" w:rsidRPr="00F72558">
        <w:rPr>
          <w:rFonts w:cstheme="minorHAnsi"/>
          <w:noProof/>
          <w:sz w:val="24"/>
          <w:szCs w:val="24"/>
          <w:vertAlign w:val="superscript"/>
        </w:rPr>
        <w:t>4,5</w:t>
      </w:r>
      <w:r w:rsidR="000E4E84" w:rsidRPr="001E127F">
        <w:rPr>
          <w:rFonts w:cstheme="minorHAnsi"/>
          <w:sz w:val="24"/>
          <w:szCs w:val="24"/>
        </w:rPr>
        <w:fldChar w:fldCharType="end"/>
      </w:r>
      <w:r w:rsidR="000E4E84" w:rsidRPr="001E127F">
        <w:rPr>
          <w:rFonts w:cstheme="minorHAnsi"/>
          <w:sz w:val="24"/>
          <w:szCs w:val="24"/>
        </w:rPr>
        <w:t>; M79, camelid VHH th</w:t>
      </w:r>
      <w:r w:rsidR="001E127F" w:rsidRPr="001E127F">
        <w:rPr>
          <w:rFonts w:cstheme="minorHAnsi"/>
          <w:sz w:val="24"/>
          <w:szCs w:val="24"/>
        </w:rPr>
        <w:t>at</w:t>
      </w:r>
      <w:r w:rsidR="000E4E84" w:rsidRPr="00F72558">
        <w:rPr>
          <w:rFonts w:cstheme="minorHAnsi"/>
          <w:sz w:val="24"/>
          <w:szCs w:val="24"/>
        </w:rPr>
        <w:t xml:space="preserve"> binds serum albumin </w:t>
      </w:r>
      <w:r w:rsidR="000E4E84" w:rsidRPr="001E127F">
        <w:rPr>
          <w:rFonts w:cstheme="minorHAnsi"/>
          <w:sz w:val="24"/>
          <w:szCs w:val="24"/>
        </w:rPr>
        <w:fldChar w:fldCharType="begin" w:fldLock="1"/>
      </w:r>
      <w:r w:rsidR="00F72558">
        <w:rPr>
          <w:rFonts w:cstheme="minorHAnsi"/>
          <w:sz w:val="24"/>
          <w:szCs w:val="24"/>
        </w:rPr>
        <w:instrText xml:space="preserve">ADDIN CSL_CITATION {"citationItems":[{"id":"ITEM-1","itemData":{"DOI":"10.1093/protein/gzv039","ISSN":"1741-0134","PMID":"26319004","abstract":"Antibodies that cross-react with multiple isoforms or homologue of a given protein are often desirable, especially in therapeutic applications. Here, we report the identification of several unique, clonally unrelated, single-domain antibodies (sdAbs) that bind to multiple serum albumin orthologues (human, rhesus, rat and mouse) with low-to-medium nanomolar affinity from a llama immunized only with human serum albumin. Using single-round panning of a phage-displayed sdAb library against serum albumins and next-generation DNA sequencing, we were able to predict patterns of sdAb reactivity to the albumins of different species with </w:instrText>
      </w:r>
      <w:r w:rsidR="00F72558">
        <w:rPr>
          <w:rFonts w:ascii="Cambria Math" w:hAnsi="Cambria Math" w:cs="Cambria Math"/>
          <w:sz w:val="24"/>
          <w:szCs w:val="24"/>
        </w:rPr>
        <w:instrText>∼</w:instrText>
      </w:r>
      <w:r w:rsidR="00F72558">
        <w:rPr>
          <w:rFonts w:cstheme="minorHAnsi"/>
          <w:sz w:val="24"/>
          <w:szCs w:val="24"/>
        </w:rPr>
        <w:instrText>90% accuracy. We expect this strategy to be generally applicable for identifying cross-reactive sdAbs, particularly when these exist at low frequency and/or are poorly enriched by panning. Moreover, the sdAbs identified here are of potential interest for serum half-life extension of biologics.","author":[{"dropping-particle":"","family":"Henry","given":"Kevin A","non-dropping-particle":"","parse-names":false,"suffix":""},{"dropping-particle":"","family":"Tanha","given":"Jamshid","non-dropping-particle":"","parse-names":false,"suffix":""},{"dropping-particle":"","family":"Hussack","given":"Greg","non-dropping-particle":"","parse-names":false,"suffix":""}],"container-title":"Protein engineering, design &amp; selection : PEDS","id":"ITEM-1","issue":"10","issued":{"date-parts":[["2015","10"]]},"page":"379-83","title":"Identification of cross-reactive single-domain antibodies against serum albumin using next-generation DNA sequencing.","type":"article-journal","volume":"28"},"uris":["http://www.mendeley.com/documents/?uuid=84a39f2f-f897-36fc-9ee9-a7ae9af3554b"]},{"id":"ITEM-2","itemData":{"DOI":"10.1096/fj.201903231R","ISSN":"1530-6860","PMID":"32342547","abstract":"Prolonged serum half-life is required for the efficacy of most protein therapeutics. One strategy for half-life extension is to exploit the long circulating half-life of serum albumin by incorporating a binding moiety that recognizes albumin. Here, we describe camelid single-domain antibodies (VH Hs) that bind the serum albumins of multiple species with moderate to high affinity at both neutral and endosomal pH and significantly extend the serum half-lives of multiple proteins in rats from minutes to days. We serendipitously identified an additional VH H (M75) that is naturally pH-sensitive: at endosomal pH, binding affinity for human serum albumin (HSA) was dramatically weakened and binding to rat serum albumin (RSA) was undetectable. Domain mapping revealed that M75 bound to HSA domain 1 and 2. Moreover, alanine scanning of HSA His residues suggested a critical role for His247, located in HSA domain 2, in M75 binding and its pH dependence. Isothermal titration calorimetry experiments were suggestive of proton-linked binding of M75 to HSA, with differing binding enthalpies observed for full-length HSA and an HSA domain 1-domain 2 fusion protein in which surface-exposed His residues were substituted with Ala. M75 conferred moderate half-life extension in rats, from minutes to hours, likely due to rapid dissociation from RSA during FcRn-mediated endosomal recycling in tandem with albumin conformational changes induced by M75 binding that prevented interaction with FcRn. Humanized VH Hs maintained in vivo half-life extension capabilities. These VH Hs represent a new set of tools for extending protein therapeutic half-life and one (M75) demonstrates a unique pH-sensitive binding interaction that can be exploited to achieve modest in vivo half-life.","author":[{"dropping-particle":"","family":"Faassen","given":"Henk","non-dropping-particle":"van","parse-names":false,"suffix":""},{"dropping-particle":"","family":"Ryan","given":"Shannon","non-dropping-particle":"","parse-names":false,"suffix":""},{"dropping-particle":"","family":"Henry","given":"Kevin A","non-dropping-particle":"","parse-names":false,"suffix":""},{"dropping-particle":"","family":"Raphael","given":"Shalini","non-dropping-particle":"","parse-names":false,"suffix":""},{"dropping-particle":"","family":"Yang","given":"Qingling","non-dropping-particle":"","parse-names":false,"suffix":""},{"dropping-particle":"","family":"Rossotti","given":"Martin A","non-dropping-particle":"","parse-names":false,"suffix":""},{"dropping-particle":"","family":"Brunette","given":"Eric","non-dropping-particle":"","parse-names":false,"suffix":""},{"dropping-particle":"","family":"Jiang","given":"Susan","non-dropping-particle":"","parse-names":false,"suffix":""},{"dropping-particle":"","family":"Haqqani","given":"Arsalan S","non-dropping-particle":"","parse-names":false,"suffix":""},{"dropping-particle":"","family":"Sulea","given":"Traian","non-dropping-particle":"","parse-names":false,"suffix":""},{"dropping-particle":"","family":"MacKenzie","given":"C Roger","non-dropping-particle":"","parse-names":false,"suffix":""},{"dropping-particle":"","family":"Tanha","given":"Jamshid","non-dropping-particle":"","parse-names":false,"suffix":""},{"dropping-particle":"","family":"Hussack","given":"Greg","non-dropping-particle":"","parse-names":false,"suffix":""}],"container-title":"FASEB journal : official publication of the Federation of American Societies for Experimental Biology","id":"ITEM-2","issue":"6","issued":{"date-parts":[["2020","6"]]},"page":"8155-8171","title":"Serum albumin-binding VH Hs with variable pH sensitivities enable tailored half-life extension of biologics.","type":"article-journal","volume":"34"},"uris":["http://www.mendeley.com/documents/?uuid=795656cf-11a7-441f-a14d-4ded5a3514cc"]}],"mendeley":{"formattedCitation":"&lt;sup&gt;4,5&lt;/sup&gt;","plainTextFormattedCitation":"4,5","previouslyFormattedCitation":"(Henry et al., 2015; van Faassen et al., 2020)"},"properties":{"noteIndex":0},"schema":"https://github.com/citation-style-language/schema/raw/master/csl-citation.json"}</w:instrText>
      </w:r>
      <w:r w:rsidR="000E4E84" w:rsidRPr="001E127F">
        <w:rPr>
          <w:rFonts w:cstheme="minorHAnsi"/>
          <w:sz w:val="24"/>
          <w:szCs w:val="24"/>
        </w:rPr>
        <w:fldChar w:fldCharType="separate"/>
      </w:r>
      <w:r w:rsidR="00F72558" w:rsidRPr="00F72558">
        <w:rPr>
          <w:rFonts w:cstheme="minorHAnsi"/>
          <w:noProof/>
          <w:sz w:val="24"/>
          <w:szCs w:val="24"/>
          <w:vertAlign w:val="superscript"/>
        </w:rPr>
        <w:t>4,5</w:t>
      </w:r>
      <w:r w:rsidR="000E4E84" w:rsidRPr="001E127F">
        <w:rPr>
          <w:rFonts w:cstheme="minorHAnsi"/>
          <w:sz w:val="24"/>
          <w:szCs w:val="24"/>
        </w:rPr>
        <w:fldChar w:fldCharType="end"/>
      </w:r>
      <w:r w:rsidR="000E4E84" w:rsidRPr="001E127F">
        <w:rPr>
          <w:rFonts w:cstheme="minorHAnsi"/>
          <w:sz w:val="24"/>
          <w:szCs w:val="24"/>
        </w:rPr>
        <w:t>.</w:t>
      </w:r>
      <w:r w:rsidR="006D49C8" w:rsidRPr="001E127F">
        <w:rPr>
          <w:rFonts w:cstheme="minorHAnsi"/>
          <w:sz w:val="24"/>
          <w:szCs w:val="24"/>
        </w:rPr>
        <w:t xml:space="preserve"> </w:t>
      </w:r>
      <w:r w:rsidR="007D257F">
        <w:rPr>
          <w:rFonts w:cstheme="minorHAnsi"/>
          <w:sz w:val="24"/>
          <w:szCs w:val="24"/>
        </w:rPr>
        <w:t xml:space="preserve">The red underlined regions represent the locations of the peptides used for MS quantitation. </w:t>
      </w:r>
    </w:p>
    <w:p w14:paraId="4E3DBE4C" w14:textId="401E9142" w:rsidR="00BF36A4" w:rsidRDefault="00BF36A4" w:rsidP="00BF36A4">
      <w:pPr>
        <w:spacing w:after="120"/>
        <w:ind w:left="1530"/>
      </w:pPr>
      <w:r>
        <w:t xml:space="preserve">  </w:t>
      </w:r>
      <w:r w:rsidR="00D9189B" w:rsidRPr="0073648F">
        <w:rPr>
          <w:b/>
          <w:noProof/>
          <w:lang w:eastAsia="en-CA"/>
        </w:rPr>
        <mc:AlternateContent>
          <mc:Choice Requires="wpg">
            <w:drawing>
              <wp:inline distT="0" distB="0" distL="0" distR="0" wp14:anchorId="380757EA" wp14:editId="12E998C0">
                <wp:extent cx="3851272" cy="931545"/>
                <wp:effectExtent l="0" t="0" r="16510" b="20955"/>
                <wp:docPr id="47" name="Group 1"/>
                <wp:cNvGraphicFramePr/>
                <a:graphic xmlns:a="http://schemas.openxmlformats.org/drawingml/2006/main">
                  <a:graphicData uri="http://schemas.microsoft.com/office/word/2010/wordprocessingGroup">
                    <wpg:wgp>
                      <wpg:cNvGrpSpPr/>
                      <wpg:grpSpPr>
                        <a:xfrm>
                          <a:off x="0" y="0"/>
                          <a:ext cx="3851272" cy="931545"/>
                          <a:chOff x="1052835" y="0"/>
                          <a:chExt cx="3896020" cy="942428"/>
                        </a:xfrm>
                      </wpg:grpSpPr>
                      <wps:wsp>
                        <wps:cNvPr id="50" name="Rectangle 50"/>
                        <wps:cNvSpPr/>
                        <wps:spPr>
                          <a:xfrm>
                            <a:off x="1085463" y="468603"/>
                            <a:ext cx="3863392" cy="399010"/>
                          </a:xfrm>
                          <a:prstGeom prst="rect">
                            <a:avLst/>
                          </a:prstGeom>
                          <a:solidFill>
                            <a:schemeClr val="tx2">
                              <a:lumMod val="20000"/>
                              <a:lumOff val="80000"/>
                            </a:schemeClr>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73E98C6D"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IDS</w:t>
                              </w:r>
                            </w:p>
                          </w:txbxContent>
                        </wps:txbx>
                        <wps:bodyPr bIns="91440" rtlCol="0" anchor="ctr"/>
                      </wps:wsp>
                      <wps:wsp>
                        <wps:cNvPr id="51" name="Straight Connector 51"/>
                        <wps:cNvCnPr/>
                        <wps:spPr>
                          <a:xfrm>
                            <a:off x="3027871" y="942428"/>
                            <a:ext cx="114259"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52" name="Straight Arrow Connector 52"/>
                        <wps:cNvCnPr/>
                        <wps:spPr>
                          <a:xfrm>
                            <a:off x="4140650" y="228600"/>
                            <a:ext cx="0" cy="19950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53" name="TextBox 24"/>
                        <wps:cNvSpPr txBox="1"/>
                        <wps:spPr>
                          <a:xfrm>
                            <a:off x="3753747" y="0"/>
                            <a:ext cx="998256" cy="280723"/>
                          </a:xfrm>
                          <a:prstGeom prst="rect">
                            <a:avLst/>
                          </a:prstGeom>
                          <a:noFill/>
                        </wps:spPr>
                        <wps:txbx>
                          <w:txbxContent>
                            <w:p w14:paraId="2F40F8D8"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wps:txbx>
                        <wps:bodyPr wrap="none" rtlCol="0">
                          <a:spAutoFit/>
                        </wps:bodyPr>
                      </wps:wsp>
                      <wps:wsp>
                        <wps:cNvPr id="54" name="Straight Arrow Connector 54"/>
                        <wps:cNvCnPr/>
                        <wps:spPr>
                          <a:xfrm>
                            <a:off x="1191180" y="231681"/>
                            <a:ext cx="0" cy="19950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55" name="TextBox 26"/>
                        <wps:cNvSpPr txBox="1"/>
                        <wps:spPr>
                          <a:xfrm>
                            <a:off x="1052835" y="478"/>
                            <a:ext cx="998255" cy="280723"/>
                          </a:xfrm>
                          <a:prstGeom prst="rect">
                            <a:avLst/>
                          </a:prstGeom>
                          <a:noFill/>
                        </wps:spPr>
                        <wps:txbx>
                          <w:txbxContent>
                            <w:p w14:paraId="4A8351C6"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wps:txbx>
                        <wps:bodyPr wrap="none" rtlCol="0">
                          <a:spAutoFit/>
                        </wps:bodyPr>
                      </wps:wsp>
                    </wpg:wgp>
                  </a:graphicData>
                </a:graphic>
              </wp:inline>
            </w:drawing>
          </mc:Choice>
          <mc:Fallback>
            <w:pict>
              <v:group w14:anchorId="380757EA" id="Group 1" o:spid="_x0000_s1026" style="width:303.25pt;height:73.35pt;mso-position-horizontal-relative:char;mso-position-vertical-relative:line" coordorigin="10528" coordsize="38960,9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">
                <v:rect id="Rectangle 50" o:spid="_x0000_s1027" style="position:absolute;left:10854;top:4686;width:38634;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" fillcolor="#d5dce4 [671]" strokecolor="#1f4d78 [1604]" strokeweight="2.25pt">
                  <v:textbox inset=",,,7.2pt">
                    <w:txbxContent>
                      <w:p w14:paraId="73E98C6D"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IDS</w:t>
                        </w:r>
                      </w:p>
                    </w:txbxContent>
                  </v:textbox>
                </v:rect>
                <v:line id="Straight Connector 51" o:spid="_x0000_s1028" style="position:absolute;visibility:visible;mso-wrap-style:square" from="30278,9424" to="31421,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" strokecolor="red" strokeweight="2.25pt">
                  <v:stroke joinstyle="miter"/>
                </v:line>
                <v:shapetype id="_x0000_t32" coordsize="21600,21600" o:spt="32" o:oned="t" path="m,l21600,21600e" filled="f">
                  <v:path arrowok="t" fillok="f" o:connecttype="none"/>
                  <o:lock v:ext="edit" shapetype="t"/>
                </v:shapetype>
                <v:shape id="Straight Arrow Connector 52" o:spid="_x0000_s1029" type="#_x0000_t32" style="position:absolute;left:41406;top:2286;width:0;height:19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" strokecolor="red" strokeweight="1.5pt">
                  <v:stroke endarrow="open" joinstyle="miter"/>
                </v:shape>
                <v:shapetype id="_x0000_t202" coordsize="21600,21600" o:spt="202" path="m,l,21600r21600,l21600,xe">
                  <v:stroke joinstyle="miter"/>
                  <v:path gradientshapeok="t" o:connecttype="rect"/>
                </v:shapetype>
                <v:shape id="TextBox 24" o:spid="_x0000_s1030" type="#_x0000_t202" style="position:absolute;left:37537;width:9983;height:280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" filled="f" stroked="f">
                  <v:textbox style="mso-fit-shape-to-text:t">
                    <w:txbxContent>
                      <w:p w14:paraId="2F40F8D8"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v:textbox>
                </v:shape>
                <v:shape id="Straight Arrow Connector 54" o:spid="_x0000_s1031" type="#_x0000_t32" style="position:absolute;left:11911;top:2316;width:0;height:19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" strokecolor="red" strokeweight="1.5pt">
                  <v:stroke endarrow="open" joinstyle="miter"/>
                </v:shape>
                <v:shape id="TextBox 26" o:spid="_x0000_s1032" type="#_x0000_t202" style="position:absolute;left:10528;top:4;width:9982;height:280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" filled="f" stroked="f">
                  <v:textbox style="mso-fit-shape-to-text:t">
                    <w:txbxContent>
                      <w:p w14:paraId="4A8351C6"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v:textbox>
                </v:shape>
                <w10:anchorlock/>
              </v:group>
            </w:pict>
          </mc:Fallback>
        </mc:AlternateContent>
      </w:r>
    </w:p>
    <w:p w14:paraId="2DC75094" w14:textId="7215ED4E" w:rsidR="00D9189B" w:rsidRDefault="00D9189B" w:rsidP="00BF36A4">
      <w:pPr>
        <w:spacing w:after="120"/>
      </w:pPr>
      <w:r w:rsidRPr="0073648F">
        <w:rPr>
          <w:b/>
          <w:noProof/>
          <w:lang w:eastAsia="en-CA"/>
        </w:rPr>
        <mc:AlternateContent>
          <mc:Choice Requires="wpg">
            <w:drawing>
              <wp:inline distT="0" distB="0" distL="0" distR="0" wp14:anchorId="22B1A74A" wp14:editId="0644E642">
                <wp:extent cx="4892015" cy="931545"/>
                <wp:effectExtent l="19050" t="0" r="23495" b="20955"/>
                <wp:docPr id="69" name="Group 1"/>
                <wp:cNvGraphicFramePr/>
                <a:graphic xmlns:a="http://schemas.openxmlformats.org/drawingml/2006/main">
                  <a:graphicData uri="http://schemas.microsoft.com/office/word/2010/wordprocessingGroup">
                    <wpg:wgp>
                      <wpg:cNvGrpSpPr/>
                      <wpg:grpSpPr>
                        <a:xfrm>
                          <a:off x="0" y="0"/>
                          <a:ext cx="4892015" cy="931545"/>
                          <a:chOff x="0" y="0"/>
                          <a:chExt cx="4948855" cy="942428"/>
                        </a:xfrm>
                      </wpg:grpSpPr>
                      <wps:wsp>
                        <wps:cNvPr id="70" name="Straight Connector 70"/>
                        <wps:cNvCnPr/>
                        <wps:spPr>
                          <a:xfrm>
                            <a:off x="354392" y="942428"/>
                            <a:ext cx="135683"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71" name="Rectangle 71"/>
                        <wps:cNvSpPr/>
                        <wps:spPr>
                          <a:xfrm>
                            <a:off x="0" y="468603"/>
                            <a:ext cx="1085463" cy="399010"/>
                          </a:xfrm>
                          <a:prstGeom prst="rect">
                            <a:avLst/>
                          </a:prstGeom>
                          <a:solidFill>
                            <a:schemeClr val="accent2">
                              <a:lumMod val="40000"/>
                              <a:lumOff val="60000"/>
                            </a:schemeClr>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451EF9DB" w14:textId="6775BEDC"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FC5</w:t>
                              </w:r>
                            </w:p>
                          </w:txbxContent>
                        </wps:txbx>
                        <wps:bodyPr bIns="91440" rtlCol="0" anchor="ctr"/>
                      </wps:wsp>
                      <wps:wsp>
                        <wps:cNvPr id="72" name="Rectangle 72"/>
                        <wps:cNvSpPr/>
                        <wps:spPr>
                          <a:xfrm>
                            <a:off x="1085463" y="468603"/>
                            <a:ext cx="3863392" cy="399010"/>
                          </a:xfrm>
                          <a:prstGeom prst="rect">
                            <a:avLst/>
                          </a:prstGeom>
                          <a:solidFill>
                            <a:schemeClr val="tx2">
                              <a:lumMod val="20000"/>
                              <a:lumOff val="80000"/>
                            </a:schemeClr>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50642917"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IDS</w:t>
                              </w:r>
                            </w:p>
                          </w:txbxContent>
                        </wps:txbx>
                        <wps:bodyPr bIns="91440" rtlCol="0" anchor="ctr"/>
                      </wps:wsp>
                      <wps:wsp>
                        <wps:cNvPr id="73" name="Straight Connector 73"/>
                        <wps:cNvCnPr/>
                        <wps:spPr>
                          <a:xfrm>
                            <a:off x="3027871" y="942428"/>
                            <a:ext cx="114259"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74" name="Straight Arrow Connector 74"/>
                        <wps:cNvCnPr/>
                        <wps:spPr>
                          <a:xfrm>
                            <a:off x="4140650" y="228600"/>
                            <a:ext cx="0" cy="19950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75" name="TextBox 24"/>
                        <wps:cNvSpPr txBox="1"/>
                        <wps:spPr>
                          <a:xfrm>
                            <a:off x="3753747" y="0"/>
                            <a:ext cx="998256" cy="280723"/>
                          </a:xfrm>
                          <a:prstGeom prst="rect">
                            <a:avLst/>
                          </a:prstGeom>
                          <a:noFill/>
                        </wps:spPr>
                        <wps:txbx>
                          <w:txbxContent>
                            <w:p w14:paraId="025F4648"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wps:txbx>
                        <wps:bodyPr wrap="none" rtlCol="0">
                          <a:spAutoFit/>
                        </wps:bodyPr>
                      </wps:wsp>
                      <wps:wsp>
                        <wps:cNvPr id="76" name="Straight Arrow Connector 76"/>
                        <wps:cNvCnPr/>
                        <wps:spPr>
                          <a:xfrm>
                            <a:off x="1191180" y="231681"/>
                            <a:ext cx="0" cy="19950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77" name="TextBox 26"/>
                        <wps:cNvSpPr txBox="1"/>
                        <wps:spPr>
                          <a:xfrm>
                            <a:off x="804512" y="3082"/>
                            <a:ext cx="998256" cy="280723"/>
                          </a:xfrm>
                          <a:prstGeom prst="rect">
                            <a:avLst/>
                          </a:prstGeom>
                          <a:noFill/>
                        </wps:spPr>
                        <wps:txbx>
                          <w:txbxContent>
                            <w:p w14:paraId="5BBD62C7"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wps:txbx>
                        <wps:bodyPr wrap="none" rtlCol="0">
                          <a:spAutoFit/>
                        </wps:bodyPr>
                      </wps:wsp>
                    </wpg:wgp>
                  </a:graphicData>
                </a:graphic>
              </wp:inline>
            </w:drawing>
          </mc:Choice>
          <mc:Fallback>
            <w:pict>
              <v:group w14:anchorId="22B1A74A" id="_x0000_s1033" style="width:385.2pt;height:73.35pt;mso-position-horizontal-relative:char;mso-position-vertical-relative:line" coordsize="49488,9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">
                <v:line id="Straight Connector 70" o:spid="_x0000_s1034" style="position:absolute;visibility:visible;mso-wrap-style:square" from="3543,9424" to="4900,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" strokecolor="red" strokeweight="2.25pt">
                  <v:stroke joinstyle="miter"/>
                </v:line>
                <v:rect id="Rectangle 71" o:spid="_x0000_s1035" style="position:absolute;top:4686;width:10854;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" fillcolor="#f7caac [1301]" strokecolor="#1f4d78 [1604]" strokeweight="2.25pt">
                  <v:textbox inset=",,,7.2pt">
                    <w:txbxContent>
                      <w:p w14:paraId="451EF9DB" w14:textId="6775BEDC"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FC5</w:t>
                        </w:r>
                      </w:p>
                    </w:txbxContent>
                  </v:textbox>
                </v:rect>
                <v:rect id="Rectangle 72" o:spid="_x0000_s1036" style="position:absolute;left:10854;top:4686;width:38634;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" fillcolor="#d5dce4 [671]" strokecolor="#1f4d78 [1604]" strokeweight="2.25pt">
                  <v:textbox inset=",,,7.2pt">
                    <w:txbxContent>
                      <w:p w14:paraId="50642917"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IDS</w:t>
                        </w:r>
                      </w:p>
                    </w:txbxContent>
                  </v:textbox>
                </v:rect>
                <v:line id="Straight Connector 73" o:spid="_x0000_s1037" style="position:absolute;visibility:visible;mso-wrap-style:square" from="30278,9424" to="31421,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" strokecolor="red" strokeweight="2.25pt">
                  <v:stroke joinstyle="miter"/>
                </v:line>
                <v:shape id="Straight Arrow Connector 74" o:spid="_x0000_s1038" type="#_x0000_t32" style="position:absolute;left:41406;top:2286;width:0;height:19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" strokecolor="red" strokeweight="1.5pt">
                  <v:stroke endarrow="open" joinstyle="miter"/>
                </v:shape>
                <v:shape id="TextBox 24" o:spid="_x0000_s1039" type="#_x0000_t202" style="position:absolute;left:37537;width:9983;height:280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" filled="f" stroked="f">
                  <v:textbox style="mso-fit-shape-to-text:t">
                    <w:txbxContent>
                      <w:p w14:paraId="025F4648"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v:textbox>
                </v:shape>
                <v:shape id="Straight Arrow Connector 76" o:spid="_x0000_s1040" type="#_x0000_t32" style="position:absolute;left:11911;top:2316;width:0;height:19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" strokecolor="red" strokeweight="1.5pt">
                  <v:stroke endarrow="open" joinstyle="miter"/>
                </v:shape>
                <v:shape id="TextBox 26" o:spid="_x0000_s1041" type="#_x0000_t202" style="position:absolute;left:8045;top:30;width:9982;height:280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" filled="f" stroked="f">
                  <v:textbox style="mso-fit-shape-to-text:t">
                    <w:txbxContent>
                      <w:p w14:paraId="5BBD62C7"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v:textbox>
                </v:shape>
                <w10:anchorlock/>
              </v:group>
            </w:pict>
          </mc:Fallback>
        </mc:AlternateContent>
      </w:r>
      <w:r w:rsidRPr="0073648F">
        <w:rPr>
          <w:b/>
          <w:noProof/>
          <w:lang w:eastAsia="en-CA"/>
        </w:rPr>
        <mc:AlternateContent>
          <mc:Choice Requires="wpg">
            <w:drawing>
              <wp:inline distT="0" distB="0" distL="0" distR="0" wp14:anchorId="7116A39D" wp14:editId="32893912">
                <wp:extent cx="4892015" cy="931545"/>
                <wp:effectExtent l="19050" t="0" r="23495" b="20955"/>
                <wp:docPr id="2" name="Group 1"/>
                <wp:cNvGraphicFramePr/>
                <a:graphic xmlns:a="http://schemas.openxmlformats.org/drawingml/2006/main">
                  <a:graphicData uri="http://schemas.microsoft.com/office/word/2010/wordprocessingGroup">
                    <wpg:wgp>
                      <wpg:cNvGrpSpPr/>
                      <wpg:grpSpPr>
                        <a:xfrm>
                          <a:off x="0" y="0"/>
                          <a:ext cx="4892015" cy="931545"/>
                          <a:chOff x="0" y="0"/>
                          <a:chExt cx="4948855" cy="942428"/>
                        </a:xfrm>
                      </wpg:grpSpPr>
                      <wps:wsp>
                        <wps:cNvPr id="3" name="Straight Connector 3"/>
                        <wps:cNvCnPr/>
                        <wps:spPr>
                          <a:xfrm>
                            <a:off x="0" y="942428"/>
                            <a:ext cx="135683"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5" name="Rectangle 5"/>
                        <wps:cNvSpPr/>
                        <wps:spPr>
                          <a:xfrm>
                            <a:off x="0" y="468603"/>
                            <a:ext cx="1085463" cy="399010"/>
                          </a:xfrm>
                          <a:prstGeom prst="rect">
                            <a:avLst/>
                          </a:prstGeom>
                          <a:solidFill>
                            <a:schemeClr val="accent4">
                              <a:lumMod val="60000"/>
                              <a:lumOff val="40000"/>
                            </a:schemeClr>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526B1B6D" w14:textId="42307509"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w:t>
                              </w:r>
                              <w:r w:rsidR="006D49C8">
                                <w:rPr>
                                  <w:rFonts w:asciiTheme="minorHAnsi" w:hAnsi="Calibri" w:cstheme="minorBidi"/>
                                  <w:b/>
                                  <w:bCs/>
                                  <w:color w:val="002060"/>
                                  <w:kern w:val="24"/>
                                  <w:sz w:val="32"/>
                                  <w:szCs w:val="32"/>
                                  <w:lang w:val="en-US"/>
                                </w:rPr>
                                <w:t>GF</w:t>
                              </w:r>
                              <w:r>
                                <w:rPr>
                                  <w:rFonts w:asciiTheme="minorHAnsi" w:hAnsi="Calibri" w:cstheme="minorBidi"/>
                                  <w:b/>
                                  <w:bCs/>
                                  <w:color w:val="002060"/>
                                  <w:kern w:val="24"/>
                                  <w:sz w:val="32"/>
                                  <w:szCs w:val="32"/>
                                  <w:lang w:val="en-US"/>
                                </w:rPr>
                                <w:t>R3H5</w:t>
                              </w:r>
                            </w:p>
                          </w:txbxContent>
                        </wps:txbx>
                        <wps:bodyPr bIns="91440" rtlCol="0" anchor="ctr"/>
                      </wps:wsp>
                      <wps:wsp>
                        <wps:cNvPr id="8" name="Rectangle 8"/>
                        <wps:cNvSpPr/>
                        <wps:spPr>
                          <a:xfrm>
                            <a:off x="1085463" y="468603"/>
                            <a:ext cx="3863392" cy="399010"/>
                          </a:xfrm>
                          <a:prstGeom prst="rect">
                            <a:avLst/>
                          </a:prstGeom>
                          <a:solidFill>
                            <a:schemeClr val="tx2">
                              <a:lumMod val="20000"/>
                              <a:lumOff val="80000"/>
                            </a:schemeClr>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3B76154B"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IDS</w:t>
                              </w:r>
                            </w:p>
                          </w:txbxContent>
                        </wps:txbx>
                        <wps:bodyPr bIns="91440" rtlCol="0" anchor="ctr"/>
                      </wps:wsp>
                      <wps:wsp>
                        <wps:cNvPr id="18" name="Straight Connector 18"/>
                        <wps:cNvCnPr/>
                        <wps:spPr>
                          <a:xfrm>
                            <a:off x="3027871" y="942428"/>
                            <a:ext cx="114259"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9" name="Straight Arrow Connector 19"/>
                        <wps:cNvCnPr/>
                        <wps:spPr>
                          <a:xfrm>
                            <a:off x="4140650" y="228600"/>
                            <a:ext cx="0" cy="19950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20" name="TextBox 24"/>
                        <wps:cNvSpPr txBox="1"/>
                        <wps:spPr>
                          <a:xfrm>
                            <a:off x="3753747" y="0"/>
                            <a:ext cx="998256" cy="280723"/>
                          </a:xfrm>
                          <a:prstGeom prst="rect">
                            <a:avLst/>
                          </a:prstGeom>
                          <a:noFill/>
                        </wps:spPr>
                        <wps:txbx>
                          <w:txbxContent>
                            <w:p w14:paraId="0FB3E72F"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wps:txbx>
                        <wps:bodyPr wrap="none" rtlCol="0">
                          <a:spAutoFit/>
                        </wps:bodyPr>
                      </wps:wsp>
                      <wps:wsp>
                        <wps:cNvPr id="21" name="Straight Arrow Connector 21"/>
                        <wps:cNvCnPr/>
                        <wps:spPr>
                          <a:xfrm>
                            <a:off x="1191180" y="231681"/>
                            <a:ext cx="0" cy="19950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22" name="TextBox 26"/>
                        <wps:cNvSpPr txBox="1"/>
                        <wps:spPr>
                          <a:xfrm>
                            <a:off x="804512" y="3082"/>
                            <a:ext cx="998256" cy="280723"/>
                          </a:xfrm>
                          <a:prstGeom prst="rect">
                            <a:avLst/>
                          </a:prstGeom>
                          <a:noFill/>
                        </wps:spPr>
                        <wps:txbx>
                          <w:txbxContent>
                            <w:p w14:paraId="5E0E1ABD"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wps:txbx>
                        <wps:bodyPr wrap="none" rtlCol="0">
                          <a:spAutoFit/>
                        </wps:bodyPr>
                      </wps:wsp>
                    </wpg:wgp>
                  </a:graphicData>
                </a:graphic>
              </wp:inline>
            </w:drawing>
          </mc:Choice>
          <mc:Fallback>
            <w:pict>
              <v:group w14:anchorId="7116A39D" id="_x0000_s1042" style="width:385.2pt;height:73.35pt;mso-position-horizontal-relative:char;mso-position-vertical-relative:line" coordsize="49488,9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">
                <v:line id="Straight Connector 3" o:spid="_x0000_s1043" style="position:absolute;visibility:visible;mso-wrap-style:square" from="0,9424" to="1356,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" strokecolor="red" strokeweight="2.25pt">
                  <v:stroke joinstyle="miter"/>
                </v:line>
                <v:rect id="Rectangle 5" o:spid="_x0000_s1044" style="position:absolute;top:4686;width:10854;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" fillcolor="#ffd966 [1943]" strokecolor="#1f4d78 [1604]" strokeweight="2.25pt">
                  <v:textbox inset=",,,7.2pt">
                    <w:txbxContent>
                      <w:p w14:paraId="526B1B6D" w14:textId="42307509"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w:t>
                        </w:r>
                        <w:r w:rsidR="006D49C8">
                          <w:rPr>
                            <w:rFonts w:asciiTheme="minorHAnsi" w:hAnsi="Calibri" w:cstheme="minorBidi"/>
                            <w:b/>
                            <w:bCs/>
                            <w:color w:val="002060"/>
                            <w:kern w:val="24"/>
                            <w:sz w:val="32"/>
                            <w:szCs w:val="32"/>
                            <w:lang w:val="en-US"/>
                          </w:rPr>
                          <w:t>GF</w:t>
                        </w:r>
                        <w:r>
                          <w:rPr>
                            <w:rFonts w:asciiTheme="minorHAnsi" w:hAnsi="Calibri" w:cstheme="minorBidi"/>
                            <w:b/>
                            <w:bCs/>
                            <w:color w:val="002060"/>
                            <w:kern w:val="24"/>
                            <w:sz w:val="32"/>
                            <w:szCs w:val="32"/>
                            <w:lang w:val="en-US"/>
                          </w:rPr>
                          <w:t>R3H5</w:t>
                        </w:r>
                      </w:p>
                    </w:txbxContent>
                  </v:textbox>
                </v:rect>
                <v:rect id="Rectangle 8" o:spid="_x0000_s1045" style="position:absolute;left:10854;top:4686;width:38634;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" fillcolor="#d5dce4 [671]" strokecolor="#1f4d78 [1604]" strokeweight="2.25pt">
                  <v:textbox inset=",,,7.2pt">
                    <w:txbxContent>
                      <w:p w14:paraId="3B76154B"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IDS</w:t>
                        </w:r>
                      </w:p>
                    </w:txbxContent>
                  </v:textbox>
                </v:rect>
                <v:line id="Straight Connector 18" o:spid="_x0000_s1046" style="position:absolute;visibility:visible;mso-wrap-style:square" from="30278,9424" to="31421,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" strokecolor="red" strokeweight="2.25pt">
                  <v:stroke joinstyle="miter"/>
                </v:line>
                <v:shape id="Straight Arrow Connector 19" o:spid="_x0000_s1047" type="#_x0000_t32" style="position:absolute;left:41406;top:2286;width:0;height:19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" strokecolor="red" strokeweight="1.5pt">
                  <v:stroke endarrow="open" joinstyle="miter"/>
                </v:shape>
                <v:shape id="TextBox 24" o:spid="_x0000_s1048" type="#_x0000_t202" style="position:absolute;left:37537;width:9983;height:280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" filled="f" stroked="f">
                  <v:textbox style="mso-fit-shape-to-text:t">
                    <w:txbxContent>
                      <w:p w14:paraId="0FB3E72F"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v:textbox>
                </v:shape>
                <v:shape id="Straight Arrow Connector 21" o:spid="_x0000_s1049" type="#_x0000_t32" style="position:absolute;left:11911;top:2316;width:0;height:19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" strokecolor="red" strokeweight="1.5pt">
                  <v:stroke endarrow="open" joinstyle="miter"/>
                </v:shape>
                <v:shape id="TextBox 26" o:spid="_x0000_s1050" type="#_x0000_t202" style="position:absolute;left:8045;top:30;width:9982;height:280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" filled="f" stroked="f">
                  <v:textbox style="mso-fit-shape-to-text:t">
                    <w:txbxContent>
                      <w:p w14:paraId="5E0E1ABD"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v:textbox>
                </v:shape>
                <w10:anchorlock/>
              </v:group>
            </w:pict>
          </mc:Fallback>
        </mc:AlternateContent>
      </w:r>
      <w:r w:rsidRPr="0073648F">
        <w:rPr>
          <w:b/>
          <w:noProof/>
          <w:lang w:eastAsia="en-CA"/>
        </w:rPr>
        <mc:AlternateContent>
          <mc:Choice Requires="wpg">
            <w:drawing>
              <wp:inline distT="0" distB="0" distL="0" distR="0" wp14:anchorId="6BA55EA0" wp14:editId="03FFF850">
                <wp:extent cx="5943600" cy="931545"/>
                <wp:effectExtent l="19050" t="0" r="19050" b="20955"/>
                <wp:docPr id="58" name="Group 1"/>
                <wp:cNvGraphicFramePr/>
                <a:graphic xmlns:a="http://schemas.openxmlformats.org/drawingml/2006/main">
                  <a:graphicData uri="http://schemas.microsoft.com/office/word/2010/wordprocessingGroup">
                    <wpg:wgp>
                      <wpg:cNvGrpSpPr/>
                      <wpg:grpSpPr>
                        <a:xfrm>
                          <a:off x="0" y="0"/>
                          <a:ext cx="5943600" cy="931545"/>
                          <a:chOff x="0" y="0"/>
                          <a:chExt cx="6012659" cy="942428"/>
                        </a:xfrm>
                      </wpg:grpSpPr>
                      <wps:wsp>
                        <wps:cNvPr id="59" name="Straight Connector 59"/>
                        <wps:cNvCnPr/>
                        <wps:spPr>
                          <a:xfrm>
                            <a:off x="0" y="942428"/>
                            <a:ext cx="135683"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60" name="Rectangle 60"/>
                        <wps:cNvSpPr/>
                        <wps:spPr>
                          <a:xfrm>
                            <a:off x="0" y="468603"/>
                            <a:ext cx="1085463" cy="399010"/>
                          </a:xfrm>
                          <a:prstGeom prst="rect">
                            <a:avLst/>
                          </a:prstGeom>
                          <a:solidFill>
                            <a:schemeClr val="accent4">
                              <a:lumMod val="60000"/>
                              <a:lumOff val="40000"/>
                            </a:schemeClr>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642D6DB6" w14:textId="119D85DA"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w:t>
                              </w:r>
                              <w:r w:rsidR="006D49C8">
                                <w:rPr>
                                  <w:rFonts w:asciiTheme="minorHAnsi" w:hAnsi="Calibri" w:cstheme="minorBidi"/>
                                  <w:b/>
                                  <w:bCs/>
                                  <w:color w:val="002060"/>
                                  <w:kern w:val="24"/>
                                  <w:sz w:val="32"/>
                                  <w:szCs w:val="32"/>
                                  <w:lang w:val="en-US"/>
                                </w:rPr>
                                <w:t>GF</w:t>
                              </w:r>
                              <w:r>
                                <w:rPr>
                                  <w:rFonts w:asciiTheme="minorHAnsi" w:hAnsi="Calibri" w:cstheme="minorBidi"/>
                                  <w:b/>
                                  <w:bCs/>
                                  <w:color w:val="002060"/>
                                  <w:kern w:val="24"/>
                                  <w:sz w:val="32"/>
                                  <w:szCs w:val="32"/>
                                  <w:lang w:val="en-US"/>
                                </w:rPr>
                                <w:t>R3H5</w:t>
                              </w:r>
                            </w:p>
                          </w:txbxContent>
                        </wps:txbx>
                        <wps:bodyPr bIns="91440" rtlCol="0" anchor="ctr"/>
                      </wps:wsp>
                      <wps:wsp>
                        <wps:cNvPr id="61" name="Rectangle 61"/>
                        <wps:cNvSpPr/>
                        <wps:spPr>
                          <a:xfrm>
                            <a:off x="1085463" y="468603"/>
                            <a:ext cx="3863392" cy="399010"/>
                          </a:xfrm>
                          <a:prstGeom prst="rect">
                            <a:avLst/>
                          </a:prstGeom>
                          <a:solidFill>
                            <a:schemeClr val="tx2">
                              <a:lumMod val="20000"/>
                              <a:lumOff val="80000"/>
                            </a:schemeClr>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3DD6C8D7"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IDS</w:t>
                              </w:r>
                            </w:p>
                          </w:txbxContent>
                        </wps:txbx>
                        <wps:bodyPr bIns="91440" rtlCol="0" anchor="ctr"/>
                      </wps:wsp>
                      <wps:wsp>
                        <wps:cNvPr id="62" name="Straight Connector 62"/>
                        <wps:cNvCnPr/>
                        <wps:spPr>
                          <a:xfrm>
                            <a:off x="3027871" y="942428"/>
                            <a:ext cx="114259"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63" name="Straight Arrow Connector 63"/>
                        <wps:cNvCnPr/>
                        <wps:spPr>
                          <a:xfrm>
                            <a:off x="4140650" y="228600"/>
                            <a:ext cx="0" cy="19950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64" name="TextBox 24"/>
                        <wps:cNvSpPr txBox="1"/>
                        <wps:spPr>
                          <a:xfrm>
                            <a:off x="3753747" y="0"/>
                            <a:ext cx="998256" cy="280723"/>
                          </a:xfrm>
                          <a:prstGeom prst="rect">
                            <a:avLst/>
                          </a:prstGeom>
                          <a:noFill/>
                        </wps:spPr>
                        <wps:txbx>
                          <w:txbxContent>
                            <w:p w14:paraId="73E3C541"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wps:txbx>
                        <wps:bodyPr wrap="none" rtlCol="0">
                          <a:spAutoFit/>
                        </wps:bodyPr>
                      </wps:wsp>
                      <wps:wsp>
                        <wps:cNvPr id="65" name="Straight Arrow Connector 65"/>
                        <wps:cNvCnPr/>
                        <wps:spPr>
                          <a:xfrm>
                            <a:off x="1191180" y="231681"/>
                            <a:ext cx="0" cy="19950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66" name="TextBox 26"/>
                        <wps:cNvSpPr txBox="1"/>
                        <wps:spPr>
                          <a:xfrm>
                            <a:off x="804512" y="3082"/>
                            <a:ext cx="998256" cy="280723"/>
                          </a:xfrm>
                          <a:prstGeom prst="rect">
                            <a:avLst/>
                          </a:prstGeom>
                          <a:noFill/>
                        </wps:spPr>
                        <wps:txbx>
                          <w:txbxContent>
                            <w:p w14:paraId="74FFAB72"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wps:txbx>
                        <wps:bodyPr wrap="none" rtlCol="0">
                          <a:spAutoFit/>
                        </wps:bodyPr>
                      </wps:wsp>
                      <wps:wsp>
                        <wps:cNvPr id="67" name="Rectangle 67"/>
                        <wps:cNvSpPr/>
                        <wps:spPr>
                          <a:xfrm>
                            <a:off x="4948855" y="468603"/>
                            <a:ext cx="1063804" cy="399010"/>
                          </a:xfrm>
                          <a:prstGeom prst="rect">
                            <a:avLst/>
                          </a:prstGeom>
                          <a:solidFill>
                            <a:schemeClr val="accent6">
                              <a:lumMod val="60000"/>
                              <a:lumOff val="40000"/>
                            </a:schemeClr>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1B74EDE1"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HSA</w:t>
                              </w:r>
                            </w:p>
                          </w:txbxContent>
                        </wps:txbx>
                        <wps:bodyPr bIns="91440" rtlCol="0" anchor="ctr"/>
                      </wps:wsp>
                      <wps:wsp>
                        <wps:cNvPr id="68" name="Straight Connector 68"/>
                        <wps:cNvCnPr/>
                        <wps:spPr>
                          <a:xfrm>
                            <a:off x="5368571" y="942428"/>
                            <a:ext cx="78553"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6BA55EA0" id="_x0000_s1051" style="width:468pt;height:73.35pt;mso-position-horizontal-relative:char;mso-position-vertical-relative:line" coordsize="60126,9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">
                <v:line id="Straight Connector 59" o:spid="_x0000_s1052" style="position:absolute;visibility:visible;mso-wrap-style:square" from="0,9424" to="1356,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" strokecolor="red" strokeweight="2.25pt">
                  <v:stroke joinstyle="miter"/>
                </v:line>
                <v:rect id="Rectangle 60" o:spid="_x0000_s1053" style="position:absolute;top:4686;width:10854;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" fillcolor="#ffd966 [1943]" strokecolor="#1f4d78 [1604]" strokeweight="2.25pt">
                  <v:textbox inset=",,,7.2pt">
                    <w:txbxContent>
                      <w:p w14:paraId="642D6DB6" w14:textId="119D85DA"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w:t>
                        </w:r>
                        <w:r w:rsidR="006D49C8">
                          <w:rPr>
                            <w:rFonts w:asciiTheme="minorHAnsi" w:hAnsi="Calibri" w:cstheme="minorBidi"/>
                            <w:b/>
                            <w:bCs/>
                            <w:color w:val="002060"/>
                            <w:kern w:val="24"/>
                            <w:sz w:val="32"/>
                            <w:szCs w:val="32"/>
                            <w:lang w:val="en-US"/>
                          </w:rPr>
                          <w:t>GF</w:t>
                        </w:r>
                        <w:r>
                          <w:rPr>
                            <w:rFonts w:asciiTheme="minorHAnsi" w:hAnsi="Calibri" w:cstheme="minorBidi"/>
                            <w:b/>
                            <w:bCs/>
                            <w:color w:val="002060"/>
                            <w:kern w:val="24"/>
                            <w:sz w:val="32"/>
                            <w:szCs w:val="32"/>
                            <w:lang w:val="en-US"/>
                          </w:rPr>
                          <w:t>R3H5</w:t>
                        </w:r>
                      </w:p>
                    </w:txbxContent>
                  </v:textbox>
                </v:rect>
                <v:rect id="Rectangle 61" o:spid="_x0000_s1054" style="position:absolute;left:10854;top:4686;width:38634;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" fillcolor="#d5dce4 [671]" strokecolor="#1f4d78 [1604]" strokeweight="2.25pt">
                  <v:textbox inset=",,,7.2pt">
                    <w:txbxContent>
                      <w:p w14:paraId="3DD6C8D7"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IDS</w:t>
                        </w:r>
                      </w:p>
                    </w:txbxContent>
                  </v:textbox>
                </v:rect>
                <v:line id="Straight Connector 62" o:spid="_x0000_s1055" style="position:absolute;visibility:visible;mso-wrap-style:square" from="30278,9424" to="31421,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" strokecolor="red" strokeweight="2.25pt">
                  <v:stroke joinstyle="miter"/>
                </v:line>
                <v:shape id="Straight Arrow Connector 63" o:spid="_x0000_s1056" type="#_x0000_t32" style="position:absolute;left:41406;top:2286;width:0;height:19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" strokecolor="red" strokeweight="1.5pt">
                  <v:stroke endarrow="open" joinstyle="miter"/>
                </v:shape>
                <v:shape id="TextBox 24" o:spid="_x0000_s1057" type="#_x0000_t202" style="position:absolute;left:37537;width:9983;height:280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" filled="f" stroked="f">
                  <v:textbox style="mso-fit-shape-to-text:t">
                    <w:txbxContent>
                      <w:p w14:paraId="73E3C541"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v:textbox>
                </v:shape>
                <v:shape id="Straight Arrow Connector 65" o:spid="_x0000_s1058" type="#_x0000_t32" style="position:absolute;left:11911;top:2316;width:0;height:19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" strokecolor="red" strokeweight="1.5pt">
                  <v:stroke endarrow="open" joinstyle="miter"/>
                </v:shape>
                <v:shape id="TextBox 26" o:spid="_x0000_s1059" type="#_x0000_t202" style="position:absolute;left:8045;top:30;width:9982;height:280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" filled="f" stroked="f">
                  <v:textbox style="mso-fit-shape-to-text:t">
                    <w:txbxContent>
                      <w:p w14:paraId="74FFAB72"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v:textbox>
                </v:shape>
                <v:rect id="Rectangle 67" o:spid="_x0000_s1060" style="position:absolute;left:49488;top:4686;width:10638;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" fillcolor="#a8d08d [1945]" strokecolor="#1f4d78 [1604]" strokeweight="2.25pt">
                  <v:textbox inset=",,,7.2pt">
                    <w:txbxContent>
                      <w:p w14:paraId="1B74EDE1"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HSA</w:t>
                        </w:r>
                      </w:p>
                    </w:txbxContent>
                  </v:textbox>
                </v:rect>
                <v:line id="Straight Connector 68" o:spid="_x0000_s1061" style="position:absolute;visibility:visible;mso-wrap-style:square" from="53685,9424" to="54471,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" strokecolor="red" strokeweight="2.25pt">
                  <v:stroke joinstyle="miter"/>
                </v:line>
                <w10:anchorlock/>
              </v:group>
            </w:pict>
          </mc:Fallback>
        </mc:AlternateContent>
      </w:r>
      <w:r w:rsidRPr="0073648F">
        <w:rPr>
          <w:b/>
          <w:noProof/>
          <w:lang w:eastAsia="en-CA"/>
        </w:rPr>
        <mc:AlternateContent>
          <mc:Choice Requires="wpg">
            <w:drawing>
              <wp:inline distT="0" distB="0" distL="0" distR="0" wp14:anchorId="15AD97BA" wp14:editId="43CCD76E">
                <wp:extent cx="5943600" cy="931545"/>
                <wp:effectExtent l="19050" t="0" r="19050" b="20955"/>
                <wp:docPr id="25" name="Group 1"/>
                <wp:cNvGraphicFramePr/>
                <a:graphic xmlns:a="http://schemas.openxmlformats.org/drawingml/2006/main">
                  <a:graphicData uri="http://schemas.microsoft.com/office/word/2010/wordprocessingGroup">
                    <wpg:wgp>
                      <wpg:cNvGrpSpPr/>
                      <wpg:grpSpPr>
                        <a:xfrm>
                          <a:off x="0" y="0"/>
                          <a:ext cx="5943600" cy="931545"/>
                          <a:chOff x="0" y="0"/>
                          <a:chExt cx="6012659" cy="942428"/>
                        </a:xfrm>
                      </wpg:grpSpPr>
                      <wps:wsp>
                        <wps:cNvPr id="26" name="Straight Connector 26"/>
                        <wps:cNvCnPr/>
                        <wps:spPr>
                          <a:xfrm>
                            <a:off x="0" y="942428"/>
                            <a:ext cx="135683"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27" name="Rectangle 27"/>
                        <wps:cNvSpPr/>
                        <wps:spPr>
                          <a:xfrm>
                            <a:off x="0" y="468603"/>
                            <a:ext cx="1085463" cy="399010"/>
                          </a:xfrm>
                          <a:prstGeom prst="rect">
                            <a:avLst/>
                          </a:prstGeom>
                          <a:solidFill>
                            <a:schemeClr val="accent4">
                              <a:lumMod val="60000"/>
                              <a:lumOff val="40000"/>
                            </a:schemeClr>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50C02A9E" w14:textId="10EFF11C"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w:t>
                              </w:r>
                              <w:r w:rsidR="006D49C8">
                                <w:rPr>
                                  <w:rFonts w:asciiTheme="minorHAnsi" w:hAnsi="Calibri" w:cstheme="minorBidi"/>
                                  <w:b/>
                                  <w:bCs/>
                                  <w:color w:val="002060"/>
                                  <w:kern w:val="24"/>
                                  <w:sz w:val="32"/>
                                  <w:szCs w:val="32"/>
                                  <w:lang w:val="en-US"/>
                                </w:rPr>
                                <w:t>GF</w:t>
                              </w:r>
                              <w:r>
                                <w:rPr>
                                  <w:rFonts w:asciiTheme="minorHAnsi" w:hAnsi="Calibri" w:cstheme="minorBidi"/>
                                  <w:b/>
                                  <w:bCs/>
                                  <w:color w:val="002060"/>
                                  <w:kern w:val="24"/>
                                  <w:sz w:val="32"/>
                                  <w:szCs w:val="32"/>
                                  <w:lang w:val="en-US"/>
                                </w:rPr>
                                <w:t>R3H5</w:t>
                              </w:r>
                            </w:p>
                          </w:txbxContent>
                        </wps:txbx>
                        <wps:bodyPr bIns="91440" rtlCol="0" anchor="ctr"/>
                      </wps:wsp>
                      <wps:wsp>
                        <wps:cNvPr id="28" name="Rectangle 28"/>
                        <wps:cNvSpPr/>
                        <wps:spPr>
                          <a:xfrm>
                            <a:off x="1085463" y="468603"/>
                            <a:ext cx="3863392" cy="399010"/>
                          </a:xfrm>
                          <a:prstGeom prst="rect">
                            <a:avLst/>
                          </a:prstGeom>
                          <a:solidFill>
                            <a:schemeClr val="tx2">
                              <a:lumMod val="20000"/>
                              <a:lumOff val="80000"/>
                            </a:schemeClr>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024D380C"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IDS</w:t>
                              </w:r>
                            </w:p>
                          </w:txbxContent>
                        </wps:txbx>
                        <wps:bodyPr bIns="91440" rtlCol="0" anchor="ctr"/>
                      </wps:wsp>
                      <wps:wsp>
                        <wps:cNvPr id="29" name="Straight Connector 29"/>
                        <wps:cNvCnPr/>
                        <wps:spPr>
                          <a:xfrm>
                            <a:off x="3027871" y="942428"/>
                            <a:ext cx="114259"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30" name="Straight Arrow Connector 30"/>
                        <wps:cNvCnPr/>
                        <wps:spPr>
                          <a:xfrm>
                            <a:off x="4140650" y="228600"/>
                            <a:ext cx="0" cy="19950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31" name="TextBox 24"/>
                        <wps:cNvSpPr txBox="1"/>
                        <wps:spPr>
                          <a:xfrm>
                            <a:off x="3753747" y="0"/>
                            <a:ext cx="998256" cy="280723"/>
                          </a:xfrm>
                          <a:prstGeom prst="rect">
                            <a:avLst/>
                          </a:prstGeom>
                          <a:noFill/>
                        </wps:spPr>
                        <wps:txbx>
                          <w:txbxContent>
                            <w:p w14:paraId="2FCDF836"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wps:txbx>
                        <wps:bodyPr wrap="none" rtlCol="0">
                          <a:spAutoFit/>
                        </wps:bodyPr>
                      </wps:wsp>
                      <wps:wsp>
                        <wps:cNvPr id="32" name="Straight Arrow Connector 32"/>
                        <wps:cNvCnPr/>
                        <wps:spPr>
                          <a:xfrm>
                            <a:off x="1191180" y="231681"/>
                            <a:ext cx="0" cy="19950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33" name="TextBox 26"/>
                        <wps:cNvSpPr txBox="1"/>
                        <wps:spPr>
                          <a:xfrm>
                            <a:off x="804512" y="3082"/>
                            <a:ext cx="998256" cy="280723"/>
                          </a:xfrm>
                          <a:prstGeom prst="rect">
                            <a:avLst/>
                          </a:prstGeom>
                          <a:noFill/>
                        </wps:spPr>
                        <wps:txbx>
                          <w:txbxContent>
                            <w:p w14:paraId="2B0B24D0"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wps:txbx>
                        <wps:bodyPr wrap="none" rtlCol="0">
                          <a:spAutoFit/>
                        </wps:bodyPr>
                      </wps:wsp>
                      <wps:wsp>
                        <wps:cNvPr id="34" name="Rectangle 34"/>
                        <wps:cNvSpPr/>
                        <wps:spPr>
                          <a:xfrm>
                            <a:off x="4948855" y="468603"/>
                            <a:ext cx="1063804" cy="399010"/>
                          </a:xfrm>
                          <a:prstGeom prst="rect">
                            <a:avLst/>
                          </a:prstGeom>
                          <a:solidFill>
                            <a:schemeClr val="accent2"/>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5FD8A7E1" w14:textId="4E8C1EE2"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R28</w:t>
                              </w:r>
                            </w:p>
                          </w:txbxContent>
                        </wps:txbx>
                        <wps:bodyPr bIns="91440" rtlCol="0" anchor="ctr"/>
                      </wps:wsp>
                      <wps:wsp>
                        <wps:cNvPr id="35" name="Straight Connector 35"/>
                        <wps:cNvCnPr/>
                        <wps:spPr>
                          <a:xfrm>
                            <a:off x="5368571" y="942428"/>
                            <a:ext cx="78553"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15AD97BA" id="_x0000_s1062" style="width:468pt;height:73.35pt;mso-position-horizontal-relative:char;mso-position-vertical-relative:line" coordsize="60126,9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">
                <v:line id="Straight Connector 26" o:spid="_x0000_s1063" style="position:absolute;visibility:visible;mso-wrap-style:square" from="0,9424" to="1356,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" strokecolor="red" strokeweight="2.25pt">
                  <v:stroke joinstyle="miter"/>
                </v:line>
                <v:rect id="Rectangle 27" o:spid="_x0000_s1064" style="position:absolute;top:4686;width:10854;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" fillcolor="#ffd966 [1943]" strokecolor="#1f4d78 [1604]" strokeweight="2.25pt">
                  <v:textbox inset=",,,7.2pt">
                    <w:txbxContent>
                      <w:p w14:paraId="50C02A9E" w14:textId="10EFF11C"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w:t>
                        </w:r>
                        <w:r w:rsidR="006D49C8">
                          <w:rPr>
                            <w:rFonts w:asciiTheme="minorHAnsi" w:hAnsi="Calibri" w:cstheme="minorBidi"/>
                            <w:b/>
                            <w:bCs/>
                            <w:color w:val="002060"/>
                            <w:kern w:val="24"/>
                            <w:sz w:val="32"/>
                            <w:szCs w:val="32"/>
                            <w:lang w:val="en-US"/>
                          </w:rPr>
                          <w:t>GF</w:t>
                        </w:r>
                        <w:r>
                          <w:rPr>
                            <w:rFonts w:asciiTheme="minorHAnsi" w:hAnsi="Calibri" w:cstheme="minorBidi"/>
                            <w:b/>
                            <w:bCs/>
                            <w:color w:val="002060"/>
                            <w:kern w:val="24"/>
                            <w:sz w:val="32"/>
                            <w:szCs w:val="32"/>
                            <w:lang w:val="en-US"/>
                          </w:rPr>
                          <w:t>R3H5</w:t>
                        </w:r>
                      </w:p>
                    </w:txbxContent>
                  </v:textbox>
                </v:rect>
                <v:rect id="Rectangle 28" o:spid="_x0000_s1065" style="position:absolute;left:10854;top:4686;width:38634;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" fillcolor="#d5dce4 [671]" strokecolor="#1f4d78 [1604]" strokeweight="2.25pt">
                  <v:textbox inset=",,,7.2pt">
                    <w:txbxContent>
                      <w:p w14:paraId="024D380C"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IDS</w:t>
                        </w:r>
                      </w:p>
                    </w:txbxContent>
                  </v:textbox>
                </v:rect>
                <v:line id="Straight Connector 29" o:spid="_x0000_s1066" style="position:absolute;visibility:visible;mso-wrap-style:square" from="30278,9424" to="31421,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" strokecolor="red" strokeweight="2.25pt">
                  <v:stroke joinstyle="miter"/>
                </v:line>
                <v:shape id="Straight Arrow Connector 30" o:spid="_x0000_s1067" type="#_x0000_t32" style="position:absolute;left:41406;top:2286;width:0;height:19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" strokecolor="red" strokeweight="1.5pt">
                  <v:stroke endarrow="open" joinstyle="miter"/>
                </v:shape>
                <v:shape id="TextBox 24" o:spid="_x0000_s1068" type="#_x0000_t202" style="position:absolute;left:37537;width:9983;height:280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" filled="f" stroked="f">
                  <v:textbox style="mso-fit-shape-to-text:t">
                    <w:txbxContent>
                      <w:p w14:paraId="2FCDF836"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v:textbox>
                </v:shape>
                <v:shape id="Straight Arrow Connector 32" o:spid="_x0000_s1069" type="#_x0000_t32" style="position:absolute;left:11911;top:2316;width:0;height:19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" strokecolor="red" strokeweight="1.5pt">
                  <v:stroke endarrow="open" joinstyle="miter"/>
                </v:shape>
                <v:shape id="TextBox 26" o:spid="_x0000_s1070" type="#_x0000_t202" style="position:absolute;left:8045;top:30;width:9982;height:280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" filled="f" stroked="f">
                  <v:textbox style="mso-fit-shape-to-text:t">
                    <w:txbxContent>
                      <w:p w14:paraId="2B0B24D0"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v:textbox>
                </v:shape>
                <v:rect id="Rectangle 34" o:spid="_x0000_s1071" style="position:absolute;left:49488;top:4686;width:10638;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" fillcolor="#ed7d31 [3205]" strokecolor="#1f4d78 [1604]" strokeweight="2.25pt">
                  <v:textbox inset=",,,7.2pt">
                    <w:txbxContent>
                      <w:p w14:paraId="5FD8A7E1" w14:textId="4E8C1EE2"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R28</w:t>
                        </w:r>
                      </w:p>
                    </w:txbxContent>
                  </v:textbox>
                </v:rect>
                <v:line id="Straight Connector 35" o:spid="_x0000_s1072" style="position:absolute;visibility:visible;mso-wrap-style:square" from="53685,9424" to="54471,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" strokecolor="red" strokeweight="2.25pt">
                  <v:stroke joinstyle="miter"/>
                </v:line>
                <w10:anchorlock/>
              </v:group>
            </w:pict>
          </mc:Fallback>
        </mc:AlternateContent>
      </w:r>
      <w:r w:rsidRPr="0073648F">
        <w:rPr>
          <w:b/>
          <w:noProof/>
          <w:lang w:eastAsia="en-CA"/>
        </w:rPr>
        <mc:AlternateContent>
          <mc:Choice Requires="wpg">
            <w:drawing>
              <wp:inline distT="0" distB="0" distL="0" distR="0" wp14:anchorId="26449748" wp14:editId="69CFF3BE">
                <wp:extent cx="5943600" cy="931545"/>
                <wp:effectExtent l="19050" t="0" r="19050" b="20955"/>
                <wp:docPr id="36" name="Group 1"/>
                <wp:cNvGraphicFramePr/>
                <a:graphic xmlns:a="http://schemas.openxmlformats.org/drawingml/2006/main">
                  <a:graphicData uri="http://schemas.microsoft.com/office/word/2010/wordprocessingGroup">
                    <wpg:wgp>
                      <wpg:cNvGrpSpPr/>
                      <wpg:grpSpPr>
                        <a:xfrm>
                          <a:off x="0" y="0"/>
                          <a:ext cx="5943600" cy="931545"/>
                          <a:chOff x="0" y="0"/>
                          <a:chExt cx="6012659" cy="942428"/>
                        </a:xfrm>
                      </wpg:grpSpPr>
                      <wps:wsp>
                        <wps:cNvPr id="37" name="Straight Connector 37"/>
                        <wps:cNvCnPr/>
                        <wps:spPr>
                          <a:xfrm>
                            <a:off x="0" y="942428"/>
                            <a:ext cx="135683"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38" name="Rectangle 38"/>
                        <wps:cNvSpPr/>
                        <wps:spPr>
                          <a:xfrm>
                            <a:off x="0" y="468603"/>
                            <a:ext cx="1085463" cy="399010"/>
                          </a:xfrm>
                          <a:prstGeom prst="rect">
                            <a:avLst/>
                          </a:prstGeom>
                          <a:solidFill>
                            <a:schemeClr val="accent4">
                              <a:lumMod val="60000"/>
                              <a:lumOff val="40000"/>
                            </a:schemeClr>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7AAE6115" w14:textId="3230A0A2"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w:t>
                              </w:r>
                              <w:r w:rsidR="006D49C8">
                                <w:rPr>
                                  <w:rFonts w:asciiTheme="minorHAnsi" w:hAnsi="Calibri" w:cstheme="minorBidi"/>
                                  <w:b/>
                                  <w:bCs/>
                                  <w:color w:val="002060"/>
                                  <w:kern w:val="24"/>
                                  <w:sz w:val="32"/>
                                  <w:szCs w:val="32"/>
                                  <w:lang w:val="en-US"/>
                                </w:rPr>
                                <w:t>GF</w:t>
                              </w:r>
                              <w:r>
                                <w:rPr>
                                  <w:rFonts w:asciiTheme="minorHAnsi" w:hAnsi="Calibri" w:cstheme="minorBidi"/>
                                  <w:b/>
                                  <w:bCs/>
                                  <w:color w:val="002060"/>
                                  <w:kern w:val="24"/>
                                  <w:sz w:val="32"/>
                                  <w:szCs w:val="32"/>
                                  <w:lang w:val="en-US"/>
                                </w:rPr>
                                <w:t>R3H5</w:t>
                              </w:r>
                            </w:p>
                          </w:txbxContent>
                        </wps:txbx>
                        <wps:bodyPr bIns="91440" rtlCol="0" anchor="ctr"/>
                      </wps:wsp>
                      <wps:wsp>
                        <wps:cNvPr id="39" name="Rectangle 39"/>
                        <wps:cNvSpPr/>
                        <wps:spPr>
                          <a:xfrm>
                            <a:off x="1085463" y="468603"/>
                            <a:ext cx="3863392" cy="399010"/>
                          </a:xfrm>
                          <a:prstGeom prst="rect">
                            <a:avLst/>
                          </a:prstGeom>
                          <a:solidFill>
                            <a:schemeClr val="tx2">
                              <a:lumMod val="20000"/>
                              <a:lumOff val="80000"/>
                            </a:schemeClr>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448DFD05"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IDS</w:t>
                              </w:r>
                            </w:p>
                          </w:txbxContent>
                        </wps:txbx>
                        <wps:bodyPr bIns="91440" rtlCol="0" anchor="ctr"/>
                      </wps:wsp>
                      <wps:wsp>
                        <wps:cNvPr id="40" name="Straight Connector 40"/>
                        <wps:cNvCnPr/>
                        <wps:spPr>
                          <a:xfrm>
                            <a:off x="3027871" y="942428"/>
                            <a:ext cx="114259"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41" name="Straight Arrow Connector 41"/>
                        <wps:cNvCnPr/>
                        <wps:spPr>
                          <a:xfrm>
                            <a:off x="4140650" y="228600"/>
                            <a:ext cx="0" cy="19950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2" name="TextBox 24"/>
                        <wps:cNvSpPr txBox="1"/>
                        <wps:spPr>
                          <a:xfrm>
                            <a:off x="3753747" y="0"/>
                            <a:ext cx="998256" cy="280723"/>
                          </a:xfrm>
                          <a:prstGeom prst="rect">
                            <a:avLst/>
                          </a:prstGeom>
                          <a:noFill/>
                        </wps:spPr>
                        <wps:txbx>
                          <w:txbxContent>
                            <w:p w14:paraId="5F224C6A"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wps:txbx>
                        <wps:bodyPr wrap="none" rtlCol="0">
                          <a:spAutoFit/>
                        </wps:bodyPr>
                      </wps:wsp>
                      <wps:wsp>
                        <wps:cNvPr id="43" name="Straight Arrow Connector 43"/>
                        <wps:cNvCnPr/>
                        <wps:spPr>
                          <a:xfrm>
                            <a:off x="1191180" y="231681"/>
                            <a:ext cx="0" cy="19950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4" name="TextBox 26"/>
                        <wps:cNvSpPr txBox="1"/>
                        <wps:spPr>
                          <a:xfrm>
                            <a:off x="804512" y="3082"/>
                            <a:ext cx="998256" cy="280723"/>
                          </a:xfrm>
                          <a:prstGeom prst="rect">
                            <a:avLst/>
                          </a:prstGeom>
                          <a:noFill/>
                        </wps:spPr>
                        <wps:txbx>
                          <w:txbxContent>
                            <w:p w14:paraId="74FCCC24"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wps:txbx>
                        <wps:bodyPr wrap="none" rtlCol="0">
                          <a:spAutoFit/>
                        </wps:bodyPr>
                      </wps:wsp>
                      <wps:wsp>
                        <wps:cNvPr id="45" name="Rectangle 45"/>
                        <wps:cNvSpPr/>
                        <wps:spPr>
                          <a:xfrm>
                            <a:off x="4948855" y="468603"/>
                            <a:ext cx="1063804" cy="399010"/>
                          </a:xfrm>
                          <a:prstGeom prst="rect">
                            <a:avLst/>
                          </a:prstGeom>
                          <a:solidFill>
                            <a:schemeClr val="accent1"/>
                          </a:solid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5C5B1ECC" w14:textId="53613E4A"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M79</w:t>
                              </w:r>
                            </w:p>
                          </w:txbxContent>
                        </wps:txbx>
                        <wps:bodyPr bIns="91440" rtlCol="0" anchor="ctr"/>
                      </wps:wsp>
                      <wps:wsp>
                        <wps:cNvPr id="46" name="Straight Connector 46"/>
                        <wps:cNvCnPr/>
                        <wps:spPr>
                          <a:xfrm>
                            <a:off x="5368571" y="942428"/>
                            <a:ext cx="78553"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26449748" id="_x0000_s1073" style="width:468pt;height:73.35pt;mso-position-horizontal-relative:char;mso-position-vertical-relative:line" coordsize="60126,9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">
                <v:line id="Straight Connector 37" o:spid="_x0000_s1074" style="position:absolute;visibility:visible;mso-wrap-style:square" from="0,9424" to="1356,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" strokecolor="red" strokeweight="2.25pt">
                  <v:stroke joinstyle="miter"/>
                </v:line>
                <v:rect id="Rectangle 38" o:spid="_x0000_s1075" style="position:absolute;top:4686;width:10854;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" fillcolor="#ffd966 [1943]" strokecolor="#1f4d78 [1604]" strokeweight="2.25pt">
                  <v:textbox inset=",,,7.2pt">
                    <w:txbxContent>
                      <w:p w14:paraId="7AAE6115" w14:textId="3230A0A2"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w:t>
                        </w:r>
                        <w:r w:rsidR="006D49C8">
                          <w:rPr>
                            <w:rFonts w:asciiTheme="minorHAnsi" w:hAnsi="Calibri" w:cstheme="minorBidi"/>
                            <w:b/>
                            <w:bCs/>
                            <w:color w:val="002060"/>
                            <w:kern w:val="24"/>
                            <w:sz w:val="32"/>
                            <w:szCs w:val="32"/>
                            <w:lang w:val="en-US"/>
                          </w:rPr>
                          <w:t>GF</w:t>
                        </w:r>
                        <w:r>
                          <w:rPr>
                            <w:rFonts w:asciiTheme="minorHAnsi" w:hAnsi="Calibri" w:cstheme="minorBidi"/>
                            <w:b/>
                            <w:bCs/>
                            <w:color w:val="002060"/>
                            <w:kern w:val="24"/>
                            <w:sz w:val="32"/>
                            <w:szCs w:val="32"/>
                            <w:lang w:val="en-US"/>
                          </w:rPr>
                          <w:t>R3H5</w:t>
                        </w:r>
                      </w:p>
                    </w:txbxContent>
                  </v:textbox>
                </v:rect>
                <v:rect id="Rectangle 39" o:spid="_x0000_s1076" style="position:absolute;left:10854;top:4686;width:38634;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" fillcolor="#d5dce4 [671]" strokecolor="#1f4d78 [1604]" strokeweight="2.25pt">
                  <v:textbox inset=",,,7.2pt">
                    <w:txbxContent>
                      <w:p w14:paraId="448DFD05" w14:textId="77777777"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IDS</w:t>
                        </w:r>
                      </w:p>
                    </w:txbxContent>
                  </v:textbox>
                </v:rect>
                <v:line id="Straight Connector 40" o:spid="_x0000_s1077" style="position:absolute;visibility:visible;mso-wrap-style:square" from="30278,9424" to="31421,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" strokecolor="red" strokeweight="2.25pt">
                  <v:stroke joinstyle="miter"/>
                </v:line>
                <v:shape id="Straight Arrow Connector 41" o:spid="_x0000_s1078" type="#_x0000_t32" style="position:absolute;left:41406;top:2286;width:0;height:19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" strokecolor="red" strokeweight="1.5pt">
                  <v:stroke endarrow="open" joinstyle="miter"/>
                </v:shape>
                <v:shape id="TextBox 24" o:spid="_x0000_s1079" type="#_x0000_t202" style="position:absolute;left:37537;width:9983;height:280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" filled="f" stroked="f">
                  <v:textbox style="mso-fit-shape-to-text:t">
                    <w:txbxContent>
                      <w:p w14:paraId="5F224C6A"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v:textbox>
                </v:shape>
                <v:shape id="Straight Arrow Connector 43" o:spid="_x0000_s1080" type="#_x0000_t32" style="position:absolute;left:11911;top:2316;width:0;height:19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" strokecolor="red" strokeweight="1.5pt">
                  <v:stroke endarrow="open" joinstyle="miter"/>
                </v:shape>
                <v:shape id="TextBox 26" o:spid="_x0000_s1081" type="#_x0000_t202" style="position:absolute;left:8045;top:30;width:9982;height:280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" filled="f" stroked="f">
                  <v:textbox style="mso-fit-shape-to-text:t">
                    <w:txbxContent>
                      <w:p w14:paraId="74FCCC24" w14:textId="77777777" w:rsidR="00D9189B" w:rsidRDefault="00D9189B" w:rsidP="00D9189B">
                        <w:pPr>
                          <w:pStyle w:val="NormalWeb"/>
                          <w:spacing w:before="0" w:beforeAutospacing="0" w:after="0" w:afterAutospacing="0"/>
                        </w:pPr>
                        <w:r>
                          <w:rPr>
                            <w:rFonts w:asciiTheme="minorHAnsi" w:hAnsi="Calibri" w:cstheme="minorBidi"/>
                            <w:b/>
                            <w:bCs/>
                            <w:color w:val="FF0000"/>
                            <w:kern w:val="24"/>
                            <w:lang w:val="en-US"/>
                          </w:rPr>
                          <w:t>cleavage site</w:t>
                        </w:r>
                      </w:p>
                    </w:txbxContent>
                  </v:textbox>
                </v:shape>
                <v:rect id="Rectangle 45" o:spid="_x0000_s1082" style="position:absolute;left:49488;top:4686;width:10638;height:3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" fillcolor="#5b9bd5 [3204]" strokecolor="#1f4d78 [1604]" strokeweight="2.25pt">
                  <v:textbox inset=",,,7.2pt">
                    <w:txbxContent>
                      <w:p w14:paraId="5C5B1ECC" w14:textId="53613E4A" w:rsidR="00D9189B" w:rsidRDefault="00D9189B" w:rsidP="00D9189B">
                        <w:pPr>
                          <w:pStyle w:val="NormalWeb"/>
                          <w:spacing w:before="0" w:beforeAutospacing="0" w:after="0" w:afterAutospacing="0"/>
                          <w:jc w:val="center"/>
                        </w:pPr>
                        <w:r>
                          <w:rPr>
                            <w:rFonts w:asciiTheme="minorHAnsi" w:hAnsi="Calibri" w:cstheme="minorBidi"/>
                            <w:b/>
                            <w:bCs/>
                            <w:color w:val="002060"/>
                            <w:kern w:val="24"/>
                            <w:sz w:val="32"/>
                            <w:szCs w:val="32"/>
                            <w:lang w:val="en-US"/>
                          </w:rPr>
                          <w:t>M79</w:t>
                        </w:r>
                      </w:p>
                    </w:txbxContent>
                  </v:textbox>
                </v:rect>
                <v:line id="Straight Connector 46" o:spid="_x0000_s1083" style="position:absolute;visibility:visible;mso-wrap-style:square" from="53685,9424" to="54471,9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" strokecolor="red" strokeweight="2.25pt">
                  <v:stroke joinstyle="miter"/>
                </v:line>
                <w10:anchorlock/>
              </v:group>
            </w:pict>
          </mc:Fallback>
        </mc:AlternateContent>
      </w:r>
    </w:p>
    <w:p w14:paraId="5C4EEE1F" w14:textId="6A5BA7AA" w:rsidR="00D9189B" w:rsidRDefault="00D9189B" w:rsidP="00FB31FA">
      <w:pPr>
        <w:spacing w:after="0"/>
        <w:rPr>
          <w:b/>
        </w:rPr>
      </w:pPr>
    </w:p>
    <w:p w14:paraId="5DBAB82C" w14:textId="77777777" w:rsidR="00D9189B" w:rsidRDefault="00D9189B" w:rsidP="00FB31FA">
      <w:pPr>
        <w:spacing w:after="0"/>
        <w:rPr>
          <w:b/>
        </w:rPr>
      </w:pPr>
    </w:p>
    <w:p w14:paraId="5C93BEEA" w14:textId="77777777" w:rsidR="00F72558" w:rsidRDefault="00F72558">
      <w:pPr>
        <w:rPr>
          <w:b/>
        </w:rPr>
      </w:pPr>
      <w:r>
        <w:rPr>
          <w:b/>
        </w:rPr>
        <w:br w:type="page"/>
      </w:r>
    </w:p>
    <w:p w14:paraId="2167D3FC" w14:textId="3661AF6D" w:rsidR="001A45AC" w:rsidRDefault="001A45AC" w:rsidP="00F72558">
      <w:pPr>
        <w:rPr>
          <w:b/>
        </w:rPr>
      </w:pPr>
      <w:r>
        <w:rPr>
          <w:b/>
        </w:rPr>
        <w:lastRenderedPageBreak/>
        <w:t>Supplemental Figure 2</w:t>
      </w:r>
      <w:r w:rsidRPr="00A06F79">
        <w:rPr>
          <w:b/>
        </w:rPr>
        <w:t>.</w:t>
      </w:r>
      <w:r w:rsidRPr="00A37B81">
        <w:t xml:space="preserve"> QC of brain fractionation</w:t>
      </w:r>
      <w:r>
        <w:t xml:space="preserve">. The vessel depletion method was performed on various brain samples to determine the levels of test articles in brain vessels (samples V1 – V6) and parenchyma (samples P1 – P6). In these experiments, two markers of tissue fractionation were evaluated to confirm the effectiveness of the brain fractionation method. </w:t>
      </w:r>
      <w:r w:rsidRPr="00A37B81">
        <w:t xml:space="preserve">The </w:t>
      </w:r>
      <w:r>
        <w:t>f</w:t>
      </w:r>
      <w:r w:rsidRPr="00A37B81">
        <w:t>igure</w:t>
      </w:r>
      <w:r>
        <w:t xml:space="preserve"> shows the amounts, relative to non-fractionated brain, of </w:t>
      </w:r>
      <w:hyperlink r:id="rId7" w:history="1">
        <w:r w:rsidRPr="00591F9C">
          <w:rPr>
            <w:rStyle w:val="Hyperlink"/>
          </w:rPr>
          <w:t>PECAM1</w:t>
        </w:r>
      </w:hyperlink>
      <w:r>
        <w:t xml:space="preserve"> (vessel marker) and </w:t>
      </w:r>
      <w:hyperlink r:id="rId8" w:history="1">
        <w:r w:rsidRPr="00591F9C">
          <w:rPr>
            <w:rStyle w:val="Hyperlink"/>
          </w:rPr>
          <w:t>GFAP</w:t>
        </w:r>
      </w:hyperlink>
      <w:r>
        <w:t xml:space="preserve"> (parenchyma marker) in each sample. The figure shows that the tissue markers were depleted or enriched in each sample as expected, thus, the method permitted the verification of the vessel depletion method and identification of samples with insufficient vessel depletion. </w:t>
      </w:r>
      <w:r w:rsidR="00222DE0">
        <w:rPr>
          <w:noProof/>
        </w:rPr>
        <w:object w:dxaOrig="11061" w:dyaOrig="6672" w14:anchorId="49D40C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67.35pt;height:282.7pt;mso-width-percent:0;mso-height-percent:0;mso-width-percent:0;mso-height-percent:0" o:ole="">
            <v:imagedata r:id="rId9" o:title=""/>
          </v:shape>
          <o:OLEObject Type="Embed" ProgID="Prism9.Document" ShapeID="_x0000_i1025" DrawAspect="Content" ObjectID="_1767525863" r:id="rId10"/>
        </w:object>
      </w:r>
    </w:p>
    <w:p w14:paraId="273C27EA" w14:textId="77777777" w:rsidR="001A45AC" w:rsidRDefault="001A45AC" w:rsidP="001A45AC">
      <w:pPr>
        <w:spacing w:after="0"/>
      </w:pPr>
    </w:p>
    <w:p w14:paraId="16DAE816" w14:textId="77777777" w:rsidR="001A45AC" w:rsidRDefault="001A45AC">
      <w:pPr>
        <w:rPr>
          <w:b/>
          <w:sz w:val="24"/>
          <w:szCs w:val="24"/>
        </w:rPr>
      </w:pPr>
      <w:r>
        <w:rPr>
          <w:b/>
          <w:sz w:val="24"/>
          <w:szCs w:val="24"/>
        </w:rPr>
        <w:br w:type="page"/>
      </w:r>
    </w:p>
    <w:p w14:paraId="6D8E5010" w14:textId="6A91E38D" w:rsidR="0095016F" w:rsidRPr="00F72558" w:rsidRDefault="0095016F" w:rsidP="0095016F">
      <w:pPr>
        <w:rPr>
          <w:sz w:val="24"/>
          <w:szCs w:val="24"/>
        </w:rPr>
      </w:pPr>
      <w:r w:rsidRPr="00F72558">
        <w:rPr>
          <w:b/>
          <w:sz w:val="24"/>
          <w:szCs w:val="24"/>
        </w:rPr>
        <w:lastRenderedPageBreak/>
        <w:t xml:space="preserve">Supplemental Figure </w:t>
      </w:r>
      <w:r w:rsidR="00B57E7E">
        <w:rPr>
          <w:b/>
          <w:sz w:val="24"/>
          <w:szCs w:val="24"/>
        </w:rPr>
        <w:t>3</w:t>
      </w:r>
      <w:r w:rsidRPr="00F72558">
        <w:rPr>
          <w:b/>
          <w:sz w:val="24"/>
          <w:szCs w:val="24"/>
        </w:rPr>
        <w:t>.</w:t>
      </w:r>
      <w:r w:rsidRPr="00F72558">
        <w:rPr>
          <w:sz w:val="24"/>
          <w:szCs w:val="24"/>
        </w:rPr>
        <w:t xml:space="preserve"> Plot of PK parameters</w:t>
      </w:r>
      <w:r w:rsidR="00042D47">
        <w:rPr>
          <w:sz w:val="24"/>
          <w:szCs w:val="24"/>
        </w:rPr>
        <w:t xml:space="preserve"> (WinNonlin analysis)</w:t>
      </w:r>
      <w:r w:rsidRPr="00F72558">
        <w:rPr>
          <w:sz w:val="24"/>
          <w:szCs w:val="24"/>
        </w:rPr>
        <w:t xml:space="preserve"> presented in Table 2 demonstrating </w:t>
      </w:r>
      <w:r w:rsidR="00425681">
        <w:rPr>
          <w:sz w:val="24"/>
          <w:szCs w:val="24"/>
        </w:rPr>
        <w:t xml:space="preserve">the </w:t>
      </w:r>
      <w:r w:rsidRPr="00F72558">
        <w:rPr>
          <w:sz w:val="24"/>
          <w:szCs w:val="24"/>
        </w:rPr>
        <w:t>effect of HSA and anti-</w:t>
      </w:r>
      <w:r w:rsidR="001E127F" w:rsidRPr="00F72558">
        <w:rPr>
          <w:sz w:val="24"/>
          <w:szCs w:val="24"/>
        </w:rPr>
        <w:t>serum albumin sdAbs</w:t>
      </w:r>
      <w:r w:rsidRPr="00F72558">
        <w:rPr>
          <w:sz w:val="24"/>
          <w:szCs w:val="24"/>
        </w:rPr>
        <w:t xml:space="preserve"> on IDS serum PK.</w:t>
      </w:r>
    </w:p>
    <w:p w14:paraId="23B3D3FB" w14:textId="4573342D" w:rsidR="00C55C49" w:rsidRPr="00C015E7" w:rsidRDefault="00A55F3D" w:rsidP="00C55C49">
      <w:pPr>
        <w:spacing w:after="0"/>
      </w:pPr>
      <w:r>
        <w:rPr>
          <w:noProof/>
        </w:rPr>
        <w:object w:dxaOrig="9384" w:dyaOrig="16042" w14:anchorId="5AB1AEDE">
          <v:shape id="_x0000_i1026" type="#_x0000_t75" alt="" style="width:353.8pt;height:606.5pt" o:ole="">
            <v:imagedata r:id="rId11" o:title=""/>
          </v:shape>
          <o:OLEObject Type="Embed" ProgID="Prism9.Document" ShapeID="_x0000_i1026" DrawAspect="Content" ObjectID="_1767525864" r:id="rId12"/>
        </w:object>
      </w:r>
      <w:r w:rsidR="0095016F">
        <w:rPr>
          <w:b/>
        </w:rPr>
        <w:br w:type="page"/>
      </w:r>
      <w:r w:rsidR="00C55C49" w:rsidRPr="00F72558">
        <w:rPr>
          <w:b/>
          <w:sz w:val="24"/>
          <w:szCs w:val="24"/>
        </w:rPr>
        <w:lastRenderedPageBreak/>
        <w:t xml:space="preserve">Supplemental Figure </w:t>
      </w:r>
      <w:r w:rsidR="00042D47">
        <w:rPr>
          <w:b/>
          <w:sz w:val="24"/>
          <w:szCs w:val="24"/>
        </w:rPr>
        <w:t>4</w:t>
      </w:r>
      <w:r w:rsidR="00C55C49" w:rsidRPr="00F72558">
        <w:rPr>
          <w:b/>
          <w:sz w:val="24"/>
          <w:szCs w:val="24"/>
        </w:rPr>
        <w:t>.</w:t>
      </w:r>
      <w:r w:rsidR="00C55C49" w:rsidRPr="00F72558">
        <w:rPr>
          <w:sz w:val="24"/>
          <w:szCs w:val="24"/>
        </w:rPr>
        <w:t xml:space="preserve"> Concentration in rat serum following single bolus </w:t>
      </w:r>
      <w:r w:rsidR="001E127F" w:rsidRPr="00F72558">
        <w:rPr>
          <w:sz w:val="24"/>
          <w:szCs w:val="24"/>
        </w:rPr>
        <w:t xml:space="preserve">i.v. </w:t>
      </w:r>
      <w:r w:rsidR="00C55C49" w:rsidRPr="00F72558">
        <w:rPr>
          <w:sz w:val="24"/>
          <w:szCs w:val="24"/>
        </w:rPr>
        <w:t xml:space="preserve">administration of IDS or IGF1R3H5-IDS. </w:t>
      </w:r>
      <w:r w:rsidR="00D52A0D" w:rsidRPr="00F72558">
        <w:rPr>
          <w:sz w:val="24"/>
          <w:szCs w:val="24"/>
        </w:rPr>
        <w:t>Serum IDS c</w:t>
      </w:r>
      <w:r w:rsidR="00C55C49" w:rsidRPr="00F72558">
        <w:rPr>
          <w:sz w:val="24"/>
          <w:szCs w:val="24"/>
        </w:rPr>
        <w:t>oncentrations</w:t>
      </w:r>
      <w:r w:rsidR="00D52A0D" w:rsidRPr="00F72558">
        <w:rPr>
          <w:sz w:val="24"/>
          <w:szCs w:val="24"/>
        </w:rPr>
        <w:t xml:space="preserve"> were</w:t>
      </w:r>
      <w:r w:rsidR="00C55C49" w:rsidRPr="00F72558">
        <w:rPr>
          <w:sz w:val="24"/>
          <w:szCs w:val="24"/>
        </w:rPr>
        <w:t xml:space="preserve"> determined by analysis of IDS enzyme activity according to </w:t>
      </w:r>
      <w:r w:rsidR="00D52A0D" w:rsidRPr="00F72558">
        <w:rPr>
          <w:sz w:val="24"/>
          <w:szCs w:val="24"/>
        </w:rPr>
        <w:t xml:space="preserve">the method of Tolun et al. </w:t>
      </w:r>
      <w:r w:rsidR="00D52A0D" w:rsidRPr="00F72558">
        <w:rPr>
          <w:sz w:val="24"/>
          <w:szCs w:val="24"/>
        </w:rPr>
        <w:fldChar w:fldCharType="begin" w:fldLock="1"/>
      </w:r>
      <w:r w:rsidR="00F72558">
        <w:rPr>
          <w:sz w:val="24"/>
          <w:szCs w:val="24"/>
        </w:rPr>
        <w:instrText>ADDIN CSL_CITATION {"citationItems":[{"id":"ITEM-1","itemData":{"DOI":"10.1016/j.ymgme.2011.12.011","ISSN":"1096-7206","PMID":"22227323","abstract":"Mucopolysaccharidosis type II (MPS II) or Hunter syndrome is a lysosomal storage disease caused by deficiency of iduronate-2-sulfatase (IDS). A convenient single-step fluorometric microplate enzyme assay has been developed and validated for clinical diagnosis of MPS II using dried blood spots (DBS). The assay compared well with a recently reported digital microfluidic method, from which it was adapted. Results show that this DBS assay is robust and reproducible using both technologies.","author":[{"dropping-particle":"","family":"Tolun","given":"Adviye A","non-dropping-particle":"","parse-names":false,"suffix":""},{"dropping-particle":"","family":"Graham","given":"Carrie","non-dropping-particle":"","parse-names":false,"suffix":""},{"dropping-particle":"","family":"Shi","given":"Qun","non-dropping-particle":"","parse-names":false,"suffix":""},{"dropping-particle":"","family":"Sista","given":"Ramakrishna S","non-dropping-particle":"","parse-names":false,"suffix":""},{"dropping-particle":"","family":"Wang","given":"Tong","non-dropping-particle":"","parse-names":false,"suffix":""},{"dropping-particle":"","family":"Eckhardt","given":"Allen E","non-dropping-particle":"","parse-names":false,"suffix":""},{"dropping-particle":"","family":"Pamula","given":"Vamsee K","non-dropping-particle":"","parse-names":false,"suffix":""},{"dropping-particle":"","family":"Millington","given":"David S","non-dropping-particle":"","parse-names":false,"suffix":""},{"dropping-particle":"","family":"Bali","given":"Deeksha S","non-dropping-particle":"","parse-names":false,"suffix":""}],"container-title":"Molecular genetics and metabolism","id":"ITEM-1","issue":"3","issued":{"date-parts":[["2012","3"]]},"page":"519-21","title":"A novel fluorometric enzyme analysis method for Hunter syndrome using dried blood spots.","type":"article-journal","volume":"105"},"suppress-author":1,"uris":["http://www.mendeley.com/documents/?uuid=771508db-f0ee-47a4-888d-fc6ca5c49a30"]}],"mendeley":{"formattedCitation":"&lt;sup&gt;6&lt;/sup&gt;","plainTextFormattedCitation":"6","previouslyFormattedCitation":"(2012)"},"properties":{"noteIndex":0},"schema":"https://github.com/citation-style-language/schema/raw/master/csl-citation.json"}</w:instrText>
      </w:r>
      <w:r w:rsidR="00D52A0D" w:rsidRPr="00F72558">
        <w:rPr>
          <w:sz w:val="24"/>
          <w:szCs w:val="24"/>
        </w:rPr>
        <w:fldChar w:fldCharType="separate"/>
      </w:r>
      <w:r w:rsidR="00F72558" w:rsidRPr="00F72558">
        <w:rPr>
          <w:noProof/>
          <w:sz w:val="24"/>
          <w:szCs w:val="24"/>
          <w:vertAlign w:val="superscript"/>
        </w:rPr>
        <w:t>6</w:t>
      </w:r>
      <w:r w:rsidR="00D52A0D" w:rsidRPr="00F72558">
        <w:rPr>
          <w:sz w:val="24"/>
          <w:szCs w:val="24"/>
        </w:rPr>
        <w:fldChar w:fldCharType="end"/>
      </w:r>
      <w:r w:rsidR="00D52A0D" w:rsidRPr="00F72558">
        <w:rPr>
          <w:sz w:val="24"/>
          <w:szCs w:val="24"/>
        </w:rPr>
        <w:t>. Serum IDS concentrations</w:t>
      </w:r>
      <w:r w:rsidR="00C55C49" w:rsidRPr="00F72558">
        <w:rPr>
          <w:sz w:val="24"/>
          <w:szCs w:val="24"/>
        </w:rPr>
        <w:t xml:space="preserve"> were similar to those determined using MRM analysis. Similarly,</w:t>
      </w:r>
      <w:r w:rsidR="00D52A0D" w:rsidRPr="00F72558">
        <w:rPr>
          <w:sz w:val="24"/>
          <w:szCs w:val="24"/>
        </w:rPr>
        <w:t xml:space="preserve"> the observed</w:t>
      </w:r>
      <w:r w:rsidR="00C55C49" w:rsidRPr="00F72558">
        <w:rPr>
          <w:sz w:val="24"/>
          <w:szCs w:val="24"/>
        </w:rPr>
        <w:t xml:space="preserve"> serum half-life (in parentheses</w:t>
      </w:r>
      <w:r w:rsidR="00D52A0D" w:rsidRPr="00F72558">
        <w:rPr>
          <w:sz w:val="24"/>
          <w:szCs w:val="24"/>
        </w:rPr>
        <w:t>, one phase decay model calculated in GraphPad Prism</w:t>
      </w:r>
      <w:r w:rsidR="00C55C49" w:rsidRPr="00F72558">
        <w:rPr>
          <w:sz w:val="24"/>
          <w:szCs w:val="24"/>
        </w:rPr>
        <w:t xml:space="preserve">) is similar to </w:t>
      </w:r>
      <w:r w:rsidR="00D52A0D" w:rsidRPr="00F72558">
        <w:rPr>
          <w:sz w:val="24"/>
          <w:szCs w:val="24"/>
        </w:rPr>
        <w:t>the values</w:t>
      </w:r>
      <w:r w:rsidR="00C55C49" w:rsidRPr="00F72558">
        <w:rPr>
          <w:sz w:val="24"/>
          <w:szCs w:val="24"/>
        </w:rPr>
        <w:t xml:space="preserve"> shown in Table </w:t>
      </w:r>
      <w:r w:rsidR="00A37B81" w:rsidRPr="00F72558">
        <w:rPr>
          <w:sz w:val="24"/>
          <w:szCs w:val="24"/>
        </w:rPr>
        <w:t>2</w:t>
      </w:r>
      <w:r w:rsidR="00C55C49" w:rsidRPr="00F72558">
        <w:rPr>
          <w:sz w:val="24"/>
          <w:szCs w:val="24"/>
        </w:rPr>
        <w:t>.</w:t>
      </w:r>
    </w:p>
    <w:p w14:paraId="6601ADBB" w14:textId="77777777" w:rsidR="00A37B81" w:rsidRDefault="00A37B81" w:rsidP="00C55C49">
      <w:pPr>
        <w:spacing w:after="0"/>
      </w:pPr>
    </w:p>
    <w:p w14:paraId="44D81B7A" w14:textId="4E3A310F" w:rsidR="00C55C49" w:rsidRDefault="00A55F3D" w:rsidP="00C55C49">
      <w:pPr>
        <w:spacing w:after="0"/>
      </w:pPr>
      <w:r>
        <w:rPr>
          <w:noProof/>
        </w:rPr>
        <w:object w:dxaOrig="5954" w:dyaOrig="4896" w14:anchorId="40AC0E77">
          <v:shape id="_x0000_i1027" type="#_x0000_t75" alt="" style="width:297.3pt;height:244.7pt" o:ole="">
            <v:imagedata r:id="rId13" o:title=""/>
          </v:shape>
          <o:OLEObject Type="Embed" ProgID="Prism9.Document" ShapeID="_x0000_i1027" DrawAspect="Content" ObjectID="_1767525865" r:id="rId14"/>
        </w:object>
      </w:r>
    </w:p>
    <w:p w14:paraId="75E66DAA" w14:textId="77777777" w:rsidR="00F76FC8" w:rsidRDefault="00F76FC8" w:rsidP="00F76FC8">
      <w:pPr>
        <w:spacing w:after="0"/>
      </w:pPr>
    </w:p>
    <w:p w14:paraId="388CEC4A" w14:textId="77777777" w:rsidR="00F76FC8" w:rsidRDefault="00F76FC8">
      <w:pPr>
        <w:rPr>
          <w:b/>
        </w:rPr>
      </w:pPr>
      <w:r>
        <w:rPr>
          <w:b/>
        </w:rPr>
        <w:br w:type="page"/>
      </w:r>
    </w:p>
    <w:p w14:paraId="451DF037" w14:textId="6D6913C1" w:rsidR="00A37B81" w:rsidRPr="00F72558" w:rsidRDefault="00A37B81" w:rsidP="00A37B81">
      <w:pPr>
        <w:rPr>
          <w:sz w:val="24"/>
          <w:szCs w:val="24"/>
        </w:rPr>
      </w:pPr>
      <w:r w:rsidRPr="00F72558">
        <w:rPr>
          <w:b/>
          <w:sz w:val="24"/>
          <w:szCs w:val="24"/>
        </w:rPr>
        <w:lastRenderedPageBreak/>
        <w:t xml:space="preserve">Supplemental Figure </w:t>
      </w:r>
      <w:r w:rsidR="00042D47">
        <w:rPr>
          <w:b/>
          <w:sz w:val="24"/>
          <w:szCs w:val="24"/>
        </w:rPr>
        <w:t>5</w:t>
      </w:r>
      <w:r w:rsidRPr="00F72558">
        <w:rPr>
          <w:b/>
          <w:sz w:val="24"/>
          <w:szCs w:val="24"/>
        </w:rPr>
        <w:t>.</w:t>
      </w:r>
      <w:r w:rsidRPr="00F72558">
        <w:rPr>
          <w:sz w:val="24"/>
          <w:szCs w:val="24"/>
        </w:rPr>
        <w:t xml:space="preserve"> </w:t>
      </w:r>
      <w:r w:rsidRPr="00F72558">
        <w:rPr>
          <w:i/>
          <w:iCs/>
          <w:sz w:val="24"/>
          <w:szCs w:val="24"/>
        </w:rPr>
        <w:t>In vivo</w:t>
      </w:r>
      <w:r w:rsidRPr="00F72558">
        <w:rPr>
          <w:sz w:val="24"/>
          <w:szCs w:val="24"/>
        </w:rPr>
        <w:t xml:space="preserve"> PK/BD </w:t>
      </w:r>
      <w:r w:rsidR="001E127F">
        <w:rPr>
          <w:sz w:val="24"/>
          <w:szCs w:val="24"/>
        </w:rPr>
        <w:t xml:space="preserve">of </w:t>
      </w:r>
      <w:r w:rsidRPr="00F72558">
        <w:rPr>
          <w:sz w:val="24"/>
          <w:szCs w:val="24"/>
        </w:rPr>
        <w:t>IGF1R3H5-IDS following a</w:t>
      </w:r>
      <w:r w:rsidR="001E127F">
        <w:rPr>
          <w:sz w:val="24"/>
          <w:szCs w:val="24"/>
        </w:rPr>
        <w:t xml:space="preserve">dministration to Wistar rats at </w:t>
      </w:r>
      <w:r w:rsidRPr="00F72558">
        <w:rPr>
          <w:sz w:val="24"/>
          <w:szCs w:val="24"/>
        </w:rPr>
        <w:t>140 nmol/kg.</w:t>
      </w:r>
      <w:r w:rsidR="00FA1350" w:rsidRPr="001E127F">
        <w:rPr>
          <w:sz w:val="24"/>
          <w:szCs w:val="24"/>
        </w:rPr>
        <w:t xml:space="preserve"> Test article levels in serum (</w:t>
      </w:r>
      <w:r w:rsidR="00FA1350" w:rsidRPr="001E127F">
        <w:rPr>
          <w:b/>
          <w:bCs/>
          <w:sz w:val="24"/>
          <w:szCs w:val="24"/>
        </w:rPr>
        <w:t>A</w:t>
      </w:r>
      <w:r w:rsidR="00FA1350" w:rsidRPr="001E127F">
        <w:rPr>
          <w:sz w:val="24"/>
          <w:szCs w:val="24"/>
        </w:rPr>
        <w:t>) and CSF (</w:t>
      </w:r>
      <w:r w:rsidR="00FA1350" w:rsidRPr="001E127F">
        <w:rPr>
          <w:b/>
          <w:bCs/>
          <w:sz w:val="24"/>
          <w:szCs w:val="24"/>
        </w:rPr>
        <w:t>B</w:t>
      </w:r>
      <w:r w:rsidR="00FA1350" w:rsidRPr="001E127F">
        <w:rPr>
          <w:sz w:val="24"/>
          <w:szCs w:val="24"/>
        </w:rPr>
        <w:t>) show that, relative to IDS, IGF1R3H5-IDS-HSA has considerably improved persistence in serum and elevated levels in the CSF. While A20.1-hFc</w:t>
      </w:r>
      <w:r w:rsidR="00A10A51" w:rsidRPr="008B02BE">
        <w:rPr>
          <w:sz w:val="24"/>
          <w:szCs w:val="24"/>
        </w:rPr>
        <w:t xml:space="preserve"> exhibits extended presence in the serum relative to A20.1 VHH, it exhibits only </w:t>
      </w:r>
      <w:r w:rsidR="00A10A51" w:rsidRPr="00387C53">
        <w:rPr>
          <w:sz w:val="24"/>
          <w:szCs w:val="24"/>
        </w:rPr>
        <w:t>marginal brain exposure in CSF.</w:t>
      </w:r>
      <w:r w:rsidR="00594674" w:rsidRPr="00387C53">
        <w:rPr>
          <w:sz w:val="24"/>
          <w:szCs w:val="24"/>
        </w:rPr>
        <w:t xml:space="preserve"> </w:t>
      </w:r>
      <w:r w:rsidRPr="00387C53">
        <w:rPr>
          <w:sz w:val="24"/>
          <w:szCs w:val="24"/>
        </w:rPr>
        <w:t>(</w:t>
      </w:r>
      <w:r w:rsidRPr="00387C53">
        <w:rPr>
          <w:b/>
          <w:bCs/>
          <w:sz w:val="24"/>
          <w:szCs w:val="24"/>
        </w:rPr>
        <w:t>C</w:t>
      </w:r>
      <w:r w:rsidRPr="00387C53">
        <w:rPr>
          <w:sz w:val="24"/>
          <w:szCs w:val="24"/>
        </w:rPr>
        <w:t xml:space="preserve">) </w:t>
      </w:r>
      <w:r w:rsidR="00A10A51" w:rsidRPr="00387C53">
        <w:rPr>
          <w:sz w:val="24"/>
          <w:szCs w:val="24"/>
        </w:rPr>
        <w:t>Levels of the test articles in whole brain 1, 4 and 24 h post-administration. (</w:t>
      </w:r>
      <w:r w:rsidR="00A10A51" w:rsidRPr="00387C53">
        <w:rPr>
          <w:b/>
          <w:bCs/>
          <w:sz w:val="24"/>
          <w:szCs w:val="24"/>
        </w:rPr>
        <w:t>D</w:t>
      </w:r>
      <w:r w:rsidR="00A10A51" w:rsidRPr="00387C53">
        <w:rPr>
          <w:sz w:val="24"/>
          <w:szCs w:val="24"/>
        </w:rPr>
        <w:t xml:space="preserve">) </w:t>
      </w:r>
      <w:r w:rsidRPr="00387C53">
        <w:rPr>
          <w:sz w:val="24"/>
          <w:szCs w:val="24"/>
        </w:rPr>
        <w:t xml:space="preserve">Distribution of </w:t>
      </w:r>
      <w:r w:rsidR="00A10A51" w:rsidRPr="00387C53">
        <w:rPr>
          <w:sz w:val="24"/>
          <w:szCs w:val="24"/>
        </w:rPr>
        <w:t>test articles</w:t>
      </w:r>
      <w:r w:rsidRPr="00387C53">
        <w:rPr>
          <w:sz w:val="24"/>
          <w:szCs w:val="24"/>
        </w:rPr>
        <w:t xml:space="preserve"> in brain fractions at 4 hr post-administration. Marginally detectable levels of IDS, IGFR3H5-IDS-HSA and A20.1-hFc were present in brain vessels, while A20.1 was not detected. While IDS was not detected in brain parenchyma, levels of IGF1R3H5-IDS-HSA were comparable to those observed in wh</w:t>
      </w:r>
      <w:r w:rsidR="002353E4">
        <w:rPr>
          <w:sz w:val="24"/>
          <w:szCs w:val="24"/>
        </w:rPr>
        <w:t>o</w:t>
      </w:r>
      <w:r w:rsidRPr="00387C53">
        <w:rPr>
          <w:sz w:val="24"/>
          <w:szCs w:val="24"/>
        </w:rPr>
        <w:t>le brain. In contrast, only marginal levels of A20.1-hFc were present in brain parenchyma.</w:t>
      </w:r>
    </w:p>
    <w:p w14:paraId="226D03BF" w14:textId="77777777" w:rsidR="005F755C" w:rsidRDefault="005F755C" w:rsidP="00A37B81">
      <w:pPr>
        <w:spacing w:after="0"/>
      </w:pPr>
    </w:p>
    <w:p w14:paraId="28955289" w14:textId="1C38413E" w:rsidR="00A37B81" w:rsidRDefault="00F72558" w:rsidP="00A37B81">
      <w:pPr>
        <w:spacing w:after="0"/>
      </w:pPr>
      <w:r>
        <w:rPr>
          <w:noProof/>
        </w:rPr>
        <w:object w:dxaOrig="11098" w:dyaOrig="7982" w14:anchorId="6A54751E">
          <v:shape id="_x0000_i1028" type="#_x0000_t75" alt="" style="width:465.55pt;height:336.15pt" o:ole="">
            <v:imagedata r:id="rId15" o:title=""/>
          </v:shape>
          <o:OLEObject Type="Embed" ProgID="Prism9.Document" ShapeID="_x0000_i1028" DrawAspect="Content" ObjectID="_1767525866" r:id="rId16"/>
        </w:object>
      </w:r>
    </w:p>
    <w:p w14:paraId="006249A6" w14:textId="77777777" w:rsidR="005F755C" w:rsidRDefault="005F755C">
      <w:pPr>
        <w:rPr>
          <w:b/>
        </w:rPr>
      </w:pPr>
      <w:r>
        <w:rPr>
          <w:b/>
        </w:rPr>
        <w:br w:type="page"/>
      </w:r>
    </w:p>
    <w:p w14:paraId="582CDFDD" w14:textId="22010F9D" w:rsidR="005F755C" w:rsidRDefault="005F755C" w:rsidP="005F755C">
      <w:r>
        <w:rPr>
          <w:b/>
        </w:rPr>
        <w:lastRenderedPageBreak/>
        <w:t xml:space="preserve">Supplemental Figure </w:t>
      </w:r>
      <w:r w:rsidR="004D65ED">
        <w:rPr>
          <w:b/>
        </w:rPr>
        <w:t>6</w:t>
      </w:r>
      <w:r w:rsidRPr="00A06F79">
        <w:rPr>
          <w:b/>
        </w:rPr>
        <w:t>.</w:t>
      </w:r>
      <w:r w:rsidRPr="00A06F79">
        <w:t xml:space="preserve"> </w:t>
      </w:r>
      <w:r>
        <w:t xml:space="preserve">Correlations between whole brain </w:t>
      </w:r>
      <w:r w:rsidRPr="00EA719B">
        <w:t xml:space="preserve">concentrations </w:t>
      </w:r>
      <w:r>
        <w:t>and concentrations in</w:t>
      </w:r>
      <w:r w:rsidRPr="00EA719B">
        <w:t xml:space="preserve"> </w:t>
      </w:r>
      <w:r w:rsidRPr="009D3753">
        <w:t xml:space="preserve">brain </w:t>
      </w:r>
      <w:r w:rsidRPr="00EA719B">
        <w:t xml:space="preserve">parenchyma and vessels. </w:t>
      </w:r>
      <w:r w:rsidR="002B7F89">
        <w:t>Rats</w:t>
      </w:r>
      <w:r>
        <w:t xml:space="preserve"> received a single bolus </w:t>
      </w:r>
      <w:r w:rsidR="002B7F89">
        <w:t xml:space="preserve">i.v. injection </w:t>
      </w:r>
      <w:r>
        <w:t>of equimolar doses of IGF1R3H5-IDS-R28 or A20.1</w:t>
      </w:r>
      <w:r w:rsidR="002B7F89">
        <w:t>-</w:t>
      </w:r>
      <w:r>
        <w:t>hFc. Brain fractions were obtained from the corresponding hemisphere used to determine w</w:t>
      </w:r>
      <w:r w:rsidRPr="00EA719B">
        <w:t>hole brain</w:t>
      </w:r>
      <w:r>
        <w:t xml:space="preserve"> concentrations. Test article concentration were determined by </w:t>
      </w:r>
      <w:r w:rsidRPr="00EA719B">
        <w:t>MRM.</w:t>
      </w:r>
      <w:r>
        <w:t xml:space="preserve"> The figure shows that </w:t>
      </w:r>
      <w:r w:rsidR="00045359">
        <w:t xml:space="preserve">a strong correlation (m = 0.89) between whole brain levels and brain parenchyma was only observed for IGF1R3H5-IDS-R28. </w:t>
      </w:r>
    </w:p>
    <w:p w14:paraId="038C2279" w14:textId="3256A98B" w:rsidR="00A37B81" w:rsidRDefault="0079573E" w:rsidP="00A37B81">
      <w:pPr>
        <w:spacing w:after="0"/>
        <w:rPr>
          <w:b/>
        </w:rPr>
      </w:pPr>
      <w:r>
        <w:rPr>
          <w:noProof/>
        </w:rPr>
        <w:object w:dxaOrig="8705" w:dyaOrig="4121" w14:anchorId="2E51149E">
          <v:shape id="_x0000_i1029" type="#_x0000_t75" alt="" style="width:434.65pt;height:207.15pt" o:ole="">
            <v:imagedata r:id="rId17" o:title=""/>
          </v:shape>
          <o:OLEObject Type="Embed" ProgID="Prism9.Document" ShapeID="_x0000_i1029" DrawAspect="Content" ObjectID="_1767525867" r:id="rId18"/>
        </w:object>
      </w:r>
    </w:p>
    <w:p w14:paraId="29CAA989" w14:textId="77777777" w:rsidR="00387C53" w:rsidRPr="00F72558" w:rsidRDefault="00A37B81" w:rsidP="00387C53">
      <w:pPr>
        <w:spacing w:after="0"/>
        <w:rPr>
          <w:sz w:val="24"/>
          <w:szCs w:val="24"/>
        </w:rPr>
      </w:pPr>
      <w:r>
        <w:rPr>
          <w:u w:val="single"/>
        </w:rPr>
        <w:br w:type="page"/>
      </w:r>
      <w:r w:rsidR="00387C53" w:rsidRPr="00F72558">
        <w:rPr>
          <w:b/>
          <w:sz w:val="24"/>
          <w:szCs w:val="24"/>
        </w:rPr>
        <w:lastRenderedPageBreak/>
        <w:t>Supplemental Table 1.</w:t>
      </w:r>
      <w:r w:rsidR="00387C53" w:rsidRPr="00F72558">
        <w:rPr>
          <w:sz w:val="24"/>
          <w:szCs w:val="24"/>
        </w:rPr>
        <w:t xml:space="preserve"> Molecular weights of protein constructs and peptides used for SRM quantitation. Where constructs contained multiple domains, multiple peptides were quantified to verify that the test article was intact.</w:t>
      </w:r>
    </w:p>
    <w:p w14:paraId="5ED6A617" w14:textId="77777777" w:rsidR="00387C53" w:rsidRPr="00E278C6" w:rsidRDefault="00387C53" w:rsidP="00387C53">
      <w:pPr>
        <w:spacing w:after="0"/>
      </w:pPr>
    </w:p>
    <w:tbl>
      <w:tblPr>
        <w:tblStyle w:val="PlainTable5"/>
        <w:tblW w:w="8601" w:type="dxa"/>
        <w:tblLook w:val="04A0" w:firstRow="1" w:lastRow="0" w:firstColumn="1" w:lastColumn="0" w:noHBand="0" w:noVBand="1"/>
      </w:tblPr>
      <w:tblGrid>
        <w:gridCol w:w="2310"/>
        <w:gridCol w:w="1296"/>
        <w:gridCol w:w="1429"/>
        <w:gridCol w:w="830"/>
        <w:gridCol w:w="2736"/>
      </w:tblGrid>
      <w:tr w:rsidR="00387C53" w:rsidRPr="00E278C6" w14:paraId="4955BAB9" w14:textId="77777777" w:rsidTr="005B5E1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10" w:type="dxa"/>
          </w:tcPr>
          <w:p w14:paraId="6BAE9878" w14:textId="77777777" w:rsidR="00387C53" w:rsidRPr="00E278C6" w:rsidRDefault="00387C53" w:rsidP="005B5E1A">
            <w:pPr>
              <w:spacing w:before="60" w:after="60"/>
              <w:jc w:val="center"/>
              <w:rPr>
                <w:rFonts w:asciiTheme="minorHAnsi" w:hAnsiTheme="minorHAnsi" w:cstheme="minorHAnsi"/>
                <w:b/>
                <w:bCs/>
                <w:i w:val="0"/>
                <w:iCs w:val="0"/>
                <w:sz w:val="22"/>
              </w:rPr>
            </w:pPr>
            <w:r w:rsidRPr="00E278C6">
              <w:rPr>
                <w:rFonts w:asciiTheme="minorHAnsi" w:hAnsiTheme="minorHAnsi" w:cstheme="minorHAnsi"/>
                <w:b/>
                <w:bCs/>
                <w:i w:val="0"/>
                <w:iCs w:val="0"/>
                <w:sz w:val="22"/>
              </w:rPr>
              <w:t>Test Article</w:t>
            </w:r>
          </w:p>
        </w:tc>
        <w:tc>
          <w:tcPr>
            <w:tcW w:w="1296" w:type="dxa"/>
          </w:tcPr>
          <w:p w14:paraId="241C24D0" w14:textId="77777777" w:rsidR="00387C53" w:rsidRPr="00E278C6" w:rsidRDefault="00387C53" w:rsidP="005B5E1A">
            <w:pPr>
              <w:spacing w:before="60" w:after="6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i w:val="0"/>
                <w:iCs w:val="0"/>
                <w:sz w:val="22"/>
              </w:rPr>
            </w:pPr>
            <w:r w:rsidRPr="00E278C6">
              <w:rPr>
                <w:rFonts w:asciiTheme="minorHAnsi" w:hAnsiTheme="minorHAnsi" w:cstheme="minorHAnsi"/>
                <w:b/>
                <w:bCs/>
                <w:i w:val="0"/>
                <w:iCs w:val="0"/>
                <w:sz w:val="22"/>
              </w:rPr>
              <w:t>MW (kDa)</w:t>
            </w:r>
          </w:p>
        </w:tc>
        <w:tc>
          <w:tcPr>
            <w:tcW w:w="1429" w:type="dxa"/>
          </w:tcPr>
          <w:p w14:paraId="66BD04B8" w14:textId="77777777" w:rsidR="00387C53" w:rsidRPr="00E278C6" w:rsidRDefault="00387C53" w:rsidP="005B5E1A">
            <w:pPr>
              <w:spacing w:before="60" w:after="6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i w:val="0"/>
                <w:iCs w:val="0"/>
                <w:sz w:val="22"/>
              </w:rPr>
            </w:pPr>
            <w:r w:rsidRPr="00E278C6">
              <w:rPr>
                <w:rFonts w:asciiTheme="minorHAnsi" w:hAnsiTheme="minorHAnsi" w:cstheme="minorHAnsi"/>
                <w:b/>
                <w:bCs/>
                <w:i w:val="0"/>
                <w:iCs w:val="0"/>
                <w:sz w:val="22"/>
              </w:rPr>
              <w:t>SRM Peptide</w:t>
            </w:r>
          </w:p>
        </w:tc>
        <w:tc>
          <w:tcPr>
            <w:tcW w:w="0" w:type="auto"/>
          </w:tcPr>
          <w:p w14:paraId="7C6AF9C8" w14:textId="77777777" w:rsidR="00387C53" w:rsidRPr="00E278C6" w:rsidRDefault="00387C53" w:rsidP="005B5E1A">
            <w:pPr>
              <w:spacing w:before="60" w:after="6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i w:val="0"/>
                <w:iCs w:val="0"/>
                <w:sz w:val="22"/>
              </w:rPr>
            </w:pPr>
            <w:r w:rsidRPr="00E278C6">
              <w:rPr>
                <w:rFonts w:asciiTheme="minorHAnsi" w:hAnsiTheme="minorHAnsi" w:cstheme="minorHAnsi"/>
                <w:b/>
                <w:bCs/>
                <w:i w:val="0"/>
                <w:iCs w:val="0"/>
                <w:sz w:val="22"/>
              </w:rPr>
              <w:t>m/z</w:t>
            </w:r>
          </w:p>
        </w:tc>
        <w:tc>
          <w:tcPr>
            <w:tcW w:w="2736" w:type="dxa"/>
          </w:tcPr>
          <w:p w14:paraId="2EFD5FEC" w14:textId="77777777" w:rsidR="00387C53" w:rsidRPr="00E278C6" w:rsidRDefault="00387C53" w:rsidP="005B5E1A">
            <w:pPr>
              <w:spacing w:before="60" w:after="6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i w:val="0"/>
                <w:iCs w:val="0"/>
                <w:sz w:val="22"/>
              </w:rPr>
            </w:pPr>
            <w:r w:rsidRPr="00E278C6">
              <w:rPr>
                <w:rFonts w:asciiTheme="minorHAnsi" w:hAnsiTheme="minorHAnsi" w:cstheme="minorHAnsi"/>
                <w:b/>
                <w:bCs/>
                <w:i w:val="0"/>
                <w:iCs w:val="0"/>
                <w:sz w:val="22"/>
              </w:rPr>
              <w:t>Peptide</w:t>
            </w:r>
          </w:p>
        </w:tc>
      </w:tr>
      <w:tr w:rsidR="00387C53" w:rsidRPr="009E66F1" w14:paraId="08A440EF" w14:textId="77777777" w:rsidTr="005B5E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10" w:type="dxa"/>
          </w:tcPr>
          <w:p w14:paraId="78E92AD0" w14:textId="77777777" w:rsidR="00387C53" w:rsidRPr="000E4E84" w:rsidRDefault="00387C53" w:rsidP="005B5E1A">
            <w:pPr>
              <w:spacing w:before="60" w:after="60"/>
              <w:jc w:val="left"/>
              <w:rPr>
                <w:rFonts w:asciiTheme="minorHAnsi" w:hAnsiTheme="minorHAnsi" w:cstheme="minorHAnsi"/>
                <w:i w:val="0"/>
                <w:iCs w:val="0"/>
                <w:sz w:val="22"/>
              </w:rPr>
            </w:pPr>
            <w:r w:rsidRPr="000E4E84">
              <w:rPr>
                <w:rFonts w:asciiTheme="minorHAnsi" w:hAnsiTheme="minorHAnsi" w:cstheme="minorHAnsi"/>
                <w:i w:val="0"/>
                <w:iCs w:val="0"/>
                <w:sz w:val="22"/>
              </w:rPr>
              <w:t>IDS</w:t>
            </w:r>
          </w:p>
        </w:tc>
        <w:tc>
          <w:tcPr>
            <w:tcW w:w="1296" w:type="dxa"/>
          </w:tcPr>
          <w:p w14:paraId="241C6513" w14:textId="77777777" w:rsidR="00387C53" w:rsidRPr="00A32938" w:rsidRDefault="00387C53" w:rsidP="005B5E1A">
            <w:pPr>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61.6</w:t>
            </w:r>
          </w:p>
        </w:tc>
        <w:tc>
          <w:tcPr>
            <w:tcW w:w="1429" w:type="dxa"/>
          </w:tcPr>
          <w:p w14:paraId="705E58F3" w14:textId="77777777" w:rsidR="00387C53" w:rsidRPr="009E66F1" w:rsidRDefault="00387C53" w:rsidP="005B5E1A">
            <w:pPr>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sidRPr="009E66F1">
              <w:rPr>
                <w:rFonts w:cstheme="minorHAnsi"/>
              </w:rPr>
              <w:t>IDS Pep1</w:t>
            </w:r>
          </w:p>
        </w:tc>
        <w:tc>
          <w:tcPr>
            <w:tcW w:w="0" w:type="auto"/>
          </w:tcPr>
          <w:p w14:paraId="6E875451" w14:textId="77777777" w:rsidR="00387C53" w:rsidRPr="009E66F1" w:rsidRDefault="00387C53" w:rsidP="005B5E1A">
            <w:pPr>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sidRPr="009E66F1">
              <w:rPr>
                <w:rFonts w:cstheme="minorHAnsi"/>
              </w:rPr>
              <w:t>910.9</w:t>
            </w:r>
          </w:p>
        </w:tc>
        <w:tc>
          <w:tcPr>
            <w:tcW w:w="2736" w:type="dxa"/>
          </w:tcPr>
          <w:p w14:paraId="58BA92F2" w14:textId="77777777" w:rsidR="00387C53" w:rsidRPr="009E66F1" w:rsidRDefault="00387C53" w:rsidP="005B5E1A">
            <w:pPr>
              <w:spacing w:before="60" w:after="60"/>
              <w:cnfStyle w:val="000000100000" w:firstRow="0" w:lastRow="0" w:firstColumn="0" w:lastColumn="0" w:oddVBand="0" w:evenVBand="0" w:oddHBand="1" w:evenHBand="0" w:firstRowFirstColumn="0" w:firstRowLastColumn="0" w:lastRowFirstColumn="0" w:lastRowLastColumn="0"/>
              <w:rPr>
                <w:rFonts w:cstheme="minorHAnsi"/>
              </w:rPr>
            </w:pPr>
            <w:r w:rsidRPr="009E66F1">
              <w:rPr>
                <w:rFonts w:cstheme="minorHAnsi"/>
              </w:rPr>
              <w:t>QSYFASVSYLDTQVGR</w:t>
            </w:r>
          </w:p>
        </w:tc>
      </w:tr>
      <w:tr w:rsidR="00387C53" w:rsidRPr="009E66F1" w14:paraId="62A8EDFD" w14:textId="77777777" w:rsidTr="005B5E1A">
        <w:tc>
          <w:tcPr>
            <w:cnfStyle w:val="001000000000" w:firstRow="0" w:lastRow="0" w:firstColumn="1" w:lastColumn="0" w:oddVBand="0" w:evenVBand="0" w:oddHBand="0" w:evenHBand="0" w:firstRowFirstColumn="0" w:firstRowLastColumn="0" w:lastRowFirstColumn="0" w:lastRowLastColumn="0"/>
            <w:tcW w:w="2310" w:type="dxa"/>
          </w:tcPr>
          <w:p w14:paraId="205BBD55" w14:textId="77777777" w:rsidR="00387C53" w:rsidRPr="000E4E84" w:rsidRDefault="00387C53" w:rsidP="005B5E1A">
            <w:pPr>
              <w:tabs>
                <w:tab w:val="center" w:pos="1121"/>
              </w:tabs>
              <w:spacing w:before="60" w:after="60"/>
              <w:jc w:val="left"/>
              <w:rPr>
                <w:rFonts w:asciiTheme="minorHAnsi" w:hAnsiTheme="minorHAnsi" w:cstheme="minorHAnsi"/>
                <w:i w:val="0"/>
                <w:iCs w:val="0"/>
                <w:sz w:val="22"/>
              </w:rPr>
            </w:pPr>
            <w:r w:rsidRPr="000E4E84">
              <w:rPr>
                <w:rFonts w:asciiTheme="minorHAnsi" w:hAnsiTheme="minorHAnsi" w:cstheme="minorHAnsi"/>
                <w:i w:val="0"/>
                <w:iCs w:val="0"/>
                <w:sz w:val="22"/>
              </w:rPr>
              <w:t>FC5-IDS</w:t>
            </w:r>
          </w:p>
        </w:tc>
        <w:tc>
          <w:tcPr>
            <w:tcW w:w="1296" w:type="dxa"/>
          </w:tcPr>
          <w:p w14:paraId="7A7B3BAB" w14:textId="77777777" w:rsidR="00387C53" w:rsidRPr="00A32938" w:rsidRDefault="00387C53" w:rsidP="005B5E1A">
            <w:pPr>
              <w:tabs>
                <w:tab w:val="center" w:pos="1121"/>
              </w:tabs>
              <w:spacing w:before="60" w:after="60"/>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76.7</w:t>
            </w:r>
          </w:p>
        </w:tc>
        <w:tc>
          <w:tcPr>
            <w:tcW w:w="1429" w:type="dxa"/>
          </w:tcPr>
          <w:p w14:paraId="64AD0E7F" w14:textId="77777777" w:rsidR="00387C53" w:rsidRPr="009E66F1" w:rsidRDefault="00387C53" w:rsidP="005B5E1A">
            <w:pPr>
              <w:tabs>
                <w:tab w:val="center" w:pos="1121"/>
              </w:tabs>
              <w:spacing w:before="60" w:after="60"/>
              <w:jc w:val="center"/>
              <w:cnfStyle w:val="000000000000" w:firstRow="0" w:lastRow="0" w:firstColumn="0" w:lastColumn="0" w:oddVBand="0" w:evenVBand="0" w:oddHBand="0" w:evenHBand="0" w:firstRowFirstColumn="0" w:firstRowLastColumn="0" w:lastRowFirstColumn="0" w:lastRowLastColumn="0"/>
              <w:rPr>
                <w:rFonts w:cstheme="minorHAnsi"/>
              </w:rPr>
            </w:pPr>
            <w:r w:rsidRPr="009E66F1">
              <w:rPr>
                <w:rFonts w:cstheme="minorHAnsi"/>
              </w:rPr>
              <w:t>FC5 Pep1</w:t>
            </w:r>
          </w:p>
        </w:tc>
        <w:tc>
          <w:tcPr>
            <w:tcW w:w="0" w:type="auto"/>
          </w:tcPr>
          <w:p w14:paraId="5E12163F" w14:textId="77777777" w:rsidR="00387C53" w:rsidRPr="009E66F1" w:rsidRDefault="00387C53" w:rsidP="005B5E1A">
            <w:pPr>
              <w:spacing w:before="60" w:after="60"/>
              <w:jc w:val="center"/>
              <w:cnfStyle w:val="000000000000" w:firstRow="0" w:lastRow="0" w:firstColumn="0" w:lastColumn="0" w:oddVBand="0" w:evenVBand="0" w:oddHBand="0" w:evenHBand="0" w:firstRowFirstColumn="0" w:firstRowLastColumn="0" w:lastRowFirstColumn="0" w:lastRowLastColumn="0"/>
              <w:rPr>
                <w:rFonts w:cstheme="minorHAnsi"/>
              </w:rPr>
            </w:pPr>
            <w:r w:rsidRPr="009E66F1">
              <w:rPr>
                <w:rFonts w:cstheme="minorHAnsi"/>
              </w:rPr>
              <w:t>844.9</w:t>
            </w:r>
          </w:p>
        </w:tc>
        <w:tc>
          <w:tcPr>
            <w:tcW w:w="2736" w:type="dxa"/>
          </w:tcPr>
          <w:p w14:paraId="76EC4F3E" w14:textId="77777777" w:rsidR="00387C53" w:rsidRPr="009E66F1" w:rsidRDefault="00387C53" w:rsidP="005B5E1A">
            <w:pPr>
              <w:spacing w:before="60" w:after="60"/>
              <w:cnfStyle w:val="000000000000" w:firstRow="0" w:lastRow="0" w:firstColumn="0" w:lastColumn="0" w:oddVBand="0" w:evenVBand="0" w:oddHBand="0" w:evenHBand="0" w:firstRowFirstColumn="0" w:firstRowLastColumn="0" w:lastRowFirstColumn="0" w:lastRowLastColumn="0"/>
              <w:rPr>
                <w:rFonts w:cstheme="minorHAnsi"/>
              </w:rPr>
            </w:pPr>
            <w:r w:rsidRPr="009E66F1">
              <w:rPr>
                <w:rFonts w:cstheme="minorHAnsi"/>
              </w:rPr>
              <w:t>ITWGGDNTFYSNSVK</w:t>
            </w:r>
          </w:p>
        </w:tc>
      </w:tr>
      <w:tr w:rsidR="00387C53" w:rsidRPr="009E66F1" w14:paraId="777D91E1" w14:textId="77777777" w:rsidTr="005B5E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10" w:type="dxa"/>
          </w:tcPr>
          <w:p w14:paraId="05BEF57B" w14:textId="77777777" w:rsidR="00387C53" w:rsidRPr="000E4E84" w:rsidRDefault="00387C53" w:rsidP="005B5E1A">
            <w:pPr>
              <w:spacing w:before="60" w:after="60"/>
              <w:jc w:val="left"/>
              <w:rPr>
                <w:rFonts w:asciiTheme="minorHAnsi" w:hAnsiTheme="minorHAnsi" w:cstheme="minorHAnsi"/>
                <w:i w:val="0"/>
                <w:iCs w:val="0"/>
                <w:sz w:val="22"/>
              </w:rPr>
            </w:pPr>
            <w:r w:rsidRPr="000E4E84">
              <w:rPr>
                <w:rFonts w:asciiTheme="minorHAnsi" w:hAnsiTheme="minorHAnsi" w:cstheme="minorHAnsi"/>
                <w:i w:val="0"/>
                <w:iCs w:val="0"/>
                <w:sz w:val="22"/>
              </w:rPr>
              <w:t>IGF1R5H2-monoFc-IDS</w:t>
            </w:r>
          </w:p>
        </w:tc>
        <w:tc>
          <w:tcPr>
            <w:tcW w:w="1296" w:type="dxa"/>
          </w:tcPr>
          <w:p w14:paraId="09DC18BF" w14:textId="77777777" w:rsidR="00387C53" w:rsidRPr="00A32938" w:rsidRDefault="00387C53" w:rsidP="005B5E1A">
            <w:pPr>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100.1</w:t>
            </w:r>
          </w:p>
        </w:tc>
        <w:tc>
          <w:tcPr>
            <w:tcW w:w="1429" w:type="dxa"/>
          </w:tcPr>
          <w:p w14:paraId="5BAE1F8B" w14:textId="77777777" w:rsidR="00387C53" w:rsidRPr="009E66F1" w:rsidRDefault="00387C53" w:rsidP="005B5E1A">
            <w:pPr>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sidRPr="009E66F1">
              <w:rPr>
                <w:rFonts w:cstheme="minorHAnsi"/>
              </w:rPr>
              <w:t>IR5H2 Pep1</w:t>
            </w:r>
          </w:p>
        </w:tc>
        <w:tc>
          <w:tcPr>
            <w:tcW w:w="0" w:type="auto"/>
          </w:tcPr>
          <w:p w14:paraId="41FCEE43" w14:textId="77777777" w:rsidR="00387C53" w:rsidRPr="009E66F1" w:rsidRDefault="00387C53" w:rsidP="005B5E1A">
            <w:pPr>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sidRPr="009E66F1">
              <w:rPr>
                <w:rFonts w:cstheme="minorHAnsi"/>
              </w:rPr>
              <w:t>866.9</w:t>
            </w:r>
          </w:p>
        </w:tc>
        <w:tc>
          <w:tcPr>
            <w:tcW w:w="2736" w:type="dxa"/>
          </w:tcPr>
          <w:p w14:paraId="1F4D6738" w14:textId="77777777" w:rsidR="00387C53" w:rsidRPr="009E66F1" w:rsidRDefault="00387C53" w:rsidP="005B5E1A">
            <w:pPr>
              <w:spacing w:before="60" w:after="60"/>
              <w:cnfStyle w:val="000000100000" w:firstRow="0" w:lastRow="0" w:firstColumn="0" w:lastColumn="0" w:oddVBand="0" w:evenVBand="0" w:oddHBand="1" w:evenHBand="0" w:firstRowFirstColumn="0" w:firstRowLastColumn="0" w:lastRowFirstColumn="0" w:lastRowLastColumn="0"/>
              <w:rPr>
                <w:rFonts w:cstheme="minorHAnsi"/>
              </w:rPr>
            </w:pPr>
            <w:r w:rsidRPr="009E66F1">
              <w:rPr>
                <w:rFonts w:cstheme="minorHAnsi"/>
              </w:rPr>
              <w:t>GLEWVATIDWGDGGTR</w:t>
            </w:r>
          </w:p>
        </w:tc>
      </w:tr>
      <w:tr w:rsidR="00387C53" w:rsidRPr="009E66F1" w14:paraId="4A68050A" w14:textId="77777777" w:rsidTr="005B5E1A">
        <w:tc>
          <w:tcPr>
            <w:cnfStyle w:val="001000000000" w:firstRow="0" w:lastRow="0" w:firstColumn="1" w:lastColumn="0" w:oddVBand="0" w:evenVBand="0" w:oddHBand="0" w:evenHBand="0" w:firstRowFirstColumn="0" w:firstRowLastColumn="0" w:lastRowFirstColumn="0" w:lastRowLastColumn="0"/>
            <w:tcW w:w="2310" w:type="dxa"/>
          </w:tcPr>
          <w:p w14:paraId="275249F8" w14:textId="77777777" w:rsidR="00387C53" w:rsidRPr="000E4E84" w:rsidRDefault="00387C53" w:rsidP="005B5E1A">
            <w:pPr>
              <w:tabs>
                <w:tab w:val="center" w:pos="1121"/>
              </w:tabs>
              <w:spacing w:before="60" w:after="60"/>
              <w:jc w:val="left"/>
              <w:rPr>
                <w:rFonts w:asciiTheme="minorHAnsi" w:hAnsiTheme="minorHAnsi" w:cstheme="minorHAnsi"/>
                <w:i w:val="0"/>
                <w:iCs w:val="0"/>
                <w:sz w:val="22"/>
              </w:rPr>
            </w:pPr>
            <w:r w:rsidRPr="000E4E84">
              <w:rPr>
                <w:rFonts w:asciiTheme="minorHAnsi" w:hAnsiTheme="minorHAnsi" w:cstheme="minorHAnsi"/>
                <w:i w:val="0"/>
                <w:iCs w:val="0"/>
                <w:sz w:val="22"/>
              </w:rPr>
              <w:t>IGF1R3H5-IDS</w:t>
            </w:r>
          </w:p>
        </w:tc>
        <w:tc>
          <w:tcPr>
            <w:tcW w:w="1296" w:type="dxa"/>
          </w:tcPr>
          <w:p w14:paraId="1AEC71DC" w14:textId="77777777" w:rsidR="00387C53" w:rsidRPr="00A32938" w:rsidRDefault="00387C53" w:rsidP="005B5E1A">
            <w:pPr>
              <w:tabs>
                <w:tab w:val="center" w:pos="1121"/>
              </w:tabs>
              <w:spacing w:before="60" w:after="60"/>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78.7</w:t>
            </w:r>
          </w:p>
        </w:tc>
        <w:tc>
          <w:tcPr>
            <w:tcW w:w="1429" w:type="dxa"/>
          </w:tcPr>
          <w:p w14:paraId="7BD8B253" w14:textId="77777777" w:rsidR="00387C53" w:rsidRPr="009E66F1" w:rsidRDefault="00387C53" w:rsidP="005B5E1A">
            <w:pPr>
              <w:tabs>
                <w:tab w:val="center" w:pos="1121"/>
              </w:tabs>
              <w:spacing w:before="60" w:after="60"/>
              <w:jc w:val="center"/>
              <w:cnfStyle w:val="000000000000" w:firstRow="0" w:lastRow="0" w:firstColumn="0" w:lastColumn="0" w:oddVBand="0" w:evenVBand="0" w:oddHBand="0" w:evenHBand="0" w:firstRowFirstColumn="0" w:firstRowLastColumn="0" w:lastRowFirstColumn="0" w:lastRowLastColumn="0"/>
              <w:rPr>
                <w:rFonts w:cstheme="minorHAnsi"/>
              </w:rPr>
            </w:pPr>
            <w:r w:rsidRPr="009E66F1">
              <w:rPr>
                <w:rFonts w:cstheme="minorHAnsi"/>
              </w:rPr>
              <w:t>IR3H5 Pep1</w:t>
            </w:r>
          </w:p>
        </w:tc>
        <w:tc>
          <w:tcPr>
            <w:tcW w:w="0" w:type="auto"/>
          </w:tcPr>
          <w:p w14:paraId="433E1D34" w14:textId="77777777" w:rsidR="00387C53" w:rsidRPr="009E66F1" w:rsidRDefault="00387C53" w:rsidP="005B5E1A">
            <w:pPr>
              <w:spacing w:before="60" w:after="60"/>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941.4</w:t>
            </w:r>
          </w:p>
        </w:tc>
        <w:tc>
          <w:tcPr>
            <w:tcW w:w="2736" w:type="dxa"/>
          </w:tcPr>
          <w:p w14:paraId="40F321E4" w14:textId="77777777" w:rsidR="00387C53" w:rsidRPr="009E66F1" w:rsidRDefault="00387C53" w:rsidP="005B5E1A">
            <w:pPr>
              <w:spacing w:before="60" w:after="60"/>
              <w:cnfStyle w:val="000000000000" w:firstRow="0" w:lastRow="0" w:firstColumn="0" w:lastColumn="0" w:oddVBand="0" w:evenVBand="0" w:oddHBand="0" w:evenHBand="0" w:firstRowFirstColumn="0" w:firstRowLastColumn="0" w:lastRowFirstColumn="0" w:lastRowLastColumn="0"/>
              <w:rPr>
                <w:rFonts w:cstheme="minorHAnsi"/>
              </w:rPr>
            </w:pPr>
            <w:r w:rsidRPr="009E66F1">
              <w:rPr>
                <w:rFonts w:cstheme="minorHAnsi"/>
              </w:rPr>
              <w:t>EVQLVESGGGLVQPGGSLR</w:t>
            </w:r>
          </w:p>
        </w:tc>
      </w:tr>
      <w:tr w:rsidR="00387C53" w:rsidRPr="009E66F1" w14:paraId="39450555" w14:textId="77777777" w:rsidTr="005B5E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10" w:type="dxa"/>
          </w:tcPr>
          <w:p w14:paraId="139628FA" w14:textId="77777777" w:rsidR="00387C53" w:rsidRPr="000E4E84" w:rsidRDefault="00387C53" w:rsidP="005B5E1A">
            <w:pPr>
              <w:tabs>
                <w:tab w:val="center" w:pos="1121"/>
              </w:tabs>
              <w:spacing w:before="60" w:after="60"/>
              <w:jc w:val="left"/>
              <w:rPr>
                <w:rFonts w:asciiTheme="minorHAnsi" w:hAnsiTheme="minorHAnsi" w:cstheme="minorHAnsi"/>
                <w:i w:val="0"/>
                <w:iCs w:val="0"/>
                <w:sz w:val="22"/>
              </w:rPr>
            </w:pPr>
            <w:r w:rsidRPr="000E4E84">
              <w:rPr>
                <w:rFonts w:asciiTheme="minorHAnsi" w:hAnsiTheme="minorHAnsi" w:cstheme="minorHAnsi"/>
                <w:i w:val="0"/>
                <w:iCs w:val="0"/>
                <w:sz w:val="22"/>
              </w:rPr>
              <w:t>IGF1R3H5-IDS-HSA</w:t>
            </w:r>
          </w:p>
        </w:tc>
        <w:tc>
          <w:tcPr>
            <w:tcW w:w="1296" w:type="dxa"/>
          </w:tcPr>
          <w:p w14:paraId="02AEB838" w14:textId="77777777" w:rsidR="00387C53" w:rsidRPr="00A32938" w:rsidRDefault="00387C53" w:rsidP="005B5E1A">
            <w:pPr>
              <w:tabs>
                <w:tab w:val="center" w:pos="1121"/>
              </w:tabs>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142.7</w:t>
            </w:r>
          </w:p>
        </w:tc>
        <w:tc>
          <w:tcPr>
            <w:tcW w:w="1429" w:type="dxa"/>
          </w:tcPr>
          <w:p w14:paraId="03DDF512" w14:textId="77777777" w:rsidR="00387C53" w:rsidRPr="009E66F1" w:rsidRDefault="00387C53" w:rsidP="005B5E1A">
            <w:pPr>
              <w:tabs>
                <w:tab w:val="center" w:pos="1121"/>
              </w:tabs>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sidRPr="009E66F1">
              <w:rPr>
                <w:rFonts w:cstheme="minorHAnsi"/>
              </w:rPr>
              <w:t>HSA Pep1</w:t>
            </w:r>
          </w:p>
        </w:tc>
        <w:tc>
          <w:tcPr>
            <w:tcW w:w="0" w:type="auto"/>
          </w:tcPr>
          <w:p w14:paraId="750F53E8" w14:textId="77777777" w:rsidR="00387C53" w:rsidRPr="009E66F1" w:rsidRDefault="00387C53" w:rsidP="005B5E1A">
            <w:pPr>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722.3</w:t>
            </w:r>
          </w:p>
        </w:tc>
        <w:tc>
          <w:tcPr>
            <w:tcW w:w="2736" w:type="dxa"/>
          </w:tcPr>
          <w:p w14:paraId="6812EE18" w14:textId="77777777" w:rsidR="00387C53" w:rsidRPr="009E66F1" w:rsidRDefault="00387C53" w:rsidP="005B5E1A">
            <w:pPr>
              <w:spacing w:before="60" w:after="60"/>
              <w:cnfStyle w:val="000000100000" w:firstRow="0" w:lastRow="0" w:firstColumn="0" w:lastColumn="0" w:oddVBand="0" w:evenVBand="0" w:oddHBand="1" w:evenHBand="0" w:firstRowFirstColumn="0" w:firstRowLastColumn="0" w:lastRowFirstColumn="0" w:lastRowLastColumn="0"/>
              <w:rPr>
                <w:rFonts w:cstheme="minorHAnsi"/>
              </w:rPr>
            </w:pPr>
            <w:r w:rsidRPr="009E66F1">
              <w:rPr>
                <w:rFonts w:cstheme="minorHAnsi"/>
              </w:rPr>
              <w:t>VPQVSTPTLVEVSR</w:t>
            </w:r>
          </w:p>
        </w:tc>
      </w:tr>
      <w:tr w:rsidR="00387C53" w:rsidRPr="009E66F1" w14:paraId="25ED2986" w14:textId="77777777" w:rsidTr="005B5E1A">
        <w:tc>
          <w:tcPr>
            <w:cnfStyle w:val="001000000000" w:firstRow="0" w:lastRow="0" w:firstColumn="1" w:lastColumn="0" w:oddVBand="0" w:evenVBand="0" w:oddHBand="0" w:evenHBand="0" w:firstRowFirstColumn="0" w:firstRowLastColumn="0" w:lastRowFirstColumn="0" w:lastRowLastColumn="0"/>
            <w:tcW w:w="2310" w:type="dxa"/>
          </w:tcPr>
          <w:p w14:paraId="27EA55F6" w14:textId="77777777" w:rsidR="00387C53" w:rsidRPr="000E4E84" w:rsidRDefault="00387C53" w:rsidP="005B5E1A">
            <w:pPr>
              <w:tabs>
                <w:tab w:val="center" w:pos="1121"/>
              </w:tabs>
              <w:spacing w:before="60" w:after="60"/>
              <w:jc w:val="left"/>
              <w:rPr>
                <w:rFonts w:asciiTheme="minorHAnsi" w:hAnsiTheme="minorHAnsi" w:cstheme="minorHAnsi"/>
                <w:i w:val="0"/>
                <w:iCs w:val="0"/>
                <w:sz w:val="22"/>
              </w:rPr>
            </w:pPr>
            <w:r w:rsidRPr="000E4E84">
              <w:rPr>
                <w:rFonts w:asciiTheme="minorHAnsi" w:hAnsiTheme="minorHAnsi" w:cstheme="minorHAnsi"/>
                <w:i w:val="0"/>
                <w:iCs w:val="0"/>
                <w:sz w:val="22"/>
              </w:rPr>
              <w:t>IGF1R3H5-IDS-R28</w:t>
            </w:r>
          </w:p>
        </w:tc>
        <w:tc>
          <w:tcPr>
            <w:tcW w:w="1296" w:type="dxa"/>
          </w:tcPr>
          <w:p w14:paraId="63F08E2A" w14:textId="77777777" w:rsidR="00387C53" w:rsidRPr="00A32938" w:rsidRDefault="00387C53" w:rsidP="005B5E1A">
            <w:pPr>
              <w:tabs>
                <w:tab w:val="center" w:pos="1121"/>
              </w:tabs>
              <w:spacing w:before="60" w:after="60"/>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91.1</w:t>
            </w:r>
          </w:p>
        </w:tc>
        <w:tc>
          <w:tcPr>
            <w:tcW w:w="1429" w:type="dxa"/>
          </w:tcPr>
          <w:p w14:paraId="1E8ACC42" w14:textId="77777777" w:rsidR="00387C53" w:rsidRPr="009E66F1" w:rsidRDefault="00387C53" w:rsidP="005B5E1A">
            <w:pPr>
              <w:tabs>
                <w:tab w:val="center" w:pos="1121"/>
              </w:tabs>
              <w:spacing w:before="60" w:after="60"/>
              <w:jc w:val="center"/>
              <w:cnfStyle w:val="000000000000" w:firstRow="0" w:lastRow="0" w:firstColumn="0" w:lastColumn="0" w:oddVBand="0" w:evenVBand="0" w:oddHBand="0" w:evenHBand="0" w:firstRowFirstColumn="0" w:firstRowLastColumn="0" w:lastRowFirstColumn="0" w:lastRowLastColumn="0"/>
              <w:rPr>
                <w:rFonts w:cstheme="minorHAnsi"/>
              </w:rPr>
            </w:pPr>
            <w:r w:rsidRPr="009E66F1">
              <w:rPr>
                <w:rFonts w:cstheme="minorHAnsi"/>
              </w:rPr>
              <w:t>R28 Pep1</w:t>
            </w:r>
          </w:p>
        </w:tc>
        <w:tc>
          <w:tcPr>
            <w:tcW w:w="0" w:type="auto"/>
          </w:tcPr>
          <w:p w14:paraId="4DCAC223" w14:textId="77777777" w:rsidR="00387C53" w:rsidRPr="009E66F1" w:rsidRDefault="00387C53" w:rsidP="005B5E1A">
            <w:pPr>
              <w:spacing w:before="60" w:after="60"/>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1113</w:t>
            </w:r>
          </w:p>
        </w:tc>
        <w:tc>
          <w:tcPr>
            <w:tcW w:w="2736" w:type="dxa"/>
          </w:tcPr>
          <w:p w14:paraId="7686A176" w14:textId="77777777" w:rsidR="00387C53" w:rsidRPr="009E66F1" w:rsidRDefault="00387C53" w:rsidP="005B5E1A">
            <w:pPr>
              <w:spacing w:before="60" w:after="60"/>
              <w:cnfStyle w:val="000000000000" w:firstRow="0" w:lastRow="0" w:firstColumn="0" w:lastColumn="0" w:oddVBand="0" w:evenVBand="0" w:oddHBand="0" w:evenHBand="0" w:firstRowFirstColumn="0" w:firstRowLastColumn="0" w:lastRowFirstColumn="0" w:lastRowLastColumn="0"/>
              <w:rPr>
                <w:rFonts w:cstheme="minorHAnsi"/>
              </w:rPr>
            </w:pPr>
            <w:r w:rsidRPr="009E66F1">
              <w:rPr>
                <w:rFonts w:cstheme="minorHAnsi"/>
              </w:rPr>
              <w:t>EFVAAITNFAGGTTYYADSVK</w:t>
            </w:r>
          </w:p>
        </w:tc>
      </w:tr>
      <w:tr w:rsidR="00387C53" w:rsidRPr="009E66F1" w14:paraId="40C9B3A9" w14:textId="77777777" w:rsidTr="005B5E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10" w:type="dxa"/>
          </w:tcPr>
          <w:p w14:paraId="165EC4B0" w14:textId="77777777" w:rsidR="00387C53" w:rsidRPr="000E4E84" w:rsidRDefault="00387C53" w:rsidP="005B5E1A">
            <w:pPr>
              <w:tabs>
                <w:tab w:val="center" w:pos="1121"/>
              </w:tabs>
              <w:spacing w:before="60" w:after="60"/>
              <w:jc w:val="left"/>
              <w:rPr>
                <w:rFonts w:asciiTheme="minorHAnsi" w:hAnsiTheme="minorHAnsi" w:cstheme="minorHAnsi"/>
                <w:i w:val="0"/>
                <w:iCs w:val="0"/>
                <w:sz w:val="22"/>
              </w:rPr>
            </w:pPr>
            <w:r w:rsidRPr="000E4E84">
              <w:rPr>
                <w:rFonts w:asciiTheme="minorHAnsi" w:hAnsiTheme="minorHAnsi" w:cstheme="minorHAnsi"/>
                <w:i w:val="0"/>
                <w:iCs w:val="0"/>
                <w:sz w:val="22"/>
              </w:rPr>
              <w:t>IGF1R3H5-IDS-M79</w:t>
            </w:r>
          </w:p>
        </w:tc>
        <w:tc>
          <w:tcPr>
            <w:tcW w:w="1296" w:type="dxa"/>
          </w:tcPr>
          <w:p w14:paraId="4CAC4098" w14:textId="77777777" w:rsidR="00387C53" w:rsidRPr="00A32938" w:rsidRDefault="00387C53" w:rsidP="005B5E1A">
            <w:pPr>
              <w:tabs>
                <w:tab w:val="center" w:pos="1121"/>
              </w:tabs>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90.7</w:t>
            </w:r>
          </w:p>
        </w:tc>
        <w:tc>
          <w:tcPr>
            <w:tcW w:w="1429" w:type="dxa"/>
          </w:tcPr>
          <w:p w14:paraId="0736EAF4" w14:textId="77777777" w:rsidR="00387C53" w:rsidRPr="009E66F1" w:rsidRDefault="00387C53" w:rsidP="005B5E1A">
            <w:pPr>
              <w:tabs>
                <w:tab w:val="center" w:pos="1121"/>
              </w:tabs>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sidRPr="009E66F1">
              <w:rPr>
                <w:rFonts w:cstheme="minorHAnsi"/>
              </w:rPr>
              <w:t>M79 Pep1</w:t>
            </w:r>
          </w:p>
        </w:tc>
        <w:tc>
          <w:tcPr>
            <w:tcW w:w="0" w:type="auto"/>
          </w:tcPr>
          <w:p w14:paraId="60E03D0C" w14:textId="77777777" w:rsidR="00387C53" w:rsidRPr="009E66F1" w:rsidRDefault="00387C53" w:rsidP="005B5E1A">
            <w:pPr>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1005.4</w:t>
            </w:r>
          </w:p>
        </w:tc>
        <w:tc>
          <w:tcPr>
            <w:tcW w:w="2736" w:type="dxa"/>
          </w:tcPr>
          <w:p w14:paraId="1592EE39" w14:textId="77777777" w:rsidR="00387C53" w:rsidRPr="009E66F1" w:rsidRDefault="00387C53" w:rsidP="005B5E1A">
            <w:pPr>
              <w:spacing w:before="60" w:after="60"/>
              <w:cnfStyle w:val="000000100000" w:firstRow="0" w:lastRow="0" w:firstColumn="0" w:lastColumn="0" w:oddVBand="0" w:evenVBand="0" w:oddHBand="1" w:evenHBand="0" w:firstRowFirstColumn="0" w:firstRowLastColumn="0" w:lastRowFirstColumn="0" w:lastRowLastColumn="0"/>
              <w:rPr>
                <w:rFonts w:cstheme="minorHAnsi"/>
              </w:rPr>
            </w:pPr>
            <w:r w:rsidRPr="00BE5505">
              <w:rPr>
                <w:rFonts w:cstheme="minorHAnsi"/>
              </w:rPr>
              <w:t>LSCAASGSTFSSSSVGWYR</w:t>
            </w:r>
          </w:p>
        </w:tc>
      </w:tr>
      <w:tr w:rsidR="00387C53" w:rsidRPr="009E66F1" w14:paraId="030BF9A6" w14:textId="77777777" w:rsidTr="005B5E1A">
        <w:tc>
          <w:tcPr>
            <w:cnfStyle w:val="001000000000" w:firstRow="0" w:lastRow="0" w:firstColumn="1" w:lastColumn="0" w:oddVBand="0" w:evenVBand="0" w:oddHBand="0" w:evenHBand="0" w:firstRowFirstColumn="0" w:firstRowLastColumn="0" w:lastRowFirstColumn="0" w:lastRowLastColumn="0"/>
            <w:tcW w:w="2310" w:type="dxa"/>
          </w:tcPr>
          <w:p w14:paraId="14FE21A7" w14:textId="77777777" w:rsidR="00387C53" w:rsidRPr="000E4E84" w:rsidRDefault="00387C53" w:rsidP="005B5E1A">
            <w:pPr>
              <w:tabs>
                <w:tab w:val="center" w:pos="1121"/>
              </w:tabs>
              <w:spacing w:before="60" w:after="60"/>
              <w:jc w:val="left"/>
              <w:rPr>
                <w:rFonts w:asciiTheme="minorHAnsi" w:hAnsiTheme="minorHAnsi" w:cstheme="minorHAnsi"/>
                <w:i w:val="0"/>
                <w:iCs w:val="0"/>
                <w:sz w:val="22"/>
              </w:rPr>
            </w:pPr>
            <w:r w:rsidRPr="000E4E84">
              <w:rPr>
                <w:rFonts w:asciiTheme="minorHAnsi" w:hAnsiTheme="minorHAnsi" w:cstheme="minorHAnsi"/>
                <w:i w:val="0"/>
                <w:iCs w:val="0"/>
                <w:sz w:val="22"/>
              </w:rPr>
              <w:t xml:space="preserve">A20.1 </w:t>
            </w:r>
          </w:p>
        </w:tc>
        <w:tc>
          <w:tcPr>
            <w:tcW w:w="1296" w:type="dxa"/>
          </w:tcPr>
          <w:p w14:paraId="745DD38A" w14:textId="77777777" w:rsidR="00387C53" w:rsidRPr="00A32938" w:rsidRDefault="00387C53" w:rsidP="005B5E1A">
            <w:pPr>
              <w:tabs>
                <w:tab w:val="center" w:pos="1121"/>
              </w:tabs>
              <w:spacing w:before="60" w:after="60"/>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13.4</w:t>
            </w:r>
          </w:p>
        </w:tc>
        <w:tc>
          <w:tcPr>
            <w:tcW w:w="1429" w:type="dxa"/>
          </w:tcPr>
          <w:p w14:paraId="4E894719" w14:textId="77777777" w:rsidR="00387C53" w:rsidRPr="009E66F1" w:rsidRDefault="00387C53" w:rsidP="005B5E1A">
            <w:pPr>
              <w:tabs>
                <w:tab w:val="center" w:pos="1121"/>
              </w:tabs>
              <w:spacing w:before="60" w:after="60"/>
              <w:jc w:val="center"/>
              <w:cnfStyle w:val="000000000000" w:firstRow="0" w:lastRow="0" w:firstColumn="0" w:lastColumn="0" w:oddVBand="0" w:evenVBand="0" w:oddHBand="0" w:evenHBand="0" w:firstRowFirstColumn="0" w:firstRowLastColumn="0" w:lastRowFirstColumn="0" w:lastRowLastColumn="0"/>
              <w:rPr>
                <w:rFonts w:cstheme="minorHAnsi"/>
              </w:rPr>
            </w:pPr>
            <w:r w:rsidRPr="009E66F1">
              <w:rPr>
                <w:rFonts w:cstheme="minorHAnsi"/>
              </w:rPr>
              <w:t>A20.1 Pep1</w:t>
            </w:r>
          </w:p>
        </w:tc>
        <w:tc>
          <w:tcPr>
            <w:tcW w:w="0" w:type="auto"/>
          </w:tcPr>
          <w:p w14:paraId="03796E91" w14:textId="77777777" w:rsidR="00387C53" w:rsidRPr="009E66F1" w:rsidRDefault="00387C53" w:rsidP="005B5E1A">
            <w:pPr>
              <w:spacing w:before="60" w:after="60"/>
              <w:jc w:val="center"/>
              <w:cnfStyle w:val="000000000000" w:firstRow="0" w:lastRow="0" w:firstColumn="0" w:lastColumn="0" w:oddVBand="0" w:evenVBand="0" w:oddHBand="0" w:evenHBand="0" w:firstRowFirstColumn="0" w:firstRowLastColumn="0" w:lastRowFirstColumn="0" w:lastRowLastColumn="0"/>
              <w:rPr>
                <w:rFonts w:cstheme="minorHAnsi"/>
              </w:rPr>
            </w:pPr>
            <w:r w:rsidRPr="009E66F1">
              <w:rPr>
                <w:rFonts w:cstheme="minorHAnsi"/>
              </w:rPr>
              <w:t>541.3</w:t>
            </w:r>
          </w:p>
        </w:tc>
        <w:tc>
          <w:tcPr>
            <w:tcW w:w="2736" w:type="dxa"/>
          </w:tcPr>
          <w:p w14:paraId="6493540A" w14:textId="77777777" w:rsidR="00387C53" w:rsidRPr="009E66F1" w:rsidRDefault="00387C53" w:rsidP="005B5E1A">
            <w:pPr>
              <w:spacing w:before="60" w:after="60"/>
              <w:cnfStyle w:val="000000000000" w:firstRow="0" w:lastRow="0" w:firstColumn="0" w:lastColumn="0" w:oddVBand="0" w:evenVBand="0" w:oddHBand="0" w:evenHBand="0" w:firstRowFirstColumn="0" w:firstRowLastColumn="0" w:lastRowFirstColumn="0" w:lastRowLastColumn="0"/>
              <w:rPr>
                <w:rFonts w:cstheme="minorHAnsi"/>
              </w:rPr>
            </w:pPr>
            <w:r w:rsidRPr="009E66F1">
              <w:rPr>
                <w:rFonts w:cstheme="minorHAnsi"/>
              </w:rPr>
              <w:t>EFVAAGSSTGR</w:t>
            </w:r>
          </w:p>
        </w:tc>
      </w:tr>
      <w:tr w:rsidR="00387C53" w:rsidRPr="009E66F1" w14:paraId="52C96163" w14:textId="77777777" w:rsidTr="005B5E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10" w:type="dxa"/>
            <w:tcBorders>
              <w:bottom w:val="single" w:sz="4" w:space="0" w:color="auto"/>
            </w:tcBorders>
          </w:tcPr>
          <w:p w14:paraId="7D750C00" w14:textId="77777777" w:rsidR="00387C53" w:rsidRPr="000E4E84" w:rsidRDefault="00387C53" w:rsidP="005B5E1A">
            <w:pPr>
              <w:spacing w:before="60" w:after="60"/>
              <w:jc w:val="left"/>
              <w:rPr>
                <w:rFonts w:asciiTheme="minorHAnsi" w:hAnsiTheme="minorHAnsi" w:cstheme="minorHAnsi"/>
                <w:i w:val="0"/>
                <w:iCs w:val="0"/>
                <w:sz w:val="22"/>
              </w:rPr>
            </w:pPr>
            <w:r w:rsidRPr="000E4E84">
              <w:rPr>
                <w:rFonts w:asciiTheme="minorHAnsi" w:hAnsiTheme="minorHAnsi" w:cstheme="minorHAnsi"/>
                <w:i w:val="0"/>
                <w:iCs w:val="0"/>
                <w:sz w:val="22"/>
              </w:rPr>
              <w:t>A20.1-hFc</w:t>
            </w:r>
          </w:p>
        </w:tc>
        <w:tc>
          <w:tcPr>
            <w:tcW w:w="1296" w:type="dxa"/>
            <w:tcBorders>
              <w:bottom w:val="single" w:sz="4" w:space="0" w:color="auto"/>
            </w:tcBorders>
          </w:tcPr>
          <w:p w14:paraId="0E5A4CC6" w14:textId="77777777" w:rsidR="00387C53" w:rsidRPr="00A32938" w:rsidRDefault="00387C53" w:rsidP="005B5E1A">
            <w:pPr>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39.3</w:t>
            </w:r>
          </w:p>
        </w:tc>
        <w:tc>
          <w:tcPr>
            <w:tcW w:w="1429" w:type="dxa"/>
            <w:tcBorders>
              <w:bottom w:val="single" w:sz="4" w:space="0" w:color="auto"/>
            </w:tcBorders>
          </w:tcPr>
          <w:p w14:paraId="393FFA35" w14:textId="77777777" w:rsidR="00387C53" w:rsidRPr="009E66F1" w:rsidRDefault="00387C53" w:rsidP="005B5E1A">
            <w:pPr>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sidRPr="009E66F1">
              <w:rPr>
                <w:rFonts w:cstheme="minorHAnsi"/>
              </w:rPr>
              <w:t>hFc Pep1</w:t>
            </w:r>
          </w:p>
        </w:tc>
        <w:tc>
          <w:tcPr>
            <w:tcW w:w="0" w:type="auto"/>
            <w:tcBorders>
              <w:bottom w:val="single" w:sz="4" w:space="0" w:color="auto"/>
            </w:tcBorders>
          </w:tcPr>
          <w:p w14:paraId="666E9885" w14:textId="77777777" w:rsidR="00387C53" w:rsidRPr="009E66F1" w:rsidRDefault="00387C53" w:rsidP="005B5E1A">
            <w:pPr>
              <w:spacing w:before="60" w:after="60"/>
              <w:jc w:val="center"/>
              <w:cnfStyle w:val="000000100000" w:firstRow="0" w:lastRow="0" w:firstColumn="0" w:lastColumn="0" w:oddVBand="0" w:evenVBand="0" w:oddHBand="1" w:evenHBand="0" w:firstRowFirstColumn="0" w:firstRowLastColumn="0" w:lastRowFirstColumn="0" w:lastRowLastColumn="0"/>
              <w:rPr>
                <w:rFonts w:cstheme="minorHAnsi"/>
              </w:rPr>
            </w:pPr>
            <w:r w:rsidRPr="009E66F1">
              <w:rPr>
                <w:rFonts w:cstheme="minorHAnsi"/>
              </w:rPr>
              <w:t>937.5</w:t>
            </w:r>
          </w:p>
        </w:tc>
        <w:tc>
          <w:tcPr>
            <w:tcW w:w="2736" w:type="dxa"/>
            <w:tcBorders>
              <w:bottom w:val="single" w:sz="4" w:space="0" w:color="auto"/>
            </w:tcBorders>
          </w:tcPr>
          <w:p w14:paraId="3BDE1B48" w14:textId="77777777" w:rsidR="00387C53" w:rsidRPr="009E66F1" w:rsidRDefault="00387C53" w:rsidP="005B5E1A">
            <w:pPr>
              <w:spacing w:before="60" w:after="60"/>
              <w:cnfStyle w:val="000000100000" w:firstRow="0" w:lastRow="0" w:firstColumn="0" w:lastColumn="0" w:oddVBand="0" w:evenVBand="0" w:oddHBand="1" w:evenHBand="0" w:firstRowFirstColumn="0" w:firstRowLastColumn="0" w:lastRowFirstColumn="0" w:lastRowLastColumn="0"/>
              <w:rPr>
                <w:rFonts w:cstheme="minorHAnsi"/>
              </w:rPr>
            </w:pPr>
            <w:r w:rsidRPr="009E66F1">
              <w:rPr>
                <w:rFonts w:cstheme="minorHAnsi"/>
              </w:rPr>
              <w:t>TTPPVLDSDGSFFLYSK</w:t>
            </w:r>
          </w:p>
        </w:tc>
      </w:tr>
    </w:tbl>
    <w:p w14:paraId="12A9F0B4" w14:textId="77777777" w:rsidR="00387C53" w:rsidRDefault="00387C53" w:rsidP="00387C53">
      <w:pPr>
        <w:spacing w:after="0"/>
      </w:pPr>
    </w:p>
    <w:p w14:paraId="1931BCEA" w14:textId="1C83E5C9" w:rsidR="00A37B81" w:rsidRDefault="00387C53" w:rsidP="00387C53">
      <w:pPr>
        <w:rPr>
          <w:u w:val="single"/>
        </w:rPr>
      </w:pPr>
      <w:r>
        <w:rPr>
          <w:b/>
        </w:rPr>
        <w:br w:type="page"/>
      </w:r>
    </w:p>
    <w:p w14:paraId="601D4842" w14:textId="0D936EBC" w:rsidR="006D49C8" w:rsidRDefault="006D49C8" w:rsidP="00FB31FA">
      <w:pPr>
        <w:spacing w:after="0"/>
      </w:pPr>
      <w:r w:rsidRPr="006D49C8">
        <w:rPr>
          <w:b/>
          <w:bCs/>
        </w:rPr>
        <w:lastRenderedPageBreak/>
        <w:t>References</w:t>
      </w:r>
    </w:p>
    <w:p w14:paraId="3F595708" w14:textId="615C7187" w:rsidR="00F72558" w:rsidRPr="00F72558" w:rsidRDefault="006D49C8" w:rsidP="00F72558">
      <w:pPr>
        <w:widowControl w:val="0"/>
        <w:autoSpaceDE w:val="0"/>
        <w:autoSpaceDN w:val="0"/>
        <w:adjustRightInd w:val="0"/>
        <w:spacing w:after="0" w:line="240" w:lineRule="auto"/>
        <w:ind w:left="640" w:hanging="640"/>
        <w:rPr>
          <w:rFonts w:ascii="Calibri" w:hAnsi="Calibri" w:cs="Calibri"/>
          <w:noProof/>
          <w:szCs w:val="24"/>
        </w:rPr>
      </w:pPr>
      <w:r>
        <w:fldChar w:fldCharType="begin" w:fldLock="1"/>
      </w:r>
      <w:r w:rsidRPr="00425681">
        <w:rPr>
          <w:lang w:val="fr-BE"/>
        </w:rPr>
        <w:instrText xml:space="preserve">ADDIN Mendeley Bibliography CSL_BIBLIOGRAPHY </w:instrText>
      </w:r>
      <w:r>
        <w:fldChar w:fldCharType="separate"/>
      </w:r>
      <w:r w:rsidR="00F72558" w:rsidRPr="00425681">
        <w:rPr>
          <w:rFonts w:ascii="Calibri" w:hAnsi="Calibri" w:cs="Calibri"/>
          <w:noProof/>
          <w:szCs w:val="24"/>
          <w:lang w:val="fr-BE"/>
        </w:rPr>
        <w:t>1.</w:t>
      </w:r>
      <w:r w:rsidR="00F72558" w:rsidRPr="00425681">
        <w:rPr>
          <w:rFonts w:ascii="Calibri" w:hAnsi="Calibri" w:cs="Calibri"/>
          <w:noProof/>
          <w:szCs w:val="24"/>
          <w:lang w:val="fr-BE"/>
        </w:rPr>
        <w:tab/>
        <w:t xml:space="preserve">Wilson, P. J. </w:t>
      </w:r>
      <w:r w:rsidR="00F72558" w:rsidRPr="00425681">
        <w:rPr>
          <w:rFonts w:ascii="Calibri" w:hAnsi="Calibri" w:cs="Calibri"/>
          <w:i/>
          <w:iCs/>
          <w:noProof/>
          <w:szCs w:val="24"/>
          <w:lang w:val="fr-BE"/>
        </w:rPr>
        <w:t>et al.</w:t>
      </w:r>
      <w:r w:rsidR="00F72558" w:rsidRPr="00425681">
        <w:rPr>
          <w:rFonts w:ascii="Calibri" w:hAnsi="Calibri" w:cs="Calibri"/>
          <w:noProof/>
          <w:szCs w:val="24"/>
          <w:lang w:val="fr-BE"/>
        </w:rPr>
        <w:t xml:space="preserve"> </w:t>
      </w:r>
      <w:r w:rsidR="00F72558" w:rsidRPr="00F72558">
        <w:rPr>
          <w:rFonts w:ascii="Calibri" w:hAnsi="Calibri" w:cs="Calibri"/>
          <w:noProof/>
          <w:szCs w:val="24"/>
        </w:rPr>
        <w:t xml:space="preserve">Hunter syndrome: isolation of an iduronate-2-sulfatase cDNA clone and analysis of patient DNA. </w:t>
      </w:r>
      <w:r w:rsidR="00F72558" w:rsidRPr="00F72558">
        <w:rPr>
          <w:rFonts w:ascii="Calibri" w:hAnsi="Calibri" w:cs="Calibri"/>
          <w:i/>
          <w:iCs/>
          <w:noProof/>
          <w:szCs w:val="24"/>
        </w:rPr>
        <w:t>Proc. Natl. Acad. Sci. U. S. A.</w:t>
      </w:r>
      <w:r w:rsidR="00F72558" w:rsidRPr="00F72558">
        <w:rPr>
          <w:rFonts w:ascii="Calibri" w:hAnsi="Calibri" w:cs="Calibri"/>
          <w:noProof/>
          <w:szCs w:val="24"/>
        </w:rPr>
        <w:t xml:space="preserve"> </w:t>
      </w:r>
      <w:r w:rsidR="00F72558" w:rsidRPr="00F72558">
        <w:rPr>
          <w:rFonts w:ascii="Calibri" w:hAnsi="Calibri" w:cs="Calibri"/>
          <w:b/>
          <w:bCs/>
          <w:noProof/>
          <w:szCs w:val="24"/>
        </w:rPr>
        <w:t>87</w:t>
      </w:r>
      <w:r w:rsidR="00F72558" w:rsidRPr="00F72558">
        <w:rPr>
          <w:rFonts w:ascii="Calibri" w:hAnsi="Calibri" w:cs="Calibri"/>
          <w:noProof/>
          <w:szCs w:val="24"/>
        </w:rPr>
        <w:t>, 8531–5 (1990).</w:t>
      </w:r>
    </w:p>
    <w:p w14:paraId="616CB335" w14:textId="77777777" w:rsidR="00F72558" w:rsidRPr="00F72558" w:rsidRDefault="00F72558" w:rsidP="00F72558">
      <w:pPr>
        <w:widowControl w:val="0"/>
        <w:autoSpaceDE w:val="0"/>
        <w:autoSpaceDN w:val="0"/>
        <w:adjustRightInd w:val="0"/>
        <w:spacing w:after="0" w:line="240" w:lineRule="auto"/>
        <w:ind w:left="640" w:hanging="640"/>
        <w:rPr>
          <w:rFonts w:ascii="Calibri" w:hAnsi="Calibri" w:cs="Calibri"/>
          <w:noProof/>
          <w:szCs w:val="24"/>
        </w:rPr>
      </w:pPr>
      <w:r w:rsidRPr="00F72558">
        <w:rPr>
          <w:rFonts w:ascii="Calibri" w:hAnsi="Calibri" w:cs="Calibri"/>
          <w:noProof/>
          <w:szCs w:val="24"/>
        </w:rPr>
        <w:t>2.</w:t>
      </w:r>
      <w:r w:rsidRPr="00F72558">
        <w:rPr>
          <w:rFonts w:ascii="Calibri" w:hAnsi="Calibri" w:cs="Calibri"/>
          <w:noProof/>
          <w:szCs w:val="24"/>
        </w:rPr>
        <w:tab/>
        <w:t xml:space="preserve">Stanimirovic, D. B., Sandhu, J. K. &amp; Costain, W. J. Emerging Technologies for Delivery of Biotherapeutics and Gene Therapy Across the Blood-Brain Barrier. </w:t>
      </w:r>
      <w:r w:rsidRPr="00F72558">
        <w:rPr>
          <w:rFonts w:ascii="Calibri" w:hAnsi="Calibri" w:cs="Calibri"/>
          <w:i/>
          <w:iCs/>
          <w:noProof/>
          <w:szCs w:val="24"/>
        </w:rPr>
        <w:t>BioDrugs</w:t>
      </w:r>
      <w:r w:rsidRPr="00F72558">
        <w:rPr>
          <w:rFonts w:ascii="Calibri" w:hAnsi="Calibri" w:cs="Calibri"/>
          <w:noProof/>
          <w:szCs w:val="24"/>
        </w:rPr>
        <w:t xml:space="preserve"> </w:t>
      </w:r>
      <w:r w:rsidRPr="00F72558">
        <w:rPr>
          <w:rFonts w:ascii="Calibri" w:hAnsi="Calibri" w:cs="Calibri"/>
          <w:b/>
          <w:bCs/>
          <w:noProof/>
          <w:szCs w:val="24"/>
        </w:rPr>
        <w:t>32</w:t>
      </w:r>
      <w:r w:rsidRPr="00F72558">
        <w:rPr>
          <w:rFonts w:ascii="Calibri" w:hAnsi="Calibri" w:cs="Calibri"/>
          <w:noProof/>
          <w:szCs w:val="24"/>
        </w:rPr>
        <w:t>, 547–559 (2018).</w:t>
      </w:r>
    </w:p>
    <w:p w14:paraId="2223E846" w14:textId="77777777" w:rsidR="00F72558" w:rsidRPr="00F72558" w:rsidRDefault="00F72558" w:rsidP="00F72558">
      <w:pPr>
        <w:widowControl w:val="0"/>
        <w:autoSpaceDE w:val="0"/>
        <w:autoSpaceDN w:val="0"/>
        <w:adjustRightInd w:val="0"/>
        <w:spacing w:after="0" w:line="240" w:lineRule="auto"/>
        <w:ind w:left="640" w:hanging="640"/>
        <w:rPr>
          <w:rFonts w:ascii="Calibri" w:hAnsi="Calibri" w:cs="Calibri"/>
          <w:noProof/>
          <w:szCs w:val="24"/>
        </w:rPr>
      </w:pPr>
      <w:r w:rsidRPr="00F72558">
        <w:rPr>
          <w:rFonts w:ascii="Calibri" w:hAnsi="Calibri" w:cs="Calibri"/>
          <w:noProof/>
          <w:szCs w:val="24"/>
        </w:rPr>
        <w:t>3.</w:t>
      </w:r>
      <w:r w:rsidRPr="00F72558">
        <w:rPr>
          <w:rFonts w:ascii="Calibri" w:hAnsi="Calibri" w:cs="Calibri"/>
          <w:noProof/>
          <w:szCs w:val="24"/>
        </w:rPr>
        <w:tab/>
        <w:t xml:space="preserve">Yogi, A. </w:t>
      </w:r>
      <w:r w:rsidRPr="00F72558">
        <w:rPr>
          <w:rFonts w:ascii="Calibri" w:hAnsi="Calibri" w:cs="Calibri"/>
          <w:i/>
          <w:iCs/>
          <w:noProof/>
          <w:szCs w:val="24"/>
        </w:rPr>
        <w:t>et al.</w:t>
      </w:r>
      <w:r w:rsidRPr="00F72558">
        <w:rPr>
          <w:rFonts w:ascii="Calibri" w:hAnsi="Calibri" w:cs="Calibri"/>
          <w:noProof/>
          <w:szCs w:val="24"/>
        </w:rPr>
        <w:t xml:space="preserve"> Brain Delivery of IGF1R5, a Single-Domain Antibody Targeting Insulin-like Growth Factor-1 Receptor. </w:t>
      </w:r>
      <w:r w:rsidRPr="00F72558">
        <w:rPr>
          <w:rFonts w:ascii="Calibri" w:hAnsi="Calibri" w:cs="Calibri"/>
          <w:i/>
          <w:iCs/>
          <w:noProof/>
          <w:szCs w:val="24"/>
        </w:rPr>
        <w:t>Pharmaceutics</w:t>
      </w:r>
      <w:r w:rsidRPr="00F72558">
        <w:rPr>
          <w:rFonts w:ascii="Calibri" w:hAnsi="Calibri" w:cs="Calibri"/>
          <w:noProof/>
          <w:szCs w:val="24"/>
        </w:rPr>
        <w:t xml:space="preserve"> </w:t>
      </w:r>
      <w:r w:rsidRPr="00F72558">
        <w:rPr>
          <w:rFonts w:ascii="Calibri" w:hAnsi="Calibri" w:cs="Calibri"/>
          <w:b/>
          <w:bCs/>
          <w:noProof/>
          <w:szCs w:val="24"/>
        </w:rPr>
        <w:t>14</w:t>
      </w:r>
      <w:r w:rsidRPr="00F72558">
        <w:rPr>
          <w:rFonts w:ascii="Calibri" w:hAnsi="Calibri" w:cs="Calibri"/>
          <w:noProof/>
          <w:szCs w:val="24"/>
        </w:rPr>
        <w:t>, (2022).</w:t>
      </w:r>
    </w:p>
    <w:p w14:paraId="56928E1C" w14:textId="77777777" w:rsidR="00F72558" w:rsidRPr="00F72558" w:rsidRDefault="00F72558" w:rsidP="00F72558">
      <w:pPr>
        <w:widowControl w:val="0"/>
        <w:autoSpaceDE w:val="0"/>
        <w:autoSpaceDN w:val="0"/>
        <w:adjustRightInd w:val="0"/>
        <w:spacing w:after="0" w:line="240" w:lineRule="auto"/>
        <w:ind w:left="640" w:hanging="640"/>
        <w:rPr>
          <w:rFonts w:ascii="Calibri" w:hAnsi="Calibri" w:cs="Calibri"/>
          <w:noProof/>
          <w:szCs w:val="24"/>
        </w:rPr>
      </w:pPr>
      <w:r w:rsidRPr="00F72558">
        <w:rPr>
          <w:rFonts w:ascii="Calibri" w:hAnsi="Calibri" w:cs="Calibri"/>
          <w:noProof/>
          <w:szCs w:val="24"/>
        </w:rPr>
        <w:t>4.</w:t>
      </w:r>
      <w:r w:rsidRPr="00F72558">
        <w:rPr>
          <w:rFonts w:ascii="Calibri" w:hAnsi="Calibri" w:cs="Calibri"/>
          <w:noProof/>
          <w:szCs w:val="24"/>
        </w:rPr>
        <w:tab/>
        <w:t xml:space="preserve">Henry, K. A., Tanha, J. &amp; Hussack, G. Identification of cross-reactive single-domain antibodies against serum albumin using next-generation DNA sequencing. </w:t>
      </w:r>
      <w:r w:rsidRPr="00F72558">
        <w:rPr>
          <w:rFonts w:ascii="Calibri" w:hAnsi="Calibri" w:cs="Calibri"/>
          <w:i/>
          <w:iCs/>
          <w:noProof/>
          <w:szCs w:val="24"/>
        </w:rPr>
        <w:t>Protein Eng. Des. Sel.</w:t>
      </w:r>
      <w:r w:rsidRPr="00F72558">
        <w:rPr>
          <w:rFonts w:ascii="Calibri" w:hAnsi="Calibri" w:cs="Calibri"/>
          <w:noProof/>
          <w:szCs w:val="24"/>
        </w:rPr>
        <w:t xml:space="preserve"> </w:t>
      </w:r>
      <w:r w:rsidRPr="00F72558">
        <w:rPr>
          <w:rFonts w:ascii="Calibri" w:hAnsi="Calibri" w:cs="Calibri"/>
          <w:b/>
          <w:bCs/>
          <w:noProof/>
          <w:szCs w:val="24"/>
        </w:rPr>
        <w:t>28</w:t>
      </w:r>
      <w:r w:rsidRPr="00F72558">
        <w:rPr>
          <w:rFonts w:ascii="Calibri" w:hAnsi="Calibri" w:cs="Calibri"/>
          <w:noProof/>
          <w:szCs w:val="24"/>
        </w:rPr>
        <w:t>, 379–83 (2015).</w:t>
      </w:r>
    </w:p>
    <w:p w14:paraId="4F62A95A" w14:textId="77777777" w:rsidR="00F72558" w:rsidRPr="00F72558" w:rsidRDefault="00F72558" w:rsidP="00F72558">
      <w:pPr>
        <w:widowControl w:val="0"/>
        <w:autoSpaceDE w:val="0"/>
        <w:autoSpaceDN w:val="0"/>
        <w:adjustRightInd w:val="0"/>
        <w:spacing w:after="0" w:line="240" w:lineRule="auto"/>
        <w:ind w:left="640" w:hanging="640"/>
        <w:rPr>
          <w:rFonts w:ascii="Calibri" w:hAnsi="Calibri" w:cs="Calibri"/>
          <w:noProof/>
          <w:szCs w:val="24"/>
        </w:rPr>
      </w:pPr>
      <w:r w:rsidRPr="00F72558">
        <w:rPr>
          <w:rFonts w:ascii="Calibri" w:hAnsi="Calibri" w:cs="Calibri"/>
          <w:noProof/>
          <w:szCs w:val="24"/>
        </w:rPr>
        <w:t>5.</w:t>
      </w:r>
      <w:r w:rsidRPr="00F72558">
        <w:rPr>
          <w:rFonts w:ascii="Calibri" w:hAnsi="Calibri" w:cs="Calibri"/>
          <w:noProof/>
          <w:szCs w:val="24"/>
        </w:rPr>
        <w:tab/>
        <w:t xml:space="preserve">van Faassen, H. </w:t>
      </w:r>
      <w:r w:rsidRPr="00F72558">
        <w:rPr>
          <w:rFonts w:ascii="Calibri" w:hAnsi="Calibri" w:cs="Calibri"/>
          <w:i/>
          <w:iCs/>
          <w:noProof/>
          <w:szCs w:val="24"/>
        </w:rPr>
        <w:t>et al.</w:t>
      </w:r>
      <w:r w:rsidRPr="00F72558">
        <w:rPr>
          <w:rFonts w:ascii="Calibri" w:hAnsi="Calibri" w:cs="Calibri"/>
          <w:noProof/>
          <w:szCs w:val="24"/>
        </w:rPr>
        <w:t xml:space="preserve"> Serum albumin-binding VH Hs with variable pH sensitivities enable tailored half-life extension of biologics. </w:t>
      </w:r>
      <w:r w:rsidRPr="00F72558">
        <w:rPr>
          <w:rFonts w:ascii="Calibri" w:hAnsi="Calibri" w:cs="Calibri"/>
          <w:i/>
          <w:iCs/>
          <w:noProof/>
          <w:szCs w:val="24"/>
        </w:rPr>
        <w:t>FASEB J.</w:t>
      </w:r>
      <w:r w:rsidRPr="00F72558">
        <w:rPr>
          <w:rFonts w:ascii="Calibri" w:hAnsi="Calibri" w:cs="Calibri"/>
          <w:noProof/>
          <w:szCs w:val="24"/>
        </w:rPr>
        <w:t xml:space="preserve"> </w:t>
      </w:r>
      <w:r w:rsidRPr="00F72558">
        <w:rPr>
          <w:rFonts w:ascii="Calibri" w:hAnsi="Calibri" w:cs="Calibri"/>
          <w:b/>
          <w:bCs/>
          <w:noProof/>
          <w:szCs w:val="24"/>
        </w:rPr>
        <w:t>34</w:t>
      </w:r>
      <w:r w:rsidRPr="00F72558">
        <w:rPr>
          <w:rFonts w:ascii="Calibri" w:hAnsi="Calibri" w:cs="Calibri"/>
          <w:noProof/>
          <w:szCs w:val="24"/>
        </w:rPr>
        <w:t>, 8155–8171 (2020).</w:t>
      </w:r>
    </w:p>
    <w:p w14:paraId="1707D217" w14:textId="77777777" w:rsidR="00F72558" w:rsidRPr="00F72558" w:rsidRDefault="00F72558" w:rsidP="00F72558">
      <w:pPr>
        <w:widowControl w:val="0"/>
        <w:autoSpaceDE w:val="0"/>
        <w:autoSpaceDN w:val="0"/>
        <w:adjustRightInd w:val="0"/>
        <w:spacing w:after="0" w:line="240" w:lineRule="auto"/>
        <w:ind w:left="640" w:hanging="640"/>
        <w:rPr>
          <w:rFonts w:ascii="Calibri" w:hAnsi="Calibri" w:cs="Calibri"/>
          <w:noProof/>
        </w:rPr>
      </w:pPr>
      <w:r w:rsidRPr="00F72558">
        <w:rPr>
          <w:rFonts w:ascii="Calibri" w:hAnsi="Calibri" w:cs="Calibri"/>
          <w:noProof/>
          <w:szCs w:val="24"/>
        </w:rPr>
        <w:t>6.</w:t>
      </w:r>
      <w:r w:rsidRPr="00F72558">
        <w:rPr>
          <w:rFonts w:ascii="Calibri" w:hAnsi="Calibri" w:cs="Calibri"/>
          <w:noProof/>
          <w:szCs w:val="24"/>
        </w:rPr>
        <w:tab/>
        <w:t xml:space="preserve">Tolun, A. A. </w:t>
      </w:r>
      <w:r w:rsidRPr="00F72558">
        <w:rPr>
          <w:rFonts w:ascii="Calibri" w:hAnsi="Calibri" w:cs="Calibri"/>
          <w:i/>
          <w:iCs/>
          <w:noProof/>
          <w:szCs w:val="24"/>
        </w:rPr>
        <w:t>et al.</w:t>
      </w:r>
      <w:r w:rsidRPr="00F72558">
        <w:rPr>
          <w:rFonts w:ascii="Calibri" w:hAnsi="Calibri" w:cs="Calibri"/>
          <w:noProof/>
          <w:szCs w:val="24"/>
        </w:rPr>
        <w:t xml:space="preserve"> A novel fluorometric enzyme analysis method for Hunter syndrome using dried blood spots. </w:t>
      </w:r>
      <w:r w:rsidRPr="00F72558">
        <w:rPr>
          <w:rFonts w:ascii="Calibri" w:hAnsi="Calibri" w:cs="Calibri"/>
          <w:i/>
          <w:iCs/>
          <w:noProof/>
          <w:szCs w:val="24"/>
        </w:rPr>
        <w:t>Mol. Genet. Metab.</w:t>
      </w:r>
      <w:r w:rsidRPr="00F72558">
        <w:rPr>
          <w:rFonts w:ascii="Calibri" w:hAnsi="Calibri" w:cs="Calibri"/>
          <w:noProof/>
          <w:szCs w:val="24"/>
        </w:rPr>
        <w:t xml:space="preserve"> </w:t>
      </w:r>
      <w:r w:rsidRPr="00F72558">
        <w:rPr>
          <w:rFonts w:ascii="Calibri" w:hAnsi="Calibri" w:cs="Calibri"/>
          <w:b/>
          <w:bCs/>
          <w:noProof/>
          <w:szCs w:val="24"/>
        </w:rPr>
        <w:t>105</w:t>
      </w:r>
      <w:r w:rsidRPr="00F72558">
        <w:rPr>
          <w:rFonts w:ascii="Calibri" w:hAnsi="Calibri" w:cs="Calibri"/>
          <w:noProof/>
          <w:szCs w:val="24"/>
        </w:rPr>
        <w:t>, 519–21 (2012).</w:t>
      </w:r>
    </w:p>
    <w:p w14:paraId="40075915" w14:textId="3A384576" w:rsidR="006D49C8" w:rsidRPr="00387C53" w:rsidRDefault="006D49C8" w:rsidP="00523175">
      <w:pPr>
        <w:widowControl w:val="0"/>
        <w:autoSpaceDE w:val="0"/>
        <w:autoSpaceDN w:val="0"/>
        <w:adjustRightInd w:val="0"/>
        <w:spacing w:after="0" w:line="240" w:lineRule="auto"/>
        <w:ind w:left="480" w:hanging="480"/>
        <w:rPr>
          <w:lang w:val="fr-CA"/>
        </w:rPr>
      </w:pPr>
      <w:r>
        <w:fldChar w:fldCharType="end"/>
      </w:r>
    </w:p>
    <w:sectPr w:rsidR="006D49C8" w:rsidRPr="00387C53">
      <w:headerReference w:type="default"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3087B" w14:textId="77777777" w:rsidR="00B4719F" w:rsidRDefault="00B4719F" w:rsidP="00D4579B">
      <w:pPr>
        <w:spacing w:after="0" w:line="240" w:lineRule="auto"/>
      </w:pPr>
      <w:r>
        <w:separator/>
      </w:r>
    </w:p>
  </w:endnote>
  <w:endnote w:type="continuationSeparator" w:id="0">
    <w:p w14:paraId="34D14BE5" w14:textId="77777777" w:rsidR="00B4719F" w:rsidRDefault="00B4719F" w:rsidP="00D457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5859676"/>
      <w:docPartObj>
        <w:docPartGallery w:val="Page Numbers (Bottom of Page)"/>
        <w:docPartUnique/>
      </w:docPartObj>
    </w:sdtPr>
    <w:sdtEndPr/>
    <w:sdtContent>
      <w:sdt>
        <w:sdtPr>
          <w:id w:val="1728636285"/>
          <w:docPartObj>
            <w:docPartGallery w:val="Page Numbers (Top of Page)"/>
            <w:docPartUnique/>
          </w:docPartObj>
        </w:sdtPr>
        <w:sdtEndPr/>
        <w:sdtContent>
          <w:p w14:paraId="0E2E296E" w14:textId="17CD3782" w:rsidR="00E22D54" w:rsidRDefault="00E22D5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D608892" w14:textId="77777777" w:rsidR="00E22D54" w:rsidRDefault="00E22D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DDB78" w14:textId="77777777" w:rsidR="00B4719F" w:rsidRDefault="00B4719F" w:rsidP="00D4579B">
      <w:pPr>
        <w:spacing w:after="0" w:line="240" w:lineRule="auto"/>
      </w:pPr>
      <w:r>
        <w:separator/>
      </w:r>
    </w:p>
  </w:footnote>
  <w:footnote w:type="continuationSeparator" w:id="0">
    <w:p w14:paraId="0FF131A4" w14:textId="77777777" w:rsidR="00B4719F" w:rsidRDefault="00B4719F" w:rsidP="00D457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333AB" w14:textId="56E159EC" w:rsidR="00C2790D" w:rsidRPr="00C2790D" w:rsidRDefault="00C2790D" w:rsidP="00C2790D">
    <w:pPr>
      <w:spacing w:after="0"/>
      <w:rPr>
        <w:b/>
      </w:rPr>
    </w:pPr>
    <w:r>
      <w:rPr>
        <w:b/>
        <w:bCs/>
      </w:rPr>
      <w:t>Costain et al.</w:t>
    </w:r>
    <w:r>
      <w:rPr>
        <w:b/>
        <w:bCs/>
      </w:rPr>
      <w:tab/>
    </w:r>
    <w:r w:rsidRPr="00C2790D">
      <w:rPr>
        <w:b/>
        <w:i/>
      </w:rPr>
      <w:t>In vivo</w:t>
    </w:r>
    <w:r w:rsidRPr="00C2790D">
      <w:rPr>
        <w:b/>
      </w:rPr>
      <w:t xml:space="preserve"> brain delivery of BBB-enabled iduronate 2-sulfatase in rats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31FA"/>
    <w:rsid w:val="0004126F"/>
    <w:rsid w:val="0004151B"/>
    <w:rsid w:val="00042D47"/>
    <w:rsid w:val="00045359"/>
    <w:rsid w:val="000A424B"/>
    <w:rsid w:val="000C3E82"/>
    <w:rsid w:val="000D260B"/>
    <w:rsid w:val="000E4E84"/>
    <w:rsid w:val="0012192F"/>
    <w:rsid w:val="001A45AC"/>
    <w:rsid w:val="001E127F"/>
    <w:rsid w:val="001E3E2A"/>
    <w:rsid w:val="00205CBD"/>
    <w:rsid w:val="00222DE0"/>
    <w:rsid w:val="002306DD"/>
    <w:rsid w:val="002353E4"/>
    <w:rsid w:val="00274583"/>
    <w:rsid w:val="002875C0"/>
    <w:rsid w:val="002B7F89"/>
    <w:rsid w:val="002D67A7"/>
    <w:rsid w:val="002E2614"/>
    <w:rsid w:val="003421D3"/>
    <w:rsid w:val="00352CF7"/>
    <w:rsid w:val="00381D51"/>
    <w:rsid w:val="00387C53"/>
    <w:rsid w:val="003A422B"/>
    <w:rsid w:val="003F45BE"/>
    <w:rsid w:val="00425681"/>
    <w:rsid w:val="004B5DF3"/>
    <w:rsid w:val="004D65ED"/>
    <w:rsid w:val="004D7AFC"/>
    <w:rsid w:val="004F35F7"/>
    <w:rsid w:val="005012DF"/>
    <w:rsid w:val="00523175"/>
    <w:rsid w:val="00570574"/>
    <w:rsid w:val="00591F9C"/>
    <w:rsid w:val="00594674"/>
    <w:rsid w:val="005B6716"/>
    <w:rsid w:val="005C3F0E"/>
    <w:rsid w:val="005D7837"/>
    <w:rsid w:val="005E1E59"/>
    <w:rsid w:val="005F1D24"/>
    <w:rsid w:val="005F755C"/>
    <w:rsid w:val="00636B62"/>
    <w:rsid w:val="006A76A9"/>
    <w:rsid w:val="006D190B"/>
    <w:rsid w:val="006D49C8"/>
    <w:rsid w:val="00702AE6"/>
    <w:rsid w:val="0076083F"/>
    <w:rsid w:val="0079573E"/>
    <w:rsid w:val="007A0490"/>
    <w:rsid w:val="007A6605"/>
    <w:rsid w:val="007C1CED"/>
    <w:rsid w:val="007C25F6"/>
    <w:rsid w:val="007D257F"/>
    <w:rsid w:val="0081333D"/>
    <w:rsid w:val="00843DCE"/>
    <w:rsid w:val="0085570F"/>
    <w:rsid w:val="00877F93"/>
    <w:rsid w:val="008A6F83"/>
    <w:rsid w:val="008A777C"/>
    <w:rsid w:val="008B02BE"/>
    <w:rsid w:val="008F1BB1"/>
    <w:rsid w:val="00940857"/>
    <w:rsid w:val="0095016F"/>
    <w:rsid w:val="00961C54"/>
    <w:rsid w:val="0097723D"/>
    <w:rsid w:val="009E5615"/>
    <w:rsid w:val="009E66F1"/>
    <w:rsid w:val="009F22CC"/>
    <w:rsid w:val="00A06F79"/>
    <w:rsid w:val="00A078E8"/>
    <w:rsid w:val="00A10A51"/>
    <w:rsid w:val="00A32938"/>
    <w:rsid w:val="00A37B81"/>
    <w:rsid w:val="00A47734"/>
    <w:rsid w:val="00A53A3F"/>
    <w:rsid w:val="00A54433"/>
    <w:rsid w:val="00A55F3D"/>
    <w:rsid w:val="00AC49A1"/>
    <w:rsid w:val="00AC7E6B"/>
    <w:rsid w:val="00B40DF2"/>
    <w:rsid w:val="00B4719F"/>
    <w:rsid w:val="00B57E7E"/>
    <w:rsid w:val="00B73C8B"/>
    <w:rsid w:val="00B82496"/>
    <w:rsid w:val="00B93CEE"/>
    <w:rsid w:val="00BE5505"/>
    <w:rsid w:val="00BE7192"/>
    <w:rsid w:val="00BF36A4"/>
    <w:rsid w:val="00C015E7"/>
    <w:rsid w:val="00C26531"/>
    <w:rsid w:val="00C2790D"/>
    <w:rsid w:val="00C53A5A"/>
    <w:rsid w:val="00C55C49"/>
    <w:rsid w:val="00D04D16"/>
    <w:rsid w:val="00D15239"/>
    <w:rsid w:val="00D4579B"/>
    <w:rsid w:val="00D52A0D"/>
    <w:rsid w:val="00D643A0"/>
    <w:rsid w:val="00D64949"/>
    <w:rsid w:val="00D9189B"/>
    <w:rsid w:val="00DF384B"/>
    <w:rsid w:val="00E00418"/>
    <w:rsid w:val="00E1788D"/>
    <w:rsid w:val="00E22D54"/>
    <w:rsid w:val="00E245D4"/>
    <w:rsid w:val="00E278C6"/>
    <w:rsid w:val="00E9225D"/>
    <w:rsid w:val="00EB2D9F"/>
    <w:rsid w:val="00EC0CB8"/>
    <w:rsid w:val="00F04827"/>
    <w:rsid w:val="00F535A4"/>
    <w:rsid w:val="00F7080D"/>
    <w:rsid w:val="00F72558"/>
    <w:rsid w:val="00F727F7"/>
    <w:rsid w:val="00F76FC8"/>
    <w:rsid w:val="00F939DF"/>
    <w:rsid w:val="00FA1350"/>
    <w:rsid w:val="00FB31FA"/>
    <w:rsid w:val="00FC40FE"/>
    <w:rsid w:val="00FD4737"/>
    <w:rsid w:val="00FE0605"/>
    <w:rsid w:val="00FE70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BC970A"/>
  <w15:chartTrackingRefBased/>
  <w15:docId w15:val="{31F19EBB-1945-47D6-9EB8-D639402DC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1F9C"/>
    <w:rPr>
      <w:color w:val="0563C1" w:themeColor="hyperlink"/>
      <w:u w:val="single"/>
    </w:rPr>
  </w:style>
  <w:style w:type="character" w:styleId="UnresolvedMention">
    <w:name w:val="Unresolved Mention"/>
    <w:basedOn w:val="DefaultParagraphFont"/>
    <w:uiPriority w:val="99"/>
    <w:semiHidden/>
    <w:unhideWhenUsed/>
    <w:rsid w:val="00591F9C"/>
    <w:rPr>
      <w:color w:val="605E5C"/>
      <w:shd w:val="clear" w:color="auto" w:fill="E1DFDD"/>
    </w:rPr>
  </w:style>
  <w:style w:type="table" w:styleId="ColorfulGrid-Accent4">
    <w:name w:val="Colorful Grid Accent 4"/>
    <w:basedOn w:val="TableNormal"/>
    <w:uiPriority w:val="73"/>
    <w:rsid w:val="00591F9C"/>
    <w:pPr>
      <w:spacing w:after="0" w:line="240" w:lineRule="auto"/>
    </w:pPr>
    <w:rPr>
      <w:rFonts w:ascii="Times New Roman" w:eastAsia="Times New Roman" w:hAnsi="Times New Roman" w:cs="Times New Roman"/>
      <w:color w:val="000000" w:themeColor="text1"/>
      <w:sz w:val="20"/>
      <w:szCs w:val="20"/>
      <w:lang w:val="en-CA" w:eastAsia="en-CA"/>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paragraph" w:styleId="NormalWeb">
    <w:name w:val="Normal (Web)"/>
    <w:basedOn w:val="Normal"/>
    <w:uiPriority w:val="99"/>
    <w:semiHidden/>
    <w:unhideWhenUsed/>
    <w:rsid w:val="00D9189B"/>
    <w:pPr>
      <w:spacing w:before="100" w:beforeAutospacing="1" w:after="100" w:afterAutospacing="1" w:line="240" w:lineRule="auto"/>
    </w:pPr>
    <w:rPr>
      <w:rFonts w:ascii="Times New Roman" w:eastAsiaTheme="minorEastAsia" w:hAnsi="Times New Roman" w:cs="Times New Roman"/>
      <w:sz w:val="24"/>
      <w:szCs w:val="24"/>
      <w:lang w:eastAsia="en-CA"/>
    </w:rPr>
  </w:style>
  <w:style w:type="paragraph" w:styleId="Header">
    <w:name w:val="header"/>
    <w:basedOn w:val="Normal"/>
    <w:link w:val="HeaderChar"/>
    <w:uiPriority w:val="99"/>
    <w:unhideWhenUsed/>
    <w:rsid w:val="00D457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579B"/>
    <w:rPr>
      <w:lang w:val="en-CA"/>
    </w:rPr>
  </w:style>
  <w:style w:type="paragraph" w:styleId="Footer">
    <w:name w:val="footer"/>
    <w:basedOn w:val="Normal"/>
    <w:link w:val="FooterChar"/>
    <w:uiPriority w:val="99"/>
    <w:unhideWhenUsed/>
    <w:rsid w:val="00D457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579B"/>
    <w:rPr>
      <w:lang w:val="en-CA"/>
    </w:rPr>
  </w:style>
  <w:style w:type="table" w:styleId="PlainTable3">
    <w:name w:val="Plain Table 3"/>
    <w:basedOn w:val="TableNormal"/>
    <w:uiPriority w:val="43"/>
    <w:rsid w:val="000E4E8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0E4E8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CommentReference">
    <w:name w:val="annotation reference"/>
    <w:basedOn w:val="DefaultParagraphFont"/>
    <w:uiPriority w:val="99"/>
    <w:semiHidden/>
    <w:unhideWhenUsed/>
    <w:rsid w:val="001E127F"/>
    <w:rPr>
      <w:sz w:val="16"/>
      <w:szCs w:val="16"/>
    </w:rPr>
  </w:style>
  <w:style w:type="paragraph" w:styleId="CommentText">
    <w:name w:val="annotation text"/>
    <w:basedOn w:val="Normal"/>
    <w:link w:val="CommentTextChar"/>
    <w:uiPriority w:val="99"/>
    <w:unhideWhenUsed/>
    <w:rsid w:val="001E127F"/>
    <w:pPr>
      <w:spacing w:line="240" w:lineRule="auto"/>
    </w:pPr>
    <w:rPr>
      <w:sz w:val="20"/>
      <w:szCs w:val="20"/>
    </w:rPr>
  </w:style>
  <w:style w:type="character" w:customStyle="1" w:styleId="CommentTextChar">
    <w:name w:val="Comment Text Char"/>
    <w:basedOn w:val="DefaultParagraphFont"/>
    <w:link w:val="CommentText"/>
    <w:uiPriority w:val="99"/>
    <w:rsid w:val="001E127F"/>
    <w:rPr>
      <w:sz w:val="20"/>
      <w:szCs w:val="20"/>
      <w:lang w:val="en-CA"/>
    </w:rPr>
  </w:style>
  <w:style w:type="paragraph" w:styleId="CommentSubject">
    <w:name w:val="annotation subject"/>
    <w:basedOn w:val="CommentText"/>
    <w:next w:val="CommentText"/>
    <w:link w:val="CommentSubjectChar"/>
    <w:uiPriority w:val="99"/>
    <w:semiHidden/>
    <w:unhideWhenUsed/>
    <w:rsid w:val="001E127F"/>
    <w:rPr>
      <w:b/>
      <w:bCs/>
    </w:rPr>
  </w:style>
  <w:style w:type="character" w:customStyle="1" w:styleId="CommentSubjectChar">
    <w:name w:val="Comment Subject Char"/>
    <w:basedOn w:val="CommentTextChar"/>
    <w:link w:val="CommentSubject"/>
    <w:uiPriority w:val="99"/>
    <w:semiHidden/>
    <w:rsid w:val="001E127F"/>
    <w:rPr>
      <w:b/>
      <w:bCs/>
      <w:sz w:val="20"/>
      <w:szCs w:val="20"/>
      <w:lang w:val="en-CA"/>
    </w:rPr>
  </w:style>
  <w:style w:type="paragraph" w:styleId="Revision">
    <w:name w:val="Revision"/>
    <w:hidden/>
    <w:uiPriority w:val="99"/>
    <w:semiHidden/>
    <w:rsid w:val="001A45AC"/>
    <w:pPr>
      <w:spacing w:after="0" w:line="240" w:lineRule="auto"/>
    </w:pPr>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018397">
      <w:bodyDiv w:val="1"/>
      <w:marLeft w:val="0"/>
      <w:marRight w:val="0"/>
      <w:marTop w:val="0"/>
      <w:marBottom w:val="0"/>
      <w:divBdr>
        <w:top w:val="none" w:sz="0" w:space="0" w:color="auto"/>
        <w:left w:val="none" w:sz="0" w:space="0" w:color="auto"/>
        <w:bottom w:val="none" w:sz="0" w:space="0" w:color="auto"/>
        <w:right w:val="none" w:sz="0" w:space="0" w:color="auto"/>
      </w:divBdr>
    </w:div>
    <w:div w:id="1459060323">
      <w:bodyDiv w:val="1"/>
      <w:marLeft w:val="0"/>
      <w:marRight w:val="0"/>
      <w:marTop w:val="0"/>
      <w:marBottom w:val="0"/>
      <w:divBdr>
        <w:top w:val="none" w:sz="0" w:space="0" w:color="auto"/>
        <w:left w:val="none" w:sz="0" w:space="0" w:color="auto"/>
        <w:bottom w:val="none" w:sz="0" w:space="0" w:color="auto"/>
        <w:right w:val="none" w:sz="0" w:space="0" w:color="auto"/>
      </w:divBdr>
    </w:div>
    <w:div w:id="1705473141">
      <w:bodyDiv w:val="1"/>
      <w:marLeft w:val="0"/>
      <w:marRight w:val="0"/>
      <w:marTop w:val="0"/>
      <w:marBottom w:val="0"/>
      <w:divBdr>
        <w:top w:val="none" w:sz="0" w:space="0" w:color="auto"/>
        <w:left w:val="none" w:sz="0" w:space="0" w:color="auto"/>
        <w:bottom w:val="none" w:sz="0" w:space="0" w:color="auto"/>
        <w:right w:val="none" w:sz="0" w:space="0" w:color="auto"/>
      </w:divBdr>
    </w:div>
    <w:div w:id="1942257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iprot.org/uniprotkb/P03995/entry" TargetMode="External"/><Relationship Id="rId13" Type="http://schemas.openxmlformats.org/officeDocument/2006/relationships/image" Target="media/image3.emf"/><Relationship Id="rId18" Type="http://schemas.openxmlformats.org/officeDocument/2006/relationships/oleObject" Target="embeddings/oleObject5.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uniprot.org/uniprotkb/Q08481/entry" TargetMode="External"/><Relationship Id="rId12" Type="http://schemas.openxmlformats.org/officeDocument/2006/relationships/oleObject" Target="embeddings/oleObject2.bin"/><Relationship Id="rId17" Type="http://schemas.openxmlformats.org/officeDocument/2006/relationships/image" Target="media/image5.emf"/><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image" Target="media/image4.emf"/><Relationship Id="rId10" Type="http://schemas.openxmlformats.org/officeDocument/2006/relationships/oleObject" Target="embeddings/oleObject1.bin"/><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6BDF9-4D81-47DC-8B61-4DCDA1E263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8</Pages>
  <Words>4485</Words>
  <Characters>25569</Characters>
  <Application>Microsoft Office Word</Application>
  <DocSecurity>0</DocSecurity>
  <Lines>213</Lines>
  <Paragraphs>59</Paragraphs>
  <ScaleCrop>false</ScaleCrop>
  <HeadingPairs>
    <vt:vector size="2" baseType="variant">
      <vt:variant>
        <vt:lpstr>Title</vt:lpstr>
      </vt:variant>
      <vt:variant>
        <vt:i4>1</vt:i4>
      </vt:variant>
    </vt:vector>
  </HeadingPairs>
  <TitlesOfParts>
    <vt:vector size="1" baseType="lpstr">
      <vt:lpstr/>
    </vt:vector>
  </TitlesOfParts>
  <Company>NRC-CNRC</Company>
  <LinksUpToDate>false</LinksUpToDate>
  <CharactersWithSpaces>29995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Costain, Will</dc:creator>
  <cp:keywords/>
  <dc:description/>
  <cp:lastModifiedBy>Will Costain</cp:lastModifiedBy>
  <cp:revision>6</cp:revision>
  <cp:lastPrinted>2024-01-23T18:57:00Z</cp:lastPrinted>
  <dcterms:created xsi:type="dcterms:W3CDTF">2023-12-17T17:07:00Z</dcterms:created>
  <dcterms:modified xsi:type="dcterms:W3CDTF">2024-01-23T19:38:00Z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http://www.zotero.org/styles/biodrugs</vt:lpwstr>
  </property>
  <property fmtid="{D5CDD505-2E9C-101B-9397-08002B2CF9AE}" pid="11" name="Mendeley Recent Style Name 4_1">
    <vt:lpwstr>BioDrugs</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11th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http://www.zotero.org/styles/scientific-reports</vt:lpwstr>
  </property>
  <property fmtid="{D5CDD505-2E9C-101B-9397-08002B2CF9AE}" pid="19" name="Mendeley Recent Style Name 8_1">
    <vt:lpwstr>Scientific Reports</vt:lpwstr>
  </property>
  <property fmtid="{D5CDD505-2E9C-101B-9397-08002B2CF9AE}" pid="20" name="Mendeley Recent Style Id 9_1">
    <vt:lpwstr>http://www.zotero.org/styles/springer-basic-author-date</vt:lpwstr>
  </property>
  <property fmtid="{D5CDD505-2E9C-101B-9397-08002B2CF9AE}" pid="21" name="Mendeley Recent Style Name 9_1">
    <vt:lpwstr>Springer - Basic (author-date)</vt:lpwstr>
  </property>
  <property fmtid="{D5CDD505-2E9C-101B-9397-08002B2CF9AE}" pid="22" name="Mendeley Document_1">
    <vt:lpwstr>True</vt:lpwstr>
  </property>
  <property fmtid="{D5CDD505-2E9C-101B-9397-08002B2CF9AE}" pid="23" name="Mendeley Unique User Id_1">
    <vt:lpwstr>4ae71c84-7a84-3ae1-aae5-e458903d94db</vt:lpwstr>
  </property>
  <property fmtid="{D5CDD505-2E9C-101B-9397-08002B2CF9AE}" pid="24" name="Mendeley Citation Style_1">
    <vt:lpwstr>http://www.zotero.org/styles/scientific-reports</vt:lpwstr>
  </property>
</Properties>
</file>