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50638" w14:textId="077B6793" w:rsidR="006203E4" w:rsidRDefault="006203E4" w:rsidP="006203E4">
      <w:pPr>
        <w:widowControl/>
        <w:spacing w:line="360" w:lineRule="auto"/>
        <w:ind w:firstLineChars="400" w:firstLine="964"/>
        <w:jc w:val="center"/>
        <w:rPr>
          <w:b/>
          <w:bCs/>
          <w:sz w:val="24"/>
        </w:rPr>
      </w:pPr>
      <w:r w:rsidRPr="00FC5707">
        <w:rPr>
          <w:b/>
          <w:bCs/>
          <w:sz w:val="24"/>
          <w:szCs w:val="24"/>
        </w:rPr>
        <w:t xml:space="preserve">Table </w:t>
      </w:r>
      <w:r>
        <w:rPr>
          <w:rFonts w:hint="eastAsia"/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:</w:t>
      </w:r>
      <w:r w:rsidRPr="00FC5707">
        <w:rPr>
          <w:rFonts w:ascii="Segoe UI" w:hAnsi="Segoe UI" w:cs="Segoe UI"/>
          <w:color w:val="0D0D0D"/>
          <w:shd w:val="clear" w:color="auto" w:fill="FFFFFF"/>
        </w:rPr>
        <w:t xml:space="preserve"> </w:t>
      </w:r>
      <w:r w:rsidRPr="0068207E">
        <w:rPr>
          <w:b/>
          <w:bCs/>
          <w:color w:val="0D0D0D"/>
          <w:sz w:val="24"/>
          <w:szCs w:val="24"/>
          <w:shd w:val="clear" w:color="auto" w:fill="FFFFFF"/>
        </w:rPr>
        <w:t>The results of the GO functional enrichment analysis</w:t>
      </w:r>
    </w:p>
    <w:tbl>
      <w:tblPr>
        <w:tblW w:w="9994" w:type="dxa"/>
        <w:jc w:val="center"/>
        <w:tblLayout w:type="fixed"/>
        <w:tblLook w:val="0420" w:firstRow="1" w:lastRow="0" w:firstColumn="0" w:lastColumn="0" w:noHBand="0" w:noVBand="1"/>
      </w:tblPr>
      <w:tblGrid>
        <w:gridCol w:w="1152"/>
        <w:gridCol w:w="1441"/>
        <w:gridCol w:w="1728"/>
        <w:gridCol w:w="1008"/>
        <w:gridCol w:w="1262"/>
        <w:gridCol w:w="1121"/>
        <w:gridCol w:w="1121"/>
        <w:gridCol w:w="1161"/>
      </w:tblGrid>
      <w:tr w:rsidR="006203E4" w14:paraId="4458A362" w14:textId="77777777" w:rsidTr="006203E4">
        <w:trPr>
          <w:tblHeader/>
          <w:jc w:val="center"/>
        </w:trPr>
        <w:tc>
          <w:tcPr>
            <w:tcW w:w="115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C958C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Ontology</w:t>
            </w:r>
          </w:p>
        </w:tc>
        <w:tc>
          <w:tcPr>
            <w:tcW w:w="14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1D170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ID</w:t>
            </w:r>
          </w:p>
        </w:tc>
        <w:tc>
          <w:tcPr>
            <w:tcW w:w="172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C644C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10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06A57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GeneRatio</w:t>
            </w:r>
            <w:proofErr w:type="spellEnd"/>
          </w:p>
        </w:tc>
        <w:tc>
          <w:tcPr>
            <w:tcW w:w="126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C3DF6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BgRatio</w:t>
            </w:r>
            <w:proofErr w:type="spellEnd"/>
          </w:p>
        </w:tc>
        <w:tc>
          <w:tcPr>
            <w:tcW w:w="112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1BC3E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pvalue</w:t>
            </w:r>
            <w:proofErr w:type="spellEnd"/>
          </w:p>
        </w:tc>
        <w:tc>
          <w:tcPr>
            <w:tcW w:w="112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F6100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p.adjust</w:t>
            </w:r>
            <w:proofErr w:type="spellEnd"/>
            <w:proofErr w:type="gramEnd"/>
          </w:p>
        </w:tc>
        <w:tc>
          <w:tcPr>
            <w:tcW w:w="11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92BF7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zscore</w:t>
            </w:r>
            <w:proofErr w:type="spellEnd"/>
          </w:p>
        </w:tc>
      </w:tr>
      <w:tr w:rsidR="006203E4" w14:paraId="18BA7AF8" w14:textId="77777777" w:rsidTr="006203E4">
        <w:trPr>
          <w:jc w:val="center"/>
        </w:trPr>
        <w:tc>
          <w:tcPr>
            <w:tcW w:w="115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0BBCC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BP</w:t>
            </w:r>
          </w:p>
        </w:tc>
        <w:tc>
          <w:tcPr>
            <w:tcW w:w="144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148BE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GO:0007210</w:t>
            </w:r>
          </w:p>
        </w:tc>
        <w:tc>
          <w:tcPr>
            <w:tcW w:w="172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06D5F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serotonin receptor signaling pathway</w:t>
            </w:r>
          </w:p>
        </w:tc>
        <w:tc>
          <w:tcPr>
            <w:tcW w:w="100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0D93B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18/1545</w:t>
            </w:r>
          </w:p>
        </w:tc>
        <w:tc>
          <w:tcPr>
            <w:tcW w:w="126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AB939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40/18800</w:t>
            </w:r>
          </w:p>
        </w:tc>
        <w:tc>
          <w:tcPr>
            <w:tcW w:w="112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0A53D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5.21e-10</w:t>
            </w:r>
          </w:p>
        </w:tc>
        <w:tc>
          <w:tcPr>
            <w:tcW w:w="112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FCD5C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3.81e-07</w:t>
            </w:r>
          </w:p>
        </w:tc>
        <w:tc>
          <w:tcPr>
            <w:tcW w:w="116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5FEBE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4.242641</w:t>
            </w:r>
          </w:p>
        </w:tc>
      </w:tr>
      <w:tr w:rsidR="006203E4" w14:paraId="7910A03E" w14:textId="77777777" w:rsidTr="006203E4">
        <w:trPr>
          <w:jc w:val="center"/>
        </w:trPr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C3B8F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BP</w:t>
            </w:r>
          </w:p>
        </w:tc>
        <w:tc>
          <w:tcPr>
            <w:tcW w:w="1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5B106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GO:0007187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4DF03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 protein-coupled receptor signaling pathway, coupled to cyclic nucleotide second messenger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C59E5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20/1545</w:t>
            </w:r>
          </w:p>
        </w:tc>
        <w:tc>
          <w:tcPr>
            <w:tcW w:w="12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18965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67/18800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0D469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2.36e-07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1AF90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6.9e-05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904F9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4.472136</w:t>
            </w:r>
          </w:p>
        </w:tc>
      </w:tr>
      <w:tr w:rsidR="006203E4" w14:paraId="509C09F5" w14:textId="77777777" w:rsidTr="006203E4">
        <w:trPr>
          <w:jc w:val="center"/>
        </w:trPr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057EC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BP</w:t>
            </w:r>
          </w:p>
        </w:tc>
        <w:tc>
          <w:tcPr>
            <w:tcW w:w="1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9B3B3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GO:0098664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FD85C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 protein-coupled serotonin receptor signaling pathway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BFE7D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14/1545</w:t>
            </w:r>
          </w:p>
        </w:tc>
        <w:tc>
          <w:tcPr>
            <w:tcW w:w="12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EDCAC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35/18800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49577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2.69e-07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6CE0B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7.38e-05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B77B4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3.741657</w:t>
            </w:r>
          </w:p>
        </w:tc>
      </w:tr>
      <w:tr w:rsidR="006203E4" w14:paraId="229CC88A" w14:textId="77777777" w:rsidTr="006203E4">
        <w:trPr>
          <w:jc w:val="center"/>
        </w:trPr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6E67B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BP</w:t>
            </w:r>
          </w:p>
        </w:tc>
        <w:tc>
          <w:tcPr>
            <w:tcW w:w="1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4B46F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GO:0043046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ABF33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DNA methylation involved in gamete generation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5B5D6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10/1545</w:t>
            </w:r>
          </w:p>
        </w:tc>
        <w:tc>
          <w:tcPr>
            <w:tcW w:w="12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D8FF6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20/18800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89334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1.17e-06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40CA0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0.0002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5550D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3.162278</w:t>
            </w:r>
          </w:p>
        </w:tc>
      </w:tr>
      <w:tr w:rsidR="006203E4" w14:paraId="487A8564" w14:textId="77777777" w:rsidTr="006203E4">
        <w:trPr>
          <w:jc w:val="center"/>
        </w:trPr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61080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BP</w:t>
            </w:r>
          </w:p>
        </w:tc>
        <w:tc>
          <w:tcPr>
            <w:tcW w:w="1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3EB73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GO:0042742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C5273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defense response to bacterium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3DE0B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57/1545</w:t>
            </w:r>
          </w:p>
        </w:tc>
        <w:tc>
          <w:tcPr>
            <w:tcW w:w="12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A24CA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364/18800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2163A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1.7e-06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B756D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0.0003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4C5F1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5.695489</w:t>
            </w:r>
          </w:p>
        </w:tc>
      </w:tr>
      <w:tr w:rsidR="006203E4" w14:paraId="23E25A7D" w14:textId="77777777" w:rsidTr="006203E4">
        <w:trPr>
          <w:jc w:val="center"/>
        </w:trPr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C3B2D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6EBC4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GO:0034364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F7D72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high-density lipoprotein particle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C3D94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13/1695</w:t>
            </w:r>
          </w:p>
        </w:tc>
        <w:tc>
          <w:tcPr>
            <w:tcW w:w="12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33553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27/19594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193D6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9.15e-08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134B0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1.11e-05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F0367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3.605551</w:t>
            </w:r>
          </w:p>
        </w:tc>
      </w:tr>
      <w:tr w:rsidR="006203E4" w14:paraId="5A08044B" w14:textId="77777777" w:rsidTr="006203E4">
        <w:trPr>
          <w:jc w:val="center"/>
        </w:trPr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63F9B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3011E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GO:0034358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E8D46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plasma lipoprotein particle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EAB2B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14/1695</w:t>
            </w:r>
          </w:p>
        </w:tc>
        <w:tc>
          <w:tcPr>
            <w:tcW w:w="12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96A50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36/19594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042CD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7.62e-07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F6DBE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5.99e-05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1DF80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3.741657</w:t>
            </w:r>
          </w:p>
        </w:tc>
      </w:tr>
      <w:tr w:rsidR="006203E4" w14:paraId="3D83C4A1" w14:textId="77777777" w:rsidTr="006203E4">
        <w:trPr>
          <w:jc w:val="center"/>
        </w:trPr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9A670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2CD76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GO:0005859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0F93E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muscle myosin complex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6888B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8/1695</w:t>
            </w:r>
          </w:p>
        </w:tc>
        <w:tc>
          <w:tcPr>
            <w:tcW w:w="12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1037D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15/19594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FC371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1.14e-05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98CEE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0.0006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08038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2.828427</w:t>
            </w:r>
          </w:p>
        </w:tc>
      </w:tr>
      <w:tr w:rsidR="006203E4" w14:paraId="151C06CA" w14:textId="77777777" w:rsidTr="006203E4">
        <w:trPr>
          <w:jc w:val="center"/>
        </w:trPr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B17A1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62560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GO:1902710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49BF6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GABA receptor complex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FECCE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8/1695</w:t>
            </w:r>
          </w:p>
        </w:tc>
        <w:tc>
          <w:tcPr>
            <w:tcW w:w="12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C7CC5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21/19594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B548E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0.0002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78DE5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0.0084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B80E1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2.828427</w:t>
            </w:r>
          </w:p>
        </w:tc>
      </w:tr>
      <w:tr w:rsidR="006203E4" w14:paraId="5B1085A3" w14:textId="77777777" w:rsidTr="006203E4">
        <w:trPr>
          <w:jc w:val="center"/>
        </w:trPr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D3F0F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90DD3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GO:0016460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4165E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myosin II complex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AEF43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8/1695</w:t>
            </w:r>
          </w:p>
        </w:tc>
        <w:tc>
          <w:tcPr>
            <w:tcW w:w="12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9B262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22/19594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D39A8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0.0003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9DCFE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0.0113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FB287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2.828427</w:t>
            </w:r>
          </w:p>
        </w:tc>
      </w:tr>
      <w:tr w:rsidR="006203E4" w14:paraId="7BE998F0" w14:textId="77777777" w:rsidTr="006203E4">
        <w:trPr>
          <w:jc w:val="center"/>
        </w:trPr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39895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1503C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GO:0034702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01245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ion channel complex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9C04D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42/1695</w:t>
            </w:r>
          </w:p>
        </w:tc>
        <w:tc>
          <w:tcPr>
            <w:tcW w:w="12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31EA3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294/19594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B5D29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0.0009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1B0CE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0.0192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8B08B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6.172134</w:t>
            </w:r>
          </w:p>
        </w:tc>
      </w:tr>
      <w:tr w:rsidR="006203E4" w14:paraId="19B38C4A" w14:textId="77777777" w:rsidTr="006203E4">
        <w:trPr>
          <w:jc w:val="center"/>
        </w:trPr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D243A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MF</w:t>
            </w:r>
          </w:p>
        </w:tc>
        <w:tc>
          <w:tcPr>
            <w:tcW w:w="1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3946B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GO:0030594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1B46C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neurotransmitter receptor activity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36E1F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33/1593</w:t>
            </w:r>
          </w:p>
        </w:tc>
        <w:tc>
          <w:tcPr>
            <w:tcW w:w="12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481C4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111/18410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30243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1.38e-10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A97D0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2.77e-08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EC761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5.744563</w:t>
            </w:r>
          </w:p>
        </w:tc>
      </w:tr>
      <w:tr w:rsidR="006203E4" w14:paraId="5ADD2FD5" w14:textId="77777777" w:rsidTr="006203E4">
        <w:trPr>
          <w:jc w:val="center"/>
        </w:trPr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9ACC5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MF</w:t>
            </w:r>
          </w:p>
        </w:tc>
        <w:tc>
          <w:tcPr>
            <w:tcW w:w="1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5AE0A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GO:0004866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274C2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endopeptidase inhibitor activity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624BC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43/1593</w:t>
            </w:r>
          </w:p>
        </w:tc>
        <w:tc>
          <w:tcPr>
            <w:tcW w:w="12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C11E4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180/18410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7509D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5.93e-10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C6961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9.54e-08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39FFB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4.117461</w:t>
            </w:r>
          </w:p>
        </w:tc>
      </w:tr>
      <w:tr w:rsidR="006203E4" w14:paraId="2DA9591B" w14:textId="77777777" w:rsidTr="006203E4">
        <w:trPr>
          <w:jc w:val="center"/>
        </w:trPr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0DB70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MF</w:t>
            </w:r>
          </w:p>
        </w:tc>
        <w:tc>
          <w:tcPr>
            <w:tcW w:w="1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F4874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GO:0004867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B7237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serine-type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endopeptidase inhibitor activity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98D49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29/1593</w:t>
            </w:r>
          </w:p>
        </w:tc>
        <w:tc>
          <w:tcPr>
            <w:tcW w:w="12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DF32C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98/18410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6CE07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2.01e-09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AC3BA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2.17e-07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38099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2.785430</w:t>
            </w:r>
          </w:p>
        </w:tc>
      </w:tr>
      <w:tr w:rsidR="006203E4" w14:paraId="51CFBA67" w14:textId="77777777" w:rsidTr="006203E4">
        <w:trPr>
          <w:jc w:val="center"/>
        </w:trPr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C2D76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MF</w:t>
            </w:r>
          </w:p>
        </w:tc>
        <w:tc>
          <w:tcPr>
            <w:tcW w:w="14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8DABD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GO:0004993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C5A74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 protein-coupled serotonin receptor activity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6ED27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14/1593</w:t>
            </w:r>
          </w:p>
        </w:tc>
        <w:tc>
          <w:tcPr>
            <w:tcW w:w="12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4E948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34/18410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62927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3.3e-07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58747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2.21e-05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3548F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3.741657</w:t>
            </w:r>
          </w:p>
        </w:tc>
      </w:tr>
      <w:tr w:rsidR="006203E4" w14:paraId="15917804" w14:textId="77777777" w:rsidTr="006203E4">
        <w:trPr>
          <w:jc w:val="center"/>
        </w:trPr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EF40F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MF</w:t>
            </w:r>
          </w:p>
        </w:tc>
        <w:tc>
          <w:tcPr>
            <w:tcW w:w="14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5B9D8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GO:0099589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75781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serotonin receptor activity</w:t>
            </w:r>
          </w:p>
        </w:tc>
        <w:tc>
          <w:tcPr>
            <w:tcW w:w="10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4C701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14/1593</w:t>
            </w:r>
          </w:p>
        </w:tc>
        <w:tc>
          <w:tcPr>
            <w:tcW w:w="12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354B7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34/18410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5EB23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3.3e-07</w:t>
            </w:r>
          </w:p>
        </w:tc>
        <w:tc>
          <w:tcPr>
            <w:tcW w:w="11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A84D0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2.21e-05</w:t>
            </w:r>
          </w:p>
        </w:tc>
        <w:tc>
          <w:tcPr>
            <w:tcW w:w="11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61D5D" w14:textId="77777777" w:rsidR="006203E4" w:rsidRDefault="006203E4" w:rsidP="00B602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3.741657</w:t>
            </w:r>
          </w:p>
        </w:tc>
      </w:tr>
    </w:tbl>
    <w:p w14:paraId="56A44686" w14:textId="77777777" w:rsidR="006203E4" w:rsidRDefault="006203E4" w:rsidP="006203E4">
      <w:pPr>
        <w:widowControl/>
        <w:jc w:val="left"/>
        <w:rPr>
          <w:rFonts w:eastAsia="DejaVu Sans"/>
          <w:color w:val="000000"/>
          <w:szCs w:val="21"/>
        </w:rPr>
      </w:pPr>
      <w:r>
        <w:rPr>
          <w:rFonts w:eastAsia="DejaVu Sans"/>
          <w:color w:val="000000"/>
          <w:szCs w:val="21"/>
          <w:vertAlign w:val="superscript"/>
        </w:rPr>
        <w:t>a</w:t>
      </w:r>
      <w:r>
        <w:rPr>
          <w:rFonts w:eastAsia="DejaVu Sans"/>
          <w:color w:val="000000"/>
          <w:szCs w:val="21"/>
        </w:rPr>
        <w:t xml:space="preserve"> CC, Cellular Component; BP, Biological Process; MF, Molecular Function.</w:t>
      </w:r>
    </w:p>
    <w:p w14:paraId="08B5F56B" w14:textId="77777777" w:rsidR="006203E4" w:rsidRPr="006203E4" w:rsidRDefault="006203E4" w:rsidP="006203E4">
      <w:pPr>
        <w:widowControl/>
        <w:spacing w:line="360" w:lineRule="auto"/>
        <w:rPr>
          <w:b/>
          <w:bCs/>
          <w:sz w:val="24"/>
        </w:rPr>
      </w:pPr>
    </w:p>
    <w:p w14:paraId="482637C3" w14:textId="77777777" w:rsidR="003C59AA" w:rsidRDefault="003C59AA"/>
    <w:sectPr w:rsidR="003C59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85AD49" w14:textId="77777777" w:rsidR="00772D12" w:rsidRDefault="00772D12" w:rsidP="006203E4">
      <w:r>
        <w:separator/>
      </w:r>
    </w:p>
  </w:endnote>
  <w:endnote w:type="continuationSeparator" w:id="0">
    <w:p w14:paraId="0A3FE5DE" w14:textId="77777777" w:rsidR="00772D12" w:rsidRDefault="00772D12" w:rsidP="00620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AD7AC8" w14:textId="77777777" w:rsidR="00772D12" w:rsidRDefault="00772D12" w:rsidP="006203E4">
      <w:r>
        <w:separator/>
      </w:r>
    </w:p>
  </w:footnote>
  <w:footnote w:type="continuationSeparator" w:id="0">
    <w:p w14:paraId="6988C02C" w14:textId="77777777" w:rsidR="00772D12" w:rsidRDefault="00772D12" w:rsidP="006203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CE8"/>
    <w:rsid w:val="00351CE8"/>
    <w:rsid w:val="003C59AA"/>
    <w:rsid w:val="006203E4"/>
    <w:rsid w:val="0077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4E6B329-63C7-48E2-ADB2-00D8B1462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3E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351CE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1C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1CE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1CE8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CE8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1CE8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1CE8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1CE8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1CE8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1CE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51C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51C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51CE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51CE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51CE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51CE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51CE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51CE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51CE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51C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1CE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51CE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51CE8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351C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51CE8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351CE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51C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351CE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51CE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203E4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203E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203E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203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7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 lv</dc:creator>
  <cp:keywords/>
  <dc:description/>
  <cp:lastModifiedBy>hao lv</cp:lastModifiedBy>
  <cp:revision>2</cp:revision>
  <dcterms:created xsi:type="dcterms:W3CDTF">2024-04-12T14:52:00Z</dcterms:created>
  <dcterms:modified xsi:type="dcterms:W3CDTF">2024-04-12T14:54:00Z</dcterms:modified>
</cp:coreProperties>
</file>