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59D7" w:rsidRPr="00B52867" w:rsidRDefault="00FF59D7" w:rsidP="00FF59D7">
      <w:pPr>
        <w:pStyle w:val="Kop1"/>
        <w:rPr>
          <w:rFonts w:ascii="Arial" w:hAnsi="Arial" w:cs="Arial"/>
          <w:b/>
          <w:lang w:val="en-US"/>
        </w:rPr>
      </w:pPr>
      <w:r w:rsidRPr="00B52867">
        <w:rPr>
          <w:rFonts w:ascii="Arial" w:hAnsi="Arial" w:cs="Arial"/>
          <w:b/>
          <w:lang w:val="en-US"/>
        </w:rPr>
        <w:t xml:space="preserve">SUPPLEMENTARY FILES </w:t>
      </w:r>
    </w:p>
    <w:p w:rsidR="00FF59D7" w:rsidRPr="00B52867" w:rsidRDefault="00FF59D7" w:rsidP="00FF59D7">
      <w:pPr>
        <w:rPr>
          <w:rFonts w:ascii="Arial" w:hAnsi="Arial" w:cs="Arial"/>
          <w:b/>
          <w:lang w:val="en-US"/>
        </w:rPr>
      </w:pPr>
      <w:r w:rsidRPr="00B52867">
        <w:rPr>
          <w:rFonts w:ascii="Arial" w:hAnsi="Arial" w:cs="Arial"/>
          <w:b/>
          <w:lang w:val="en-US"/>
        </w:rPr>
        <w:t xml:space="preserve">SUPPLEMENTARY FILE 1 – SENSITIVITY ANALYSES </w:t>
      </w: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r w:rsidRPr="00B52867">
        <w:rPr>
          <w:rFonts w:ascii="Arial" w:hAnsi="Arial" w:cs="Arial"/>
          <w:b/>
          <w:lang w:val="en-US"/>
        </w:rPr>
        <w:t xml:space="preserve">INDIVIDUAL COHORTS </w:t>
      </w:r>
    </w:p>
    <w:p w:rsidR="00FF59D7" w:rsidRPr="00B52867" w:rsidRDefault="00FF59D7" w:rsidP="00FF59D7">
      <w:pPr>
        <w:rPr>
          <w:rFonts w:ascii="Arial" w:hAnsi="Arial" w:cs="Arial"/>
          <w:b/>
          <w:lang w:val="en-US"/>
        </w:rPr>
      </w:pPr>
      <w:r w:rsidRPr="00B52867">
        <w:rPr>
          <w:rFonts w:ascii="Arial" w:hAnsi="Arial" w:cs="Arial"/>
          <w:b/>
          <w:lang w:val="en-US"/>
        </w:rPr>
        <w:t>Supplementary table 1: Within and between associations of land use mix in 1000-meter buffers and average minutes cycling and walking per week for the total GLOBE cohort</w:t>
      </w:r>
    </w:p>
    <w:p w:rsidR="00FF59D7" w:rsidRPr="00B52867" w:rsidRDefault="00FF59D7" w:rsidP="00FF59D7">
      <w:pPr>
        <w:rPr>
          <w:rFonts w:ascii="Arial" w:hAnsi="Arial" w:cs="Arial"/>
          <w:b/>
          <w:lang w:val="en-US"/>
        </w:rPr>
      </w:pP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4,645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1093"/>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1000-meter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-6.42</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-1.57</w:t>
            </w: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-20.75 ; 7.92</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-16.68 ; 13.53</w:t>
            </w: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0.380</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0.838</w:t>
            </w: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1093"/>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1000-meter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 xml:space="preserve">   Average walking time per week (minutes)</w:t>
            </w: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7.41</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10.13</w:t>
            </w: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-9.70 ; 24.52</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-5.25 ; 25.51</w:t>
            </w: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0.396</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0.197</w:t>
            </w:r>
          </w:p>
        </w:tc>
      </w:tr>
    </w:tbl>
    <w:p w:rsidR="00FF59D7" w:rsidRPr="00B52867" w:rsidRDefault="00FF59D7" w:rsidP="00FF59D7">
      <w:pPr>
        <w:rPr>
          <w:rFonts w:ascii="Arial" w:hAnsi="Arial" w:cs="Arial"/>
          <w:b/>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*adjusted for time-invariant individual characteristics gender and education, and time-varying characteristics age, employment, income, and marital status.</w:t>
      </w: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r w:rsidRPr="00B52867">
        <w:rPr>
          <w:rFonts w:ascii="Arial" w:hAnsi="Arial" w:cs="Arial"/>
          <w:b/>
          <w:lang w:val="en-US"/>
        </w:rPr>
        <w:t>Supplementary table 2: Within and between associations of land use mix in 1000-meter buffers and average minutes cycling and walking per week for the total LASA cohort</w:t>
      </w:r>
    </w:p>
    <w:p w:rsidR="00FF59D7" w:rsidRPr="00B52867" w:rsidRDefault="00FF59D7" w:rsidP="00FF59D7">
      <w:pPr>
        <w:rPr>
          <w:rFonts w:ascii="Arial" w:hAnsi="Arial" w:cs="Arial"/>
          <w:b/>
          <w:lang w:val="en-US"/>
        </w:rPr>
      </w:pP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3,342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1093"/>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1000-meter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-0.40</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8.81</w:t>
            </w: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-10.88 ; 10.07</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-8.46 ; 26.08</w:t>
            </w: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0.940</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0.317</w:t>
            </w: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1093"/>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1000-meter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 xml:space="preserve">   Average walking time per week (minutes)</w:t>
            </w: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3.85</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15.74</w:t>
            </w: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-1.98 ; 9.68</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4.07 ; 27.42</w:t>
            </w: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0.196</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0.008</w:t>
            </w:r>
          </w:p>
        </w:tc>
      </w:tr>
    </w:tbl>
    <w:p w:rsidR="00FF59D7" w:rsidRPr="00B52867" w:rsidRDefault="00FF59D7" w:rsidP="00FF59D7">
      <w:pPr>
        <w:rPr>
          <w:rFonts w:ascii="Arial" w:hAnsi="Arial" w:cs="Arial"/>
          <w:b/>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lastRenderedPageBreak/>
        <w:t>*adjusted for time-invariant individual characteristics gender and education, and time-varying characteristics age, employment, income, and marital status.</w:t>
      </w:r>
    </w:p>
    <w:p w:rsidR="00FF59D7" w:rsidRPr="00B52867" w:rsidRDefault="00FF59D7" w:rsidP="00FF59D7">
      <w:pPr>
        <w:rPr>
          <w:rFonts w:ascii="Arial" w:hAnsi="Arial" w:cs="Arial"/>
          <w:b/>
          <w:lang w:val="en-US"/>
        </w:rPr>
      </w:pPr>
      <w:r w:rsidRPr="00B52867">
        <w:rPr>
          <w:rFonts w:ascii="Arial" w:hAnsi="Arial" w:cs="Arial"/>
          <w:b/>
          <w:lang w:val="en-US"/>
        </w:rPr>
        <w:t>TOTAL SAMPLE INCLUDING MOVERS</w:t>
      </w: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lang w:val="en-US"/>
        </w:rPr>
      </w:pPr>
      <w:r w:rsidRPr="00B52867">
        <w:rPr>
          <w:rFonts w:ascii="Arial" w:hAnsi="Arial" w:cs="Arial"/>
          <w:b/>
          <w:lang w:val="en-US"/>
        </w:rPr>
        <w:t>Supplementary table 3: Within and between associations of land use mix in 1000-meter buffers and average minutes cycling and walking per week using the total sample of pooled data</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7,998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1093"/>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1000-meter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-2.62</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2.15</w:t>
            </w: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-12.12 ; 6.88</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-9.26 ; 13.55</w:t>
            </w: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0.589</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0.712</w:t>
            </w: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1093"/>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1000-meter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 xml:space="preserve">   Average walking time per week (minutes)</w:t>
            </w: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5.18</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13.80</w:t>
            </w: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-3.55 ; 13.90</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4.37 ; 23.23</w:t>
            </w: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0.245</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0.004</w:t>
            </w: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r w:rsidRPr="00B52867">
        <w:rPr>
          <w:rFonts w:ascii="Arial" w:hAnsi="Arial" w:cs="Arial"/>
          <w:b/>
          <w:lang w:val="en-US"/>
        </w:rPr>
        <w:t>Supplementary table 4: Within-individual changes in land use mix in 500- and 1600-meter buffers using pooled data from respondents that did not relocate during follow-up</w:t>
      </w:r>
    </w:p>
    <w:p w:rsidR="00FF59D7" w:rsidRPr="00B52867" w:rsidRDefault="00FF59D7" w:rsidP="00FF59D7">
      <w:pPr>
        <w:rPr>
          <w:rFonts w:ascii="Arial" w:hAnsi="Arial" w:cs="Arial"/>
          <w:b/>
          <w:lang w:val="en-US"/>
        </w:rPr>
      </w:pPr>
    </w:p>
    <w:tbl>
      <w:tblPr>
        <w:tblStyle w:val="Tabelraster"/>
        <w:tblW w:w="9080" w:type="dxa"/>
        <w:tblLayout w:type="fixed"/>
        <w:tblLook w:val="04A0" w:firstRow="1" w:lastRow="0" w:firstColumn="1" w:lastColumn="0" w:noHBand="0" w:noVBand="1"/>
      </w:tblPr>
      <w:tblGrid>
        <w:gridCol w:w="3823"/>
        <w:gridCol w:w="992"/>
        <w:gridCol w:w="709"/>
        <w:gridCol w:w="992"/>
        <w:gridCol w:w="709"/>
        <w:gridCol w:w="992"/>
        <w:gridCol w:w="863"/>
      </w:tblGrid>
      <w:tr w:rsidR="00FF59D7" w:rsidRPr="00B52867" w:rsidTr="007E718C">
        <w:trPr>
          <w:trHeight w:val="325"/>
        </w:trPr>
        <w:tc>
          <w:tcPr>
            <w:tcW w:w="3823" w:type="dxa"/>
          </w:tcPr>
          <w:p w:rsidR="00FF59D7" w:rsidRPr="00B52867" w:rsidRDefault="00FF59D7" w:rsidP="007E718C">
            <w:pPr>
              <w:rPr>
                <w:rFonts w:ascii="Arial" w:hAnsi="Arial" w:cs="Arial"/>
                <w:sz w:val="18"/>
                <w:szCs w:val="18"/>
                <w:lang w:val="en-US"/>
              </w:rPr>
            </w:pPr>
          </w:p>
        </w:tc>
        <w:tc>
          <w:tcPr>
            <w:tcW w:w="1701" w:type="dxa"/>
            <w:gridSpan w:val="2"/>
          </w:tcPr>
          <w:p w:rsidR="00FF59D7" w:rsidRPr="00B52867" w:rsidRDefault="00FF59D7" w:rsidP="007E718C">
            <w:pPr>
              <w:jc w:val="center"/>
              <w:rPr>
                <w:rFonts w:ascii="Arial" w:hAnsi="Arial" w:cs="Arial"/>
                <w:b/>
                <w:sz w:val="18"/>
                <w:szCs w:val="18"/>
                <w:lang w:val="en-US"/>
              </w:rPr>
            </w:pPr>
            <w:r w:rsidRPr="00B52867">
              <w:rPr>
                <w:rFonts w:ascii="Arial" w:hAnsi="Arial" w:cs="Arial"/>
                <w:b/>
                <w:sz w:val="18"/>
                <w:szCs w:val="18"/>
                <w:lang w:val="en-US"/>
              </w:rPr>
              <w:t>Decrease</w:t>
            </w:r>
          </w:p>
        </w:tc>
        <w:tc>
          <w:tcPr>
            <w:tcW w:w="1701" w:type="dxa"/>
            <w:gridSpan w:val="2"/>
          </w:tcPr>
          <w:p w:rsidR="00FF59D7" w:rsidRPr="00B52867" w:rsidRDefault="00FF59D7" w:rsidP="007E718C">
            <w:pPr>
              <w:jc w:val="center"/>
              <w:rPr>
                <w:rFonts w:ascii="Arial" w:hAnsi="Arial" w:cs="Arial"/>
                <w:b/>
                <w:sz w:val="18"/>
                <w:szCs w:val="18"/>
                <w:lang w:val="en-US"/>
              </w:rPr>
            </w:pPr>
            <w:r w:rsidRPr="00B52867">
              <w:rPr>
                <w:rFonts w:ascii="Arial" w:hAnsi="Arial" w:cs="Arial"/>
                <w:b/>
                <w:sz w:val="18"/>
                <w:szCs w:val="18"/>
                <w:lang w:val="en-US"/>
              </w:rPr>
              <w:t>No Change</w:t>
            </w:r>
          </w:p>
        </w:tc>
        <w:tc>
          <w:tcPr>
            <w:tcW w:w="1855" w:type="dxa"/>
            <w:gridSpan w:val="2"/>
          </w:tcPr>
          <w:p w:rsidR="00FF59D7" w:rsidRPr="00B52867" w:rsidRDefault="00FF59D7" w:rsidP="007E718C">
            <w:pPr>
              <w:jc w:val="center"/>
              <w:rPr>
                <w:rFonts w:ascii="Arial" w:hAnsi="Arial" w:cs="Arial"/>
                <w:b/>
                <w:sz w:val="18"/>
                <w:szCs w:val="18"/>
                <w:lang w:val="en-US"/>
              </w:rPr>
            </w:pPr>
            <w:r w:rsidRPr="00B52867">
              <w:rPr>
                <w:rFonts w:ascii="Arial" w:hAnsi="Arial" w:cs="Arial"/>
                <w:b/>
                <w:sz w:val="18"/>
                <w:szCs w:val="18"/>
                <w:lang w:val="en-US"/>
              </w:rPr>
              <w:t>Increase</w:t>
            </w:r>
          </w:p>
        </w:tc>
      </w:tr>
      <w:tr w:rsidR="00FF59D7" w:rsidRPr="00B52867" w:rsidTr="007E718C">
        <w:trPr>
          <w:trHeight w:val="312"/>
        </w:trPr>
        <w:tc>
          <w:tcPr>
            <w:tcW w:w="3823"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N = 6,303 person-observations</w:t>
            </w:r>
          </w:p>
        </w:tc>
        <w:tc>
          <w:tcPr>
            <w:tcW w:w="992"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Mean</w:t>
            </w:r>
          </w:p>
        </w:tc>
        <w:tc>
          <w:tcPr>
            <w:tcW w:w="709"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N</w:t>
            </w:r>
          </w:p>
        </w:tc>
        <w:tc>
          <w:tcPr>
            <w:tcW w:w="992"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Mean</w:t>
            </w:r>
          </w:p>
        </w:tc>
        <w:tc>
          <w:tcPr>
            <w:tcW w:w="709"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N</w:t>
            </w:r>
          </w:p>
        </w:tc>
        <w:tc>
          <w:tcPr>
            <w:tcW w:w="992"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Mean</w:t>
            </w:r>
          </w:p>
        </w:tc>
        <w:tc>
          <w:tcPr>
            <w:tcW w:w="863"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N</w:t>
            </w:r>
          </w:p>
        </w:tc>
      </w:tr>
      <w:tr w:rsidR="00FF59D7" w:rsidRPr="00B52867" w:rsidTr="007E718C">
        <w:trPr>
          <w:trHeight w:val="1034"/>
        </w:trPr>
        <w:tc>
          <w:tcPr>
            <w:tcW w:w="3823" w:type="dxa"/>
          </w:tcPr>
          <w:p w:rsidR="00FF59D7" w:rsidRPr="00B52867" w:rsidRDefault="00FF59D7" w:rsidP="007E718C">
            <w:pPr>
              <w:jc w:val="left"/>
              <w:rPr>
                <w:rFonts w:ascii="Arial" w:hAnsi="Arial" w:cs="Arial"/>
                <w:b/>
                <w:sz w:val="18"/>
                <w:szCs w:val="18"/>
                <w:lang w:val="en-US"/>
              </w:rPr>
            </w:pPr>
            <w:r w:rsidRPr="00B52867">
              <w:rPr>
                <w:rFonts w:ascii="Arial" w:hAnsi="Arial" w:cs="Arial"/>
                <w:b/>
                <w:sz w:val="18"/>
                <w:szCs w:val="18"/>
                <w:lang w:val="en-US"/>
              </w:rPr>
              <w:t>Exposure</w:t>
            </w:r>
          </w:p>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jc w:val="left"/>
              <w:rPr>
                <w:rFonts w:ascii="Arial" w:hAnsi="Arial" w:cs="Arial"/>
                <w:sz w:val="18"/>
                <w:szCs w:val="18"/>
                <w:lang w:val="en-US"/>
              </w:rPr>
            </w:pPr>
          </w:p>
        </w:tc>
        <w:tc>
          <w:tcPr>
            <w:tcW w:w="992"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tabs>
                <w:tab w:val="left" w:pos="516"/>
              </w:tabs>
              <w:jc w:val="right"/>
              <w:rPr>
                <w:rFonts w:ascii="Arial" w:hAnsi="Arial" w:cs="Arial"/>
                <w:sz w:val="18"/>
                <w:szCs w:val="18"/>
                <w:lang w:val="en-US"/>
              </w:rPr>
            </w:pPr>
            <w:r w:rsidRPr="00B52867">
              <w:rPr>
                <w:rFonts w:ascii="Arial" w:hAnsi="Arial" w:cs="Arial"/>
                <w:sz w:val="18"/>
                <w:szCs w:val="18"/>
                <w:lang w:val="en-US"/>
              </w:rPr>
              <w:t>-0.02</w:t>
            </w:r>
          </w:p>
          <w:p w:rsidR="00FF59D7" w:rsidRPr="00B52867" w:rsidRDefault="00FF59D7" w:rsidP="007E718C">
            <w:pPr>
              <w:tabs>
                <w:tab w:val="left" w:pos="516"/>
              </w:tabs>
              <w:jc w:val="right"/>
              <w:rPr>
                <w:rFonts w:ascii="Arial" w:hAnsi="Arial" w:cs="Arial"/>
                <w:sz w:val="18"/>
                <w:szCs w:val="18"/>
                <w:lang w:val="en-US"/>
              </w:rPr>
            </w:pPr>
            <w:r w:rsidRPr="00B52867">
              <w:rPr>
                <w:rFonts w:ascii="Arial" w:hAnsi="Arial" w:cs="Arial"/>
                <w:sz w:val="18"/>
                <w:szCs w:val="18"/>
                <w:lang w:val="en-US"/>
              </w:rPr>
              <w:t>-0.01</w:t>
            </w:r>
          </w:p>
        </w:tc>
        <w:tc>
          <w:tcPr>
            <w:tcW w:w="709" w:type="dxa"/>
          </w:tcPr>
          <w:p w:rsidR="00FF59D7" w:rsidRPr="00B52867" w:rsidRDefault="00FF59D7" w:rsidP="007E718C">
            <w:pPr>
              <w:tabs>
                <w:tab w:val="left" w:pos="324"/>
              </w:tabs>
              <w:jc w:val="right"/>
              <w:rPr>
                <w:rFonts w:ascii="Arial" w:hAnsi="Arial" w:cs="Arial"/>
                <w:sz w:val="18"/>
                <w:szCs w:val="18"/>
                <w:lang w:val="en-US"/>
              </w:rPr>
            </w:pPr>
          </w:p>
          <w:p w:rsidR="00FF59D7" w:rsidRPr="00B52867" w:rsidRDefault="00FF59D7" w:rsidP="007E718C">
            <w:pPr>
              <w:tabs>
                <w:tab w:val="left" w:pos="324"/>
              </w:tabs>
              <w:jc w:val="right"/>
              <w:rPr>
                <w:rFonts w:ascii="Arial" w:hAnsi="Arial" w:cs="Arial"/>
                <w:sz w:val="18"/>
                <w:szCs w:val="18"/>
                <w:lang w:val="en-US"/>
              </w:rPr>
            </w:pPr>
            <w:r w:rsidRPr="00B52867">
              <w:rPr>
                <w:rFonts w:ascii="Arial" w:hAnsi="Arial" w:cs="Arial"/>
                <w:sz w:val="18"/>
                <w:szCs w:val="18"/>
                <w:lang w:val="en-US"/>
              </w:rPr>
              <w:t>833</w:t>
            </w:r>
          </w:p>
          <w:p w:rsidR="00FF59D7" w:rsidRPr="00B52867" w:rsidRDefault="00FF59D7" w:rsidP="007E718C">
            <w:pPr>
              <w:tabs>
                <w:tab w:val="left" w:pos="324"/>
              </w:tabs>
              <w:jc w:val="right"/>
              <w:rPr>
                <w:rFonts w:ascii="Arial" w:hAnsi="Arial" w:cs="Arial"/>
                <w:sz w:val="18"/>
                <w:szCs w:val="18"/>
                <w:lang w:val="en-US"/>
              </w:rPr>
            </w:pPr>
            <w:r w:rsidRPr="00B52867">
              <w:rPr>
                <w:rFonts w:ascii="Arial" w:hAnsi="Arial" w:cs="Arial"/>
                <w:sz w:val="18"/>
                <w:szCs w:val="18"/>
                <w:lang w:val="en-US"/>
              </w:rPr>
              <w:t>860</w:t>
            </w:r>
          </w:p>
        </w:tc>
        <w:tc>
          <w:tcPr>
            <w:tcW w:w="992"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w:t>
            </w:r>
          </w:p>
          <w:p w:rsidR="00FF59D7" w:rsidRPr="00B52867" w:rsidRDefault="00FF59D7" w:rsidP="007E718C">
            <w:pPr>
              <w:jc w:val="right"/>
              <w:rPr>
                <w:rFonts w:ascii="Arial" w:hAnsi="Arial" w:cs="Arial"/>
                <w:sz w:val="18"/>
                <w:szCs w:val="18"/>
                <w:lang w:val="en-US"/>
              </w:rPr>
            </w:pPr>
          </w:p>
        </w:tc>
        <w:tc>
          <w:tcPr>
            <w:tcW w:w="709"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3779</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3097</w:t>
            </w:r>
          </w:p>
        </w:tc>
        <w:tc>
          <w:tcPr>
            <w:tcW w:w="992"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0.03</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0.05</w:t>
            </w:r>
          </w:p>
        </w:tc>
        <w:tc>
          <w:tcPr>
            <w:tcW w:w="863"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1691</w:t>
            </w: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2346</w:t>
            </w:r>
          </w:p>
        </w:tc>
      </w:tr>
    </w:tbl>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b/>
          <w:lang w:val="en-US"/>
        </w:rPr>
      </w:pPr>
      <w:r w:rsidRPr="00B52867">
        <w:rPr>
          <w:rFonts w:ascii="Arial" w:hAnsi="Arial" w:cs="Arial"/>
          <w:b/>
          <w:lang w:val="en-US"/>
        </w:rPr>
        <w:t>CYCLING – DIFFERENT BUFFER SIZES</w:t>
      </w: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lang w:val="en-US"/>
        </w:rPr>
      </w:pPr>
      <w:r w:rsidRPr="00B52867">
        <w:rPr>
          <w:rFonts w:ascii="Arial" w:hAnsi="Arial" w:cs="Arial"/>
          <w:b/>
          <w:lang w:val="en-US"/>
        </w:rPr>
        <w:t>Supplementary table 5: Within and between associations of land use mix in 1600-meter buffers and average minutes cycling per week using pooled data on respondents that did not relocate during follow-up</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6,285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-7.49</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-14.31 ; -0.66</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0.032</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3.57</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-5.41 ; 12.55</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0.436</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rPr>
          <w:rFonts w:ascii="Arial" w:hAnsi="Arial" w:cs="Arial"/>
          <w:lang w:val="en-US"/>
        </w:rPr>
      </w:pPr>
      <w:r w:rsidRPr="00B52867">
        <w:rPr>
          <w:rFonts w:ascii="Arial" w:hAnsi="Arial" w:cs="Arial"/>
          <w:b/>
          <w:lang w:val="en-US"/>
        </w:rPr>
        <w:t xml:space="preserve">Supplementary table 6: Within and between associations of land use mix in 1600-meter buffers and average minutes cycling per week using the total sample of pooled data </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7,998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-2.12</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-8.18 ; 3.94</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0.493</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4.30</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-4.63 ; 12.23</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0.288</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br w:type="page"/>
      </w:r>
    </w:p>
    <w:p w:rsidR="00FF59D7" w:rsidRPr="00B52867" w:rsidRDefault="00FF59D7" w:rsidP="00FF59D7">
      <w:pPr>
        <w:rPr>
          <w:rFonts w:ascii="Arial" w:hAnsi="Arial" w:cs="Arial"/>
          <w:lang w:val="en-US"/>
        </w:rPr>
      </w:pPr>
      <w:r w:rsidRPr="00B52867">
        <w:rPr>
          <w:rFonts w:ascii="Arial" w:hAnsi="Arial" w:cs="Arial"/>
          <w:b/>
          <w:lang w:val="en-US"/>
        </w:rPr>
        <w:lastRenderedPageBreak/>
        <w:t>Supplementary table 7: Within and between associations of land use mix in 1600-meter buffers and average minutes cycling per week for respondents that did not relocate during follow-up for the GLOBE cohort</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3,531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-6.89</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-16.41 ; 2.62</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0.155</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3.06</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-14.67 ; 20.79</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0.735</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rPr>
          <w:rFonts w:ascii="Arial" w:hAnsi="Arial" w:cs="Arial"/>
          <w:lang w:val="en-US"/>
        </w:rPr>
      </w:pPr>
      <w:r w:rsidRPr="00B52867">
        <w:rPr>
          <w:rFonts w:ascii="Arial" w:hAnsi="Arial" w:cs="Arial"/>
          <w:b/>
          <w:lang w:val="en-US"/>
        </w:rPr>
        <w:t>Supplementary table 8: Within and between associations of land use mix in 1600-meter buffers and average minutes cycling per week for respondents that did not relocate during follow-up for the LASA cohort</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2,754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-10.66</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-18.73 ; -2.60</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0.010</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1600-meter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cycling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2.75</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-2.85 ; 8.35</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0.336</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b/>
          <w:lang w:val="en-US"/>
        </w:rPr>
      </w:pPr>
      <w:r w:rsidRPr="00B52867">
        <w:rPr>
          <w:rFonts w:ascii="Arial" w:hAnsi="Arial" w:cs="Arial"/>
          <w:b/>
          <w:lang w:val="en-US"/>
        </w:rPr>
        <w:br w:type="page"/>
      </w:r>
    </w:p>
    <w:p w:rsidR="00FF59D7" w:rsidRPr="00B52867" w:rsidRDefault="00FF59D7" w:rsidP="00FF59D7">
      <w:pPr>
        <w:rPr>
          <w:rFonts w:ascii="Arial" w:hAnsi="Arial" w:cs="Arial"/>
          <w:b/>
          <w:lang w:val="en-US"/>
        </w:rPr>
      </w:pPr>
      <w:r w:rsidRPr="00B52867">
        <w:rPr>
          <w:rFonts w:ascii="Arial" w:hAnsi="Arial" w:cs="Arial"/>
          <w:b/>
          <w:lang w:val="en-US"/>
        </w:rPr>
        <w:lastRenderedPageBreak/>
        <w:t>WALKING – DIFFERENT BUFFER SIZES</w:t>
      </w:r>
    </w:p>
    <w:p w:rsidR="00FF59D7" w:rsidRPr="00B52867" w:rsidRDefault="00FF59D7" w:rsidP="00FF59D7">
      <w:pPr>
        <w:rPr>
          <w:rFonts w:ascii="Arial" w:hAnsi="Arial" w:cs="Arial"/>
          <w:b/>
          <w:lang w:val="en-US"/>
        </w:rPr>
      </w:pPr>
    </w:p>
    <w:p w:rsidR="00FF59D7" w:rsidRPr="00B52867" w:rsidRDefault="00FF59D7" w:rsidP="00FF59D7">
      <w:pPr>
        <w:rPr>
          <w:rFonts w:ascii="Arial" w:hAnsi="Arial" w:cs="Arial"/>
          <w:lang w:val="en-US"/>
        </w:rPr>
      </w:pPr>
      <w:r w:rsidRPr="00B52867">
        <w:rPr>
          <w:rFonts w:ascii="Arial" w:hAnsi="Arial" w:cs="Arial"/>
          <w:b/>
          <w:lang w:val="en-US"/>
        </w:rPr>
        <w:t>Supplementary table 9: Within and between associations of land use mix in 500-meter buffers and average minutes walking per week using pooled data on respondents that did not relocate during follow-up</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6,285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-35.67</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-68.85 ; -2.49</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0.035</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11.39</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-0.28 ; 23.05</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0.056</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b/>
          <w:lang w:val="en-US"/>
        </w:rPr>
      </w:pPr>
    </w:p>
    <w:p w:rsidR="00FF59D7" w:rsidRPr="00B52867" w:rsidRDefault="00FF59D7" w:rsidP="00FF59D7">
      <w:pPr>
        <w:rPr>
          <w:rFonts w:ascii="Arial" w:hAnsi="Arial" w:cs="Arial"/>
          <w:lang w:val="en-US"/>
        </w:rPr>
      </w:pPr>
      <w:r w:rsidRPr="00B52867">
        <w:rPr>
          <w:rFonts w:ascii="Arial" w:hAnsi="Arial" w:cs="Arial"/>
          <w:b/>
          <w:lang w:val="en-US"/>
        </w:rPr>
        <w:t>Supplementary table 10: Within and between associations of land use mix in 500-meter buffers and average minutes walking per week using the total sample of pooled data</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7,998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-4.16</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-22.94 ; 14.62</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0.664</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10.90</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0.89 ; 20.91</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0.033</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b/>
          <w:lang w:val="en-US"/>
        </w:rPr>
      </w:pPr>
      <w:r w:rsidRPr="00B52867">
        <w:rPr>
          <w:rFonts w:ascii="Arial" w:hAnsi="Arial" w:cs="Arial"/>
          <w:b/>
          <w:lang w:val="en-US"/>
        </w:rPr>
        <w:br w:type="page"/>
      </w:r>
    </w:p>
    <w:p w:rsidR="00FF59D7" w:rsidRPr="00B52867" w:rsidRDefault="00FF59D7" w:rsidP="00FF59D7">
      <w:pPr>
        <w:rPr>
          <w:rFonts w:ascii="Arial" w:hAnsi="Arial" w:cs="Arial"/>
          <w:lang w:val="en-US"/>
        </w:rPr>
      </w:pPr>
      <w:r w:rsidRPr="00B52867">
        <w:rPr>
          <w:rFonts w:ascii="Arial" w:hAnsi="Arial" w:cs="Arial"/>
          <w:b/>
          <w:lang w:val="en-US"/>
        </w:rPr>
        <w:lastRenderedPageBreak/>
        <w:t>Supplementary table 11: Within and between associations of land use mix in 500-meter buffers and average minutes cycling per week for respondents that did not relocate during follow-up for the GLOBE cohort</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3,531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-28.45</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-72.76 ; 15.86</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0.208</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-2.65</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-22.55 ; 16.95</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0.791</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rPr>
          <w:rFonts w:ascii="Arial" w:hAnsi="Arial" w:cs="Arial"/>
          <w:lang w:val="en-US"/>
        </w:rPr>
      </w:pPr>
      <w:r w:rsidRPr="00B52867">
        <w:rPr>
          <w:rFonts w:ascii="Arial" w:hAnsi="Arial" w:cs="Arial"/>
          <w:b/>
          <w:lang w:val="en-US"/>
        </w:rPr>
        <w:t>Supplementary table 12: Within and between associations of land use mix in 500-meter buffers and average minutes cycling per week for respondents that did not relocate during follow-up for the LASA cohort</w:t>
      </w:r>
    </w:p>
    <w:tbl>
      <w:tblPr>
        <w:tblStyle w:val="Tabelraster"/>
        <w:tblpPr w:leftFromText="180" w:rightFromText="180" w:vertAnchor="text" w:horzAnchor="margin" w:tblpXSpec="right" w:tblpY="244"/>
        <w:tblW w:w="9093" w:type="dxa"/>
        <w:tblLayout w:type="fixed"/>
        <w:tblLook w:val="04A0" w:firstRow="1" w:lastRow="0" w:firstColumn="1" w:lastColumn="0" w:noHBand="0" w:noVBand="1"/>
      </w:tblPr>
      <w:tblGrid>
        <w:gridCol w:w="3964"/>
        <w:gridCol w:w="1701"/>
        <w:gridCol w:w="2214"/>
        <w:gridCol w:w="1214"/>
      </w:tblGrid>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N = 2,754 person observations</w:t>
            </w:r>
          </w:p>
        </w:tc>
        <w:tc>
          <w:tcPr>
            <w:tcW w:w="5129" w:type="dxa"/>
            <w:gridSpan w:val="3"/>
          </w:tcPr>
          <w:p w:rsidR="00FF59D7" w:rsidRPr="00B52867" w:rsidRDefault="00FF59D7" w:rsidP="007E718C">
            <w:pPr>
              <w:jc w:val="center"/>
              <w:rPr>
                <w:rFonts w:ascii="Arial" w:hAnsi="Arial" w:cs="Arial"/>
                <w:b/>
                <w:sz w:val="20"/>
                <w:szCs w:val="20"/>
                <w:lang w:val="en-US"/>
              </w:rPr>
            </w:pPr>
            <w:r w:rsidRPr="00B52867">
              <w:rPr>
                <w:rFonts w:ascii="Arial" w:hAnsi="Arial" w:cs="Arial"/>
                <w:b/>
                <w:sz w:val="20"/>
                <w:szCs w:val="20"/>
                <w:lang w:val="en-US"/>
              </w:rPr>
              <w:t>WITHIN EFFECTS</w:t>
            </w:r>
          </w:p>
        </w:tc>
      </w:tr>
      <w:tr w:rsidR="00FF59D7" w:rsidRPr="00B52867" w:rsidTr="007E718C">
        <w:trPr>
          <w:trHeight w:val="420"/>
        </w:trPr>
        <w:tc>
          <w:tcPr>
            <w:tcW w:w="3964" w:type="dxa"/>
          </w:tcPr>
          <w:p w:rsidR="00FF59D7" w:rsidRPr="00B52867" w:rsidRDefault="00FF59D7" w:rsidP="007E718C">
            <w:pPr>
              <w:tabs>
                <w:tab w:val="left" w:pos="1968"/>
              </w:tabs>
              <w:jc w:val="left"/>
              <w:rPr>
                <w:rFonts w:ascii="Arial" w:hAnsi="Arial" w:cs="Arial"/>
                <w:b/>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40"/>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ind w:left="171"/>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-40.23</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-90.75 ; 10.28</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0.119</w:t>
            </w:r>
          </w:p>
          <w:p w:rsidR="00FF59D7" w:rsidRPr="00B52867" w:rsidRDefault="00FF59D7" w:rsidP="007E718C">
            <w:pPr>
              <w:jc w:val="right"/>
              <w:rPr>
                <w:rFonts w:ascii="Arial" w:hAnsi="Arial" w:cs="Arial"/>
                <w:sz w:val="18"/>
                <w:szCs w:val="18"/>
                <w:lang w:val="en-US"/>
              </w:rPr>
            </w:pPr>
          </w:p>
        </w:tc>
      </w:tr>
      <w:tr w:rsidR="00FF59D7" w:rsidRPr="00B52867" w:rsidTr="007E718C">
        <w:trPr>
          <w:trHeight w:val="408"/>
        </w:trPr>
        <w:tc>
          <w:tcPr>
            <w:tcW w:w="3964" w:type="dxa"/>
          </w:tcPr>
          <w:p w:rsidR="00FF59D7" w:rsidRPr="00B52867" w:rsidRDefault="00FF59D7" w:rsidP="007E718C">
            <w:pPr>
              <w:jc w:val="left"/>
              <w:rPr>
                <w:rFonts w:ascii="Arial" w:hAnsi="Arial" w:cs="Arial"/>
                <w:sz w:val="18"/>
                <w:szCs w:val="18"/>
                <w:lang w:val="en-US"/>
              </w:rPr>
            </w:pPr>
          </w:p>
        </w:tc>
        <w:tc>
          <w:tcPr>
            <w:tcW w:w="5129" w:type="dxa"/>
            <w:gridSpan w:val="3"/>
          </w:tcPr>
          <w:p w:rsidR="00FF59D7" w:rsidRPr="00B52867" w:rsidRDefault="00FF59D7" w:rsidP="007E718C">
            <w:pPr>
              <w:jc w:val="center"/>
              <w:rPr>
                <w:rFonts w:ascii="Arial" w:hAnsi="Arial" w:cs="Arial"/>
                <w:sz w:val="18"/>
                <w:szCs w:val="18"/>
                <w:lang w:val="en-US"/>
              </w:rPr>
            </w:pPr>
            <w:r w:rsidRPr="00B52867">
              <w:rPr>
                <w:rFonts w:ascii="Arial" w:hAnsi="Arial" w:cs="Arial"/>
                <w:b/>
                <w:sz w:val="20"/>
                <w:szCs w:val="20"/>
                <w:lang w:val="en-US"/>
              </w:rPr>
              <w:t>BETWEEN EFFECTS</w:t>
            </w:r>
          </w:p>
        </w:tc>
      </w:tr>
      <w:tr w:rsidR="00FF59D7" w:rsidRPr="00B52867" w:rsidTr="007E718C">
        <w:trPr>
          <w:trHeight w:val="414"/>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b/>
                <w:sz w:val="18"/>
                <w:szCs w:val="18"/>
                <w:lang w:val="en-US"/>
              </w:rPr>
              <w:t>REWB model*</w:t>
            </w:r>
            <w:r w:rsidRPr="00B52867">
              <w:rPr>
                <w:rFonts w:ascii="Arial" w:hAnsi="Arial" w:cs="Arial"/>
                <w:b/>
                <w:sz w:val="18"/>
                <w:szCs w:val="18"/>
                <w:lang w:val="en-US"/>
              </w:rPr>
              <w:tab/>
            </w:r>
          </w:p>
        </w:tc>
        <w:tc>
          <w:tcPr>
            <w:tcW w:w="1701"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β</w:t>
            </w:r>
          </w:p>
        </w:tc>
        <w:tc>
          <w:tcPr>
            <w:tcW w:w="2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95% CI</w:t>
            </w:r>
          </w:p>
        </w:tc>
        <w:tc>
          <w:tcPr>
            <w:tcW w:w="1214" w:type="dxa"/>
          </w:tcPr>
          <w:p w:rsidR="00FF59D7" w:rsidRPr="00B52867" w:rsidRDefault="00FF59D7" w:rsidP="007E718C">
            <w:pPr>
              <w:jc w:val="center"/>
              <w:rPr>
                <w:rFonts w:ascii="Arial" w:hAnsi="Arial" w:cs="Arial"/>
                <w:sz w:val="18"/>
                <w:szCs w:val="18"/>
                <w:lang w:val="en-US"/>
              </w:rPr>
            </w:pPr>
            <w:r w:rsidRPr="00B52867">
              <w:rPr>
                <w:rFonts w:ascii="Arial" w:hAnsi="Arial" w:cs="Arial"/>
                <w:sz w:val="18"/>
                <w:szCs w:val="18"/>
                <w:lang w:val="en-US"/>
              </w:rPr>
              <w:t>p-value</w:t>
            </w:r>
          </w:p>
        </w:tc>
      </w:tr>
      <w:tr w:rsidR="00FF59D7" w:rsidRPr="00B52867" w:rsidTr="007E718C">
        <w:trPr>
          <w:trHeight w:val="882"/>
        </w:trPr>
        <w:tc>
          <w:tcPr>
            <w:tcW w:w="3964" w:type="dxa"/>
          </w:tcPr>
          <w:p w:rsidR="00FF59D7" w:rsidRPr="00B52867" w:rsidRDefault="00FF59D7" w:rsidP="007E718C">
            <w:pPr>
              <w:jc w:val="left"/>
              <w:rPr>
                <w:rFonts w:ascii="Arial" w:hAnsi="Arial" w:cs="Arial"/>
                <w:sz w:val="18"/>
                <w:szCs w:val="18"/>
                <w:lang w:val="en-US"/>
              </w:rPr>
            </w:pPr>
            <w:r w:rsidRPr="00B52867">
              <w:rPr>
                <w:rFonts w:ascii="Arial" w:hAnsi="Arial" w:cs="Arial"/>
                <w:sz w:val="18"/>
                <w:szCs w:val="18"/>
                <w:lang w:val="en-US"/>
              </w:rPr>
              <w:t>Land use mix in 500-meter buffers</w:t>
            </w:r>
          </w:p>
          <w:p w:rsidR="00FF59D7" w:rsidRPr="00B52867" w:rsidRDefault="00FF59D7" w:rsidP="007E718C">
            <w:pPr>
              <w:ind w:left="171"/>
              <w:jc w:val="left"/>
              <w:rPr>
                <w:rFonts w:ascii="Arial" w:hAnsi="Arial" w:cs="Arial"/>
                <w:sz w:val="18"/>
                <w:szCs w:val="18"/>
                <w:lang w:val="en-US"/>
              </w:rPr>
            </w:pPr>
            <w:r w:rsidRPr="00B52867">
              <w:rPr>
                <w:rFonts w:ascii="Arial" w:hAnsi="Arial" w:cs="Arial"/>
                <w:sz w:val="18"/>
                <w:szCs w:val="18"/>
                <w:lang w:val="en-US"/>
              </w:rPr>
              <w:t>Average walking time per week (minutes)</w:t>
            </w:r>
          </w:p>
          <w:p w:rsidR="00FF59D7" w:rsidRPr="00B52867" w:rsidRDefault="00FF59D7" w:rsidP="007E718C">
            <w:pPr>
              <w:jc w:val="left"/>
              <w:rPr>
                <w:rFonts w:ascii="Arial" w:hAnsi="Arial" w:cs="Arial"/>
                <w:sz w:val="18"/>
                <w:szCs w:val="18"/>
                <w:lang w:val="en-US"/>
              </w:rPr>
            </w:pPr>
          </w:p>
        </w:tc>
        <w:tc>
          <w:tcPr>
            <w:tcW w:w="1701"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20.66</w:t>
            </w:r>
          </w:p>
          <w:p w:rsidR="00FF59D7" w:rsidRPr="00B52867" w:rsidRDefault="00FF59D7" w:rsidP="007E718C">
            <w:pPr>
              <w:jc w:val="right"/>
              <w:rPr>
                <w:rFonts w:ascii="Arial" w:hAnsi="Arial" w:cs="Arial"/>
                <w:sz w:val="18"/>
                <w:szCs w:val="18"/>
                <w:lang w:val="en-US"/>
              </w:rPr>
            </w:pPr>
          </w:p>
        </w:tc>
        <w:tc>
          <w:tcPr>
            <w:tcW w:w="2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6.54 ; 34.78</w:t>
            </w:r>
          </w:p>
          <w:p w:rsidR="00FF59D7" w:rsidRPr="00B52867" w:rsidRDefault="00FF59D7" w:rsidP="007E718C">
            <w:pPr>
              <w:jc w:val="right"/>
              <w:rPr>
                <w:rFonts w:ascii="Arial" w:hAnsi="Arial" w:cs="Arial"/>
                <w:sz w:val="18"/>
                <w:szCs w:val="18"/>
                <w:lang w:val="en-US"/>
              </w:rPr>
            </w:pPr>
          </w:p>
        </w:tc>
        <w:tc>
          <w:tcPr>
            <w:tcW w:w="1214" w:type="dxa"/>
          </w:tcPr>
          <w:p w:rsidR="00FF59D7" w:rsidRPr="00B52867" w:rsidRDefault="00FF59D7" w:rsidP="007E718C">
            <w:pPr>
              <w:jc w:val="right"/>
              <w:rPr>
                <w:rFonts w:ascii="Arial" w:hAnsi="Arial" w:cs="Arial"/>
                <w:sz w:val="18"/>
                <w:szCs w:val="18"/>
                <w:lang w:val="en-US"/>
              </w:rPr>
            </w:pPr>
          </w:p>
          <w:p w:rsidR="00FF59D7" w:rsidRPr="00B52867" w:rsidRDefault="00FF59D7" w:rsidP="007E718C">
            <w:pPr>
              <w:jc w:val="right"/>
              <w:rPr>
                <w:rFonts w:ascii="Arial" w:hAnsi="Arial" w:cs="Arial"/>
                <w:sz w:val="18"/>
                <w:szCs w:val="18"/>
                <w:lang w:val="en-US"/>
              </w:rPr>
            </w:pPr>
            <w:r w:rsidRPr="00B52867">
              <w:rPr>
                <w:rFonts w:ascii="Arial" w:hAnsi="Arial" w:cs="Arial"/>
                <w:sz w:val="18"/>
                <w:szCs w:val="18"/>
                <w:lang w:val="en-US"/>
              </w:rPr>
              <w:t>0.004</w:t>
            </w:r>
          </w:p>
          <w:p w:rsidR="00FF59D7" w:rsidRPr="00B52867" w:rsidRDefault="00FF59D7" w:rsidP="007E718C">
            <w:pPr>
              <w:jc w:val="right"/>
              <w:rPr>
                <w:rFonts w:ascii="Arial" w:hAnsi="Arial" w:cs="Arial"/>
                <w:sz w:val="18"/>
                <w:szCs w:val="18"/>
                <w:lang w:val="en-US"/>
              </w:rPr>
            </w:pPr>
          </w:p>
        </w:tc>
      </w:tr>
    </w:tbl>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p>
    <w:p w:rsidR="00FF59D7" w:rsidRPr="00B52867" w:rsidRDefault="00FF59D7" w:rsidP="00FF59D7">
      <w:pPr>
        <w:spacing w:before="0" w:after="160" w:line="259" w:lineRule="auto"/>
        <w:contextualSpacing w:val="0"/>
        <w:jc w:val="left"/>
        <w:rPr>
          <w:rFonts w:ascii="Arial" w:hAnsi="Arial" w:cs="Arial"/>
          <w:sz w:val="18"/>
          <w:szCs w:val="18"/>
          <w:lang w:val="en-US"/>
        </w:rPr>
      </w:pPr>
      <w:r w:rsidRPr="00B52867">
        <w:rPr>
          <w:rFonts w:ascii="Arial" w:hAnsi="Arial" w:cs="Arial"/>
          <w:sz w:val="18"/>
          <w:szCs w:val="18"/>
          <w:lang w:val="en-US"/>
        </w:rPr>
        <w:t xml:space="preserve">*adjusted for study, time-invariant individual characteristics gender and education, and time-varying characteristics age, employment, income, and marital status. </w:t>
      </w:r>
    </w:p>
    <w:p w:rsidR="00FF59D7" w:rsidRPr="00B52867" w:rsidRDefault="00FF59D7" w:rsidP="00FF59D7">
      <w:pPr>
        <w:spacing w:before="0" w:after="160" w:line="259" w:lineRule="auto"/>
        <w:contextualSpacing w:val="0"/>
        <w:jc w:val="left"/>
        <w:rPr>
          <w:rFonts w:ascii="Arial" w:hAnsi="Arial" w:cs="Arial"/>
          <w:b/>
          <w:lang w:val="en-US"/>
        </w:rPr>
      </w:pPr>
      <w:r w:rsidRPr="00B52867">
        <w:rPr>
          <w:rFonts w:ascii="Arial" w:hAnsi="Arial" w:cs="Arial"/>
          <w:b/>
          <w:lang w:val="en-US"/>
        </w:rPr>
        <w:br w:type="page"/>
      </w:r>
    </w:p>
    <w:p w:rsidR="00FF59D7" w:rsidRPr="00B52867" w:rsidRDefault="00FF59D7" w:rsidP="00FF59D7">
      <w:pPr>
        <w:pStyle w:val="Kop1"/>
        <w:rPr>
          <w:rFonts w:ascii="Arial" w:hAnsi="Arial" w:cs="Arial"/>
          <w:b/>
          <w:sz w:val="22"/>
          <w:szCs w:val="24"/>
          <w:lang w:val="en-US"/>
        </w:rPr>
      </w:pPr>
      <w:r w:rsidRPr="00B52867">
        <w:rPr>
          <w:rFonts w:ascii="Arial" w:hAnsi="Arial" w:cs="Arial"/>
          <w:b/>
          <w:sz w:val="22"/>
          <w:szCs w:val="24"/>
          <w:lang w:val="en-US"/>
        </w:rPr>
        <w:lastRenderedPageBreak/>
        <w:t xml:space="preserve">SUPPLEMENTARY FILE 2 </w:t>
      </w:r>
    </w:p>
    <w:p w:rsidR="00FF59D7" w:rsidRPr="00B52867" w:rsidRDefault="00FF59D7" w:rsidP="00FF59D7">
      <w:pPr>
        <w:pStyle w:val="Kop1"/>
        <w:rPr>
          <w:rFonts w:ascii="Arial" w:hAnsi="Arial" w:cs="Arial"/>
          <w:b/>
          <w:sz w:val="22"/>
          <w:szCs w:val="24"/>
          <w:lang w:val="en-US"/>
        </w:rPr>
      </w:pPr>
      <w:r w:rsidRPr="00B52867">
        <w:rPr>
          <w:rFonts w:ascii="Arial" w:hAnsi="Arial" w:cs="Arial"/>
          <w:b/>
          <w:sz w:val="22"/>
          <w:szCs w:val="24"/>
          <w:lang w:val="en-US"/>
        </w:rPr>
        <w:t>MORE INFORMATION ON THE BBG DATABASE AND LAND USE CLASSIFICATION</w:t>
      </w:r>
    </w:p>
    <w:p w:rsidR="00FF59D7" w:rsidRPr="00B52867" w:rsidRDefault="00FF59D7" w:rsidP="00FF59D7">
      <w:pPr>
        <w:rPr>
          <w:rFonts w:ascii="Arial" w:hAnsi="Arial" w:cs="Arial"/>
          <w:lang w:val="en-US"/>
        </w:rPr>
      </w:pPr>
      <w:r w:rsidRPr="00B52867">
        <w:rPr>
          <w:rFonts w:ascii="Arial" w:hAnsi="Arial" w:cs="Arial"/>
          <w:lang w:val="en-US"/>
        </w:rPr>
        <w:t xml:space="preserve">The TOP10NL dataset is the official, national topographical representation of the Netherlands and is maintained by the Dutch mapping agency ‘Kadaster’. Statistics Netherlands converts this topographical data to land use data and publishes the resulting files as open source GIS data. The ‘Bestand Bodemgebruik’ (BBG) is the collection of these files. The BBG dataset is generally updated every two to four years depending on funding sources and research needs. The most recent dataset is distributed by Statistics Netherlands and is reposited in the Dutch National Georegister. Historical files are distributed by the Netherlands institute for permanent access to digital research resources. These files are available through their Data Archiving and Networked Services (DANS). This platform aims to make digital research data and related outputs findable, accessible, interoperable and reusable. All historical BBG files are available through this platform free of charge.  </w:t>
      </w:r>
    </w:p>
    <w:p w:rsidR="00FF59D7" w:rsidRPr="00B52867" w:rsidRDefault="00FF59D7" w:rsidP="00FF59D7">
      <w:pPr>
        <w:rPr>
          <w:rFonts w:ascii="Arial" w:hAnsi="Arial" w:cs="Arial"/>
          <w:lang w:val="en-US"/>
        </w:rPr>
      </w:pPr>
    </w:p>
    <w:p w:rsidR="00FF59D7" w:rsidRPr="00B52867" w:rsidRDefault="00FF59D7" w:rsidP="00FF59D7">
      <w:pPr>
        <w:rPr>
          <w:rFonts w:ascii="Arial" w:hAnsi="Arial" w:cs="Arial"/>
          <w:b/>
          <w:lang w:val="en-US"/>
        </w:rPr>
      </w:pPr>
      <w:r w:rsidRPr="00B52867">
        <w:rPr>
          <w:rFonts w:ascii="Arial" w:hAnsi="Arial" w:cs="Arial"/>
          <w:b/>
          <w:lang w:val="en-US"/>
        </w:rPr>
        <w:t>Supplementary table 13: Land use categories based on the land use classification of the BBG dataset</w:t>
      </w:r>
    </w:p>
    <w:p w:rsidR="00FF59D7" w:rsidRPr="00B52867" w:rsidRDefault="00FF59D7" w:rsidP="00FF59D7">
      <w:pPr>
        <w:rPr>
          <w:rFonts w:ascii="Arial" w:hAnsi="Arial" w:cs="Arial"/>
          <w:lang w:val="en-US"/>
        </w:rPr>
      </w:pPr>
    </w:p>
    <w:tbl>
      <w:tblPr>
        <w:tblStyle w:val="Tabelraster"/>
        <w:tblW w:w="0" w:type="auto"/>
        <w:tblLook w:val="04A0" w:firstRow="1" w:lastRow="0" w:firstColumn="1" w:lastColumn="0" w:noHBand="0" w:noVBand="1"/>
      </w:tblPr>
      <w:tblGrid>
        <w:gridCol w:w="4114"/>
        <w:gridCol w:w="4946"/>
      </w:tblGrid>
      <w:tr w:rsidR="00FF59D7" w:rsidRPr="00B52867" w:rsidTr="007E718C">
        <w:tc>
          <w:tcPr>
            <w:tcW w:w="4219" w:type="dxa"/>
          </w:tcPr>
          <w:p w:rsidR="00FF59D7" w:rsidRPr="00B52867" w:rsidRDefault="00FF59D7" w:rsidP="007E718C">
            <w:pPr>
              <w:rPr>
                <w:rFonts w:ascii="Arial" w:hAnsi="Arial" w:cs="Arial"/>
                <w:lang w:val="en-US"/>
              </w:rPr>
            </w:pPr>
            <w:r w:rsidRPr="00B52867">
              <w:rPr>
                <w:rFonts w:ascii="Arial" w:hAnsi="Arial" w:cs="Arial"/>
                <w:lang w:val="en-US"/>
              </w:rPr>
              <w:t>Land use categories</w:t>
            </w:r>
          </w:p>
        </w:tc>
        <w:tc>
          <w:tcPr>
            <w:tcW w:w="5069" w:type="dxa"/>
          </w:tcPr>
          <w:p w:rsidR="00FF59D7" w:rsidRPr="00B52867" w:rsidRDefault="00FF59D7" w:rsidP="007E718C">
            <w:pPr>
              <w:rPr>
                <w:rFonts w:ascii="Arial" w:hAnsi="Arial" w:cs="Arial"/>
                <w:lang w:val="en-US"/>
              </w:rPr>
            </w:pPr>
            <w:r w:rsidRPr="00B52867">
              <w:rPr>
                <w:rFonts w:ascii="Arial" w:hAnsi="Arial" w:cs="Arial"/>
                <w:lang w:val="en-US"/>
              </w:rPr>
              <w:t>Corresponding BBG classifications</w:t>
            </w:r>
          </w:p>
        </w:tc>
      </w:tr>
      <w:tr w:rsidR="00FF59D7" w:rsidRPr="0070648A"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1. Infrastructure</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10-12: Railway areas, road traffic areas, airports</w:t>
            </w:r>
          </w:p>
        </w:tc>
      </w:tr>
      <w:tr w:rsidR="00FF59D7" w:rsidRPr="00B52867"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2. Residential areas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20: Residential areas</w:t>
            </w:r>
          </w:p>
        </w:tc>
      </w:tr>
      <w:tr w:rsidR="00FF59D7" w:rsidRPr="00B52867"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3. Retail areas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21: Retail areas</w:t>
            </w:r>
          </w:p>
        </w:tc>
      </w:tr>
      <w:tr w:rsidR="00FF59D7" w:rsidRPr="0070648A"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4. Public, social, and cultural facilities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22-23: Public facility areas, social-cultural facility areas</w:t>
            </w:r>
          </w:p>
        </w:tc>
      </w:tr>
      <w:tr w:rsidR="00FF59D7" w:rsidRPr="00B52867"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5. Other commercial areas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24: Business areas</w:t>
            </w:r>
          </w:p>
        </w:tc>
      </w:tr>
      <w:tr w:rsidR="00FF59D7" w:rsidRPr="0070648A"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6: Green facilities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32, 41-44: Cemeteries, sports areas, allotment gardens, recreational areas, extended stay recreational areas</w:t>
            </w:r>
          </w:p>
        </w:tc>
      </w:tr>
      <w:tr w:rsidR="00FF59D7" w:rsidRPr="00B52867"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7: Urban green spaces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40: Parks</w:t>
            </w:r>
          </w:p>
        </w:tc>
      </w:tr>
      <w:tr w:rsidR="00FF59D7" w:rsidRPr="00B52867"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8: Agricultural areas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50-51: Greenhouses, general agricultural areas</w:t>
            </w:r>
          </w:p>
        </w:tc>
      </w:tr>
      <w:tr w:rsidR="00FF59D7" w:rsidRPr="00B52867"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9: Forests and other natural areas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60-62: Forests, open terrain (dry), open terrein (mixed)</w:t>
            </w:r>
          </w:p>
        </w:tc>
      </w:tr>
      <w:tr w:rsidR="00FF59D7" w:rsidRPr="0070648A"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10: Blue spaces</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70-83: Lakes: IJsselmeer and Markermeer, closed estuaries, rivers: Rhine and Maas, border lakes, water reservoirs, recreational backwaters, water used for mineral extraction, sludge fields, other backwaters</w:t>
            </w:r>
          </w:p>
        </w:tc>
      </w:tr>
      <w:tr w:rsidR="00FF59D7" w:rsidRPr="0070648A" w:rsidTr="007E718C">
        <w:tc>
          <w:tcPr>
            <w:tcW w:w="421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11: Other</w:t>
            </w:r>
          </w:p>
        </w:tc>
        <w:tc>
          <w:tcPr>
            <w:tcW w:w="5069" w:type="dxa"/>
          </w:tcPr>
          <w:p w:rsidR="00FF59D7" w:rsidRPr="00B52867" w:rsidRDefault="00FF59D7" w:rsidP="007E718C">
            <w:pPr>
              <w:rPr>
                <w:rFonts w:ascii="Arial" w:hAnsi="Arial" w:cs="Arial"/>
                <w:sz w:val="18"/>
                <w:szCs w:val="18"/>
                <w:lang w:val="en-US"/>
              </w:rPr>
            </w:pPr>
            <w:r w:rsidRPr="00B52867">
              <w:rPr>
                <w:rFonts w:ascii="Arial" w:hAnsi="Arial" w:cs="Arial"/>
                <w:sz w:val="18"/>
                <w:szCs w:val="18"/>
                <w:lang w:val="en-US"/>
              </w:rPr>
              <w:t>30-31, 33-35: Dumping grounds, junkyards, quarries, building sites, other</w:t>
            </w:r>
          </w:p>
        </w:tc>
      </w:tr>
    </w:tbl>
    <w:p w:rsidR="00FF59D7" w:rsidRPr="00B52867" w:rsidRDefault="00FF59D7" w:rsidP="00FF59D7">
      <w:pPr>
        <w:rPr>
          <w:rFonts w:ascii="Arial" w:hAnsi="Arial" w:cs="Arial"/>
          <w:lang w:val="en-US"/>
        </w:rPr>
      </w:pPr>
    </w:p>
    <w:p w:rsidR="00FF59D7" w:rsidRPr="00B52867" w:rsidRDefault="00FF59D7" w:rsidP="00FF59D7">
      <w:pPr>
        <w:spacing w:before="0" w:after="160" w:line="259" w:lineRule="auto"/>
        <w:contextualSpacing w:val="0"/>
        <w:jc w:val="left"/>
        <w:rPr>
          <w:lang w:val="en-US"/>
        </w:rPr>
      </w:pPr>
      <w:r w:rsidRPr="00B52867">
        <w:rPr>
          <w:lang w:val="en-US"/>
        </w:rPr>
        <w:br w:type="page"/>
      </w:r>
    </w:p>
    <w:p w:rsidR="00FF59D7" w:rsidRPr="00B52867" w:rsidRDefault="00FF59D7" w:rsidP="00FF59D7">
      <w:pPr>
        <w:rPr>
          <w:rFonts w:ascii="Arial" w:hAnsi="Arial" w:cs="Arial"/>
          <w:b/>
          <w:lang w:val="en-US"/>
        </w:rPr>
      </w:pPr>
      <w:r w:rsidRPr="00B52867">
        <w:rPr>
          <w:rFonts w:ascii="Arial" w:hAnsi="Arial" w:cs="Arial"/>
          <w:b/>
          <w:lang w:val="en-US"/>
        </w:rPr>
        <w:lastRenderedPageBreak/>
        <w:t>Supplementary table 14: Complete land use classification as translated by the authors</w:t>
      </w:r>
    </w:p>
    <w:tbl>
      <w:tblPr>
        <w:tblStyle w:val="Tabelraster"/>
        <w:tblpPr w:leftFromText="180" w:rightFromText="180" w:horzAnchor="margin" w:tblpY="510"/>
        <w:tblW w:w="0" w:type="auto"/>
        <w:tblLayout w:type="fixed"/>
        <w:tblLook w:val="04A0" w:firstRow="1" w:lastRow="0" w:firstColumn="1" w:lastColumn="0" w:noHBand="0" w:noVBand="1"/>
      </w:tblPr>
      <w:tblGrid>
        <w:gridCol w:w="2122"/>
        <w:gridCol w:w="1105"/>
        <w:gridCol w:w="1665"/>
        <w:gridCol w:w="4170"/>
      </w:tblGrid>
      <w:tr w:rsidR="00FF59D7" w:rsidRPr="00B52867" w:rsidTr="007E718C">
        <w:tc>
          <w:tcPr>
            <w:tcW w:w="2122" w:type="dxa"/>
            <w:tcBorders>
              <w:bottom w:val="single" w:sz="4" w:space="0" w:color="auto"/>
            </w:tcBorders>
            <w:shd w:val="clear" w:color="auto" w:fill="FFFFFF" w:themeFill="background1"/>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Main Group</w:t>
            </w:r>
          </w:p>
        </w:tc>
        <w:tc>
          <w:tcPr>
            <w:tcW w:w="1105" w:type="dxa"/>
            <w:tcBorders>
              <w:bottom w:val="single" w:sz="4" w:space="0" w:color="auto"/>
            </w:tcBorders>
            <w:shd w:val="clear" w:color="auto" w:fill="FFFFFF" w:themeFill="background1"/>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Category</w:t>
            </w:r>
          </w:p>
        </w:tc>
        <w:tc>
          <w:tcPr>
            <w:tcW w:w="1665" w:type="dxa"/>
            <w:tcBorders>
              <w:bottom w:val="single" w:sz="4" w:space="0" w:color="auto"/>
            </w:tcBorders>
            <w:shd w:val="clear" w:color="auto" w:fill="FFFFFF" w:themeFill="background1"/>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Lower Bounds (hectares)</w:t>
            </w:r>
          </w:p>
        </w:tc>
        <w:tc>
          <w:tcPr>
            <w:tcW w:w="4170" w:type="dxa"/>
            <w:tcBorders>
              <w:bottom w:val="single" w:sz="4" w:space="0" w:color="auto"/>
            </w:tcBorders>
            <w:shd w:val="clear" w:color="auto" w:fill="FFFFFF" w:themeFill="background1"/>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Description</w:t>
            </w:r>
          </w:p>
        </w:tc>
      </w:tr>
      <w:tr w:rsidR="00FF59D7" w:rsidRPr="00B52867" w:rsidTr="007E718C">
        <w:trPr>
          <w:trHeight w:val="393"/>
        </w:trPr>
        <w:tc>
          <w:tcPr>
            <w:tcW w:w="2122" w:type="dxa"/>
            <w:tcBorders>
              <w:top w:val="single" w:sz="4" w:space="0" w:color="auto"/>
              <w:left w:val="single" w:sz="4" w:space="0" w:color="auto"/>
              <w:bottom w:val="single" w:sz="4" w:space="0" w:color="auto"/>
              <w:right w:val="nil"/>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 Traffic areas</w:t>
            </w:r>
          </w:p>
        </w:tc>
        <w:tc>
          <w:tcPr>
            <w:tcW w:w="1105" w:type="dxa"/>
            <w:tcBorders>
              <w:top w:val="single" w:sz="4" w:space="0" w:color="auto"/>
              <w:left w:val="nil"/>
              <w:bottom w:val="single" w:sz="4" w:space="0" w:color="auto"/>
              <w:right w:val="nil"/>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p>
        </w:tc>
        <w:tc>
          <w:tcPr>
            <w:tcW w:w="1665" w:type="dxa"/>
            <w:tcBorders>
              <w:top w:val="single" w:sz="4" w:space="0" w:color="auto"/>
              <w:left w:val="nil"/>
              <w:bottom w:val="single" w:sz="4" w:space="0" w:color="auto"/>
              <w:right w:val="nil"/>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p>
        </w:tc>
        <w:tc>
          <w:tcPr>
            <w:tcW w:w="4170" w:type="dxa"/>
            <w:tcBorders>
              <w:top w:val="single" w:sz="4" w:space="0" w:color="auto"/>
              <w:left w:val="nil"/>
              <w:bottom w:val="single" w:sz="4" w:space="0" w:color="auto"/>
              <w:right w:val="single" w:sz="4" w:space="0" w:color="auto"/>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p>
        </w:tc>
      </w:tr>
      <w:tr w:rsidR="00FF59D7" w:rsidRPr="00B52867" w:rsidTr="007E718C">
        <w:tc>
          <w:tcPr>
            <w:tcW w:w="2122"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p>
        </w:tc>
        <w:tc>
          <w:tcPr>
            <w:tcW w:w="1105"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10</w:t>
            </w:r>
          </w:p>
        </w:tc>
        <w:tc>
          <w:tcPr>
            <w:tcW w:w="1665"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None</w:t>
            </w:r>
          </w:p>
        </w:tc>
        <w:tc>
          <w:tcPr>
            <w:tcW w:w="4170"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Railway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None</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Road traffic areas</w:t>
            </w:r>
          </w:p>
        </w:tc>
      </w:tr>
      <w:tr w:rsidR="00FF59D7" w:rsidRPr="00B52867" w:rsidTr="007E718C">
        <w:tc>
          <w:tcPr>
            <w:tcW w:w="2122" w:type="dxa"/>
            <w:tcBorders>
              <w:bottom w:val="single" w:sz="4" w:space="0" w:color="auto"/>
            </w:tcBorders>
          </w:tcPr>
          <w:p w:rsidR="00FF59D7" w:rsidRPr="00B52867" w:rsidRDefault="00FF59D7" w:rsidP="007E718C">
            <w:pPr>
              <w:spacing w:after="200" w:line="276" w:lineRule="auto"/>
              <w:jc w:val="left"/>
              <w:rPr>
                <w:rFonts w:ascii="Arial" w:hAnsi="Arial" w:cs="Arial"/>
                <w:lang w:val="en-US"/>
              </w:rPr>
            </w:pPr>
          </w:p>
        </w:tc>
        <w:tc>
          <w:tcPr>
            <w:tcW w:w="1105" w:type="dxa"/>
            <w:tcBorders>
              <w:bottom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12</w:t>
            </w:r>
          </w:p>
        </w:tc>
        <w:tc>
          <w:tcPr>
            <w:tcW w:w="1665" w:type="dxa"/>
            <w:tcBorders>
              <w:bottom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Borders>
              <w:bottom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Airports</w:t>
            </w:r>
          </w:p>
        </w:tc>
      </w:tr>
      <w:tr w:rsidR="00FF59D7" w:rsidRPr="00B52867" w:rsidTr="007E718C">
        <w:tc>
          <w:tcPr>
            <w:tcW w:w="2122" w:type="dxa"/>
            <w:tcBorders>
              <w:top w:val="single" w:sz="4" w:space="0" w:color="auto"/>
              <w:left w:val="single" w:sz="4" w:space="0" w:color="auto"/>
              <w:bottom w:val="single" w:sz="4" w:space="0" w:color="auto"/>
              <w:right w:val="nil"/>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2. Built environment</w:t>
            </w:r>
          </w:p>
        </w:tc>
        <w:tc>
          <w:tcPr>
            <w:tcW w:w="1105" w:type="dxa"/>
            <w:tcBorders>
              <w:top w:val="single" w:sz="4" w:space="0" w:color="auto"/>
              <w:left w:val="nil"/>
              <w:bottom w:val="single" w:sz="4" w:space="0" w:color="auto"/>
              <w:right w:val="nil"/>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p>
        </w:tc>
        <w:tc>
          <w:tcPr>
            <w:tcW w:w="1665" w:type="dxa"/>
            <w:tcBorders>
              <w:top w:val="single" w:sz="4" w:space="0" w:color="auto"/>
              <w:left w:val="nil"/>
              <w:bottom w:val="single" w:sz="4" w:space="0" w:color="auto"/>
              <w:right w:val="nil"/>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p>
        </w:tc>
        <w:tc>
          <w:tcPr>
            <w:tcW w:w="4170" w:type="dxa"/>
            <w:tcBorders>
              <w:top w:val="single" w:sz="4" w:space="0" w:color="auto"/>
              <w:left w:val="nil"/>
              <w:bottom w:val="single" w:sz="4" w:space="0" w:color="auto"/>
              <w:right w:val="single" w:sz="4" w:space="0" w:color="auto"/>
            </w:tcBorders>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p>
        </w:tc>
      </w:tr>
      <w:tr w:rsidR="00FF59D7" w:rsidRPr="00B52867" w:rsidTr="007E718C">
        <w:tc>
          <w:tcPr>
            <w:tcW w:w="2122"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p>
        </w:tc>
        <w:tc>
          <w:tcPr>
            <w:tcW w:w="1105"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20</w:t>
            </w:r>
          </w:p>
        </w:tc>
        <w:tc>
          <w:tcPr>
            <w:tcW w:w="1665"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Borders>
              <w:top w:val="single" w:sz="4" w:space="0" w:color="auto"/>
            </w:tcBorders>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Residential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21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Retail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22</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Public facility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23</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Social-cultural facility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24</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Business areas</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 Semi-built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30</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Dumping grounds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0.1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Junkyards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32</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0.1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Cemeteries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33</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0.5</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Quarries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34</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Building sites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35</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 xml:space="preserve">Other </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4. Recreational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40</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Parks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41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0.5</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Sports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42</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0.1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Allotment gardens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43</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Recreational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44</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Extended stay recreational areas</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5. Agricultural areas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50</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Greenhouses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51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General agricultural areas</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6. Forests and natural terrain</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60</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Forests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61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Open terrain (dry)</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62</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Open terrein (mixed)</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 Backwaters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70</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Lakes: IJsselmeer and Markermeer</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71</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Closed estuaries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72</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Rivers: Rhine and Maas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73</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Border lakes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74</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Water reservoirs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75</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Recreational backwaters</w:t>
            </w:r>
          </w:p>
        </w:tc>
      </w:tr>
      <w:tr w:rsidR="00FF59D7" w:rsidRPr="0070648A"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76</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Water used for mineral extraction</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77</w:t>
            </w:r>
          </w:p>
        </w:tc>
        <w:tc>
          <w:tcPr>
            <w:tcW w:w="166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Sludge fields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78</w:t>
            </w:r>
          </w:p>
        </w:tc>
        <w:tc>
          <w:tcPr>
            <w:tcW w:w="1665" w:type="dxa"/>
          </w:tcPr>
          <w:p w:rsidR="00FF59D7" w:rsidRPr="00B52867" w:rsidRDefault="00FF59D7" w:rsidP="007E718C">
            <w:pPr>
              <w:spacing w:after="200" w:line="276" w:lineRule="auto"/>
              <w:jc w:val="left"/>
              <w:rPr>
                <w:rStyle w:val="Verwijzingopmerking"/>
                <w:rFonts w:ascii="Arial" w:hAnsi="Arial" w:cs="Arial"/>
                <w:lang w:val="en-US"/>
              </w:rPr>
            </w:pPr>
            <w:r w:rsidRPr="00B52867">
              <w:rPr>
                <w:rStyle w:val="Verwijzingopmerking"/>
                <w:rFonts w:ascii="Arial" w:hAnsi="Arial" w:cs="Arial"/>
                <w:lang w:val="en-US"/>
              </w:rPr>
              <w:t>1</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Other backwaters</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8. Open waters</w:t>
            </w:r>
          </w:p>
        </w:tc>
      </w:tr>
      <w:tr w:rsidR="00FF59D7" w:rsidRPr="0070648A"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80</w:t>
            </w:r>
          </w:p>
        </w:tc>
        <w:tc>
          <w:tcPr>
            <w:tcW w:w="1665" w:type="dxa"/>
          </w:tcPr>
          <w:p w:rsidR="00FF59D7" w:rsidRPr="00B52867" w:rsidRDefault="00FF59D7" w:rsidP="007E718C">
            <w:pPr>
              <w:spacing w:after="200" w:line="276" w:lineRule="auto"/>
              <w:jc w:val="left"/>
              <w:rPr>
                <w:rStyle w:val="Verwijzingopmerking"/>
                <w:rFonts w:ascii="Arial" w:hAnsi="Arial" w:cs="Arial"/>
                <w:lang w:val="en-US"/>
              </w:rPr>
            </w:pPr>
            <w:r w:rsidRPr="00B52867">
              <w:rPr>
                <w:rStyle w:val="Verwijzingopmerking"/>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Specific open waters: Waddenzee, Eems, Dollard</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81</w:t>
            </w:r>
          </w:p>
        </w:tc>
        <w:tc>
          <w:tcPr>
            <w:tcW w:w="1665" w:type="dxa"/>
          </w:tcPr>
          <w:p w:rsidR="00FF59D7" w:rsidRPr="00B52867" w:rsidRDefault="00FF59D7" w:rsidP="007E718C">
            <w:pPr>
              <w:spacing w:after="200" w:line="276" w:lineRule="auto"/>
              <w:jc w:val="left"/>
              <w:rPr>
                <w:rStyle w:val="Verwijzingopmerking"/>
                <w:rFonts w:ascii="Arial" w:hAnsi="Arial" w:cs="Arial"/>
                <w:lang w:val="en-US"/>
              </w:rPr>
            </w:pPr>
            <w:r w:rsidRPr="00B52867">
              <w:rPr>
                <w:rStyle w:val="Verwijzingopmerking"/>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Specific open waters: Oosterschelde</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82</w:t>
            </w:r>
          </w:p>
        </w:tc>
        <w:tc>
          <w:tcPr>
            <w:tcW w:w="1665" w:type="dxa"/>
          </w:tcPr>
          <w:p w:rsidR="00FF59D7" w:rsidRPr="00B52867" w:rsidRDefault="00FF59D7" w:rsidP="007E718C">
            <w:pPr>
              <w:spacing w:after="200" w:line="276" w:lineRule="auto"/>
              <w:jc w:val="left"/>
              <w:rPr>
                <w:rStyle w:val="Verwijzingopmerking"/>
                <w:rFonts w:ascii="Arial" w:hAnsi="Arial" w:cs="Arial"/>
                <w:lang w:val="en-US"/>
              </w:rPr>
            </w:pPr>
            <w:r w:rsidRPr="00B52867">
              <w:rPr>
                <w:rStyle w:val="Verwijzingopmerking"/>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Specific open waters: Westerschelde</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83</w:t>
            </w:r>
          </w:p>
        </w:tc>
        <w:tc>
          <w:tcPr>
            <w:tcW w:w="1665" w:type="dxa"/>
          </w:tcPr>
          <w:p w:rsidR="00FF59D7" w:rsidRPr="00B52867" w:rsidRDefault="00FF59D7" w:rsidP="007E718C">
            <w:pPr>
              <w:spacing w:after="200" w:line="276" w:lineRule="auto"/>
              <w:jc w:val="left"/>
              <w:rPr>
                <w:rStyle w:val="Verwijzingopmerking"/>
                <w:rFonts w:ascii="Arial" w:hAnsi="Arial" w:cs="Arial"/>
                <w:lang w:val="en-US"/>
              </w:rPr>
            </w:pPr>
            <w:r w:rsidRPr="00B52867">
              <w:rPr>
                <w:rStyle w:val="Verwijzingopmerking"/>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North Sea</w:t>
            </w:r>
          </w:p>
        </w:tc>
      </w:tr>
      <w:tr w:rsidR="00FF59D7" w:rsidRPr="00B52867" w:rsidTr="007E718C">
        <w:tc>
          <w:tcPr>
            <w:tcW w:w="9062" w:type="dxa"/>
            <w:gridSpan w:val="4"/>
            <w:shd w:val="clear" w:color="auto" w:fill="F2F2F2" w:themeFill="background1" w:themeFillShade="F2"/>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9. Borders</w:t>
            </w:r>
          </w:p>
        </w:tc>
      </w:tr>
      <w:tr w:rsidR="00FF59D7" w:rsidRPr="00B52867" w:rsidTr="007E718C">
        <w:tc>
          <w:tcPr>
            <w:tcW w:w="2122" w:type="dxa"/>
          </w:tcPr>
          <w:p w:rsidR="00FF59D7" w:rsidRPr="00B52867" w:rsidRDefault="00FF59D7" w:rsidP="007E718C">
            <w:pPr>
              <w:spacing w:after="200" w:line="276" w:lineRule="auto"/>
              <w:jc w:val="left"/>
              <w:rPr>
                <w:rFonts w:ascii="Arial" w:hAnsi="Arial" w:cs="Arial"/>
                <w:lang w:val="en-US"/>
              </w:rPr>
            </w:pPr>
          </w:p>
        </w:tc>
        <w:tc>
          <w:tcPr>
            <w:tcW w:w="1105"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90</w:t>
            </w:r>
          </w:p>
        </w:tc>
        <w:tc>
          <w:tcPr>
            <w:tcW w:w="1665" w:type="dxa"/>
          </w:tcPr>
          <w:p w:rsidR="00FF59D7" w:rsidRPr="00B52867" w:rsidRDefault="00FF59D7" w:rsidP="007E718C">
            <w:pPr>
              <w:spacing w:after="200" w:line="276" w:lineRule="auto"/>
              <w:jc w:val="left"/>
              <w:rPr>
                <w:rStyle w:val="Verwijzingopmerking"/>
                <w:rFonts w:ascii="Arial" w:hAnsi="Arial" w:cs="Arial"/>
                <w:lang w:val="en-US"/>
              </w:rPr>
            </w:pPr>
            <w:r w:rsidRPr="00B52867">
              <w:rPr>
                <w:rStyle w:val="Verwijzingopmerking"/>
                <w:rFonts w:ascii="Arial" w:hAnsi="Arial" w:cs="Arial"/>
                <w:lang w:val="en-US"/>
              </w:rPr>
              <w:t>-</w:t>
            </w:r>
          </w:p>
        </w:tc>
        <w:tc>
          <w:tcPr>
            <w:tcW w:w="4170" w:type="dxa"/>
          </w:tcPr>
          <w:p w:rsidR="00FF59D7" w:rsidRPr="00B52867" w:rsidRDefault="00FF59D7" w:rsidP="007E718C">
            <w:pPr>
              <w:spacing w:after="200" w:line="276" w:lineRule="auto"/>
              <w:jc w:val="left"/>
              <w:rPr>
                <w:rFonts w:ascii="Arial" w:hAnsi="Arial" w:cs="Arial"/>
                <w:lang w:val="en-US"/>
              </w:rPr>
            </w:pPr>
            <w:r w:rsidRPr="00B52867">
              <w:rPr>
                <w:rFonts w:ascii="Arial" w:hAnsi="Arial" w:cs="Arial"/>
                <w:lang w:val="en-US"/>
              </w:rPr>
              <w:t>Country borders</w:t>
            </w:r>
          </w:p>
        </w:tc>
      </w:tr>
    </w:tbl>
    <w:p w:rsidR="00FF59D7" w:rsidRPr="00B52867" w:rsidRDefault="00FF59D7" w:rsidP="00FF59D7">
      <w:pPr>
        <w:spacing w:before="0" w:after="160" w:line="259" w:lineRule="auto"/>
        <w:contextualSpacing w:val="0"/>
        <w:jc w:val="left"/>
        <w:rPr>
          <w:lang w:val="en-US"/>
        </w:rPr>
      </w:pPr>
    </w:p>
    <w:p w:rsidR="00FF59D7" w:rsidRPr="003F1CB1" w:rsidRDefault="00FF59D7" w:rsidP="00FF59D7">
      <w:r w:rsidRPr="003F1CB1">
        <w:t xml:space="preserve"> </w:t>
      </w:r>
    </w:p>
    <w:p w:rsidR="00AB27FA" w:rsidRDefault="00AB27FA">
      <w:bookmarkStart w:id="0" w:name="_GoBack"/>
      <w:bookmarkEnd w:id="0"/>
    </w:p>
    <w:sectPr w:rsidR="00AB27FA" w:rsidSect="007B5405">
      <w:footerReference w:type="default" r:id="rId4"/>
      <w:pgSz w:w="11906" w:h="16838"/>
      <w:pgMar w:top="1418" w:right="1418" w:bottom="1418" w:left="1418" w:header="709" w:footer="709"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0770645"/>
      <w:docPartObj>
        <w:docPartGallery w:val="Page Numbers (Bottom of Page)"/>
        <w:docPartUnique/>
      </w:docPartObj>
    </w:sdtPr>
    <w:sdtEndPr/>
    <w:sdtContent>
      <w:p w:rsidR="00BB7120" w:rsidRDefault="00FF59D7">
        <w:pPr>
          <w:pStyle w:val="Voettekst"/>
          <w:jc w:val="right"/>
        </w:pPr>
        <w:r>
          <w:fldChar w:fldCharType="begin"/>
        </w:r>
        <w:r>
          <w:instrText>PAGE   \* MERGEFORMAT</w:instrText>
        </w:r>
        <w:r>
          <w:fldChar w:fldCharType="separate"/>
        </w:r>
        <w:r>
          <w:rPr>
            <w:noProof/>
          </w:rPr>
          <w:t>9</w:t>
        </w:r>
        <w:r>
          <w:fldChar w:fldCharType="end"/>
        </w:r>
      </w:p>
    </w:sdtContent>
  </w:sdt>
  <w:p w:rsidR="00BB7120" w:rsidRDefault="00FF59D7">
    <w:pPr>
      <w:pStyle w:val="Voetteks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9D7"/>
    <w:rsid w:val="00002DB7"/>
    <w:rsid w:val="00005604"/>
    <w:rsid w:val="00012521"/>
    <w:rsid w:val="0001562B"/>
    <w:rsid w:val="000213F6"/>
    <w:rsid w:val="0002682D"/>
    <w:rsid w:val="000276EC"/>
    <w:rsid w:val="00031195"/>
    <w:rsid w:val="00037E99"/>
    <w:rsid w:val="00037EA4"/>
    <w:rsid w:val="00042527"/>
    <w:rsid w:val="0004705A"/>
    <w:rsid w:val="0006280F"/>
    <w:rsid w:val="00072A88"/>
    <w:rsid w:val="00074B72"/>
    <w:rsid w:val="000939F8"/>
    <w:rsid w:val="000A4008"/>
    <w:rsid w:val="000B08E4"/>
    <w:rsid w:val="000E3093"/>
    <w:rsid w:val="000E4A75"/>
    <w:rsid w:val="0010059F"/>
    <w:rsid w:val="001220DE"/>
    <w:rsid w:val="00126867"/>
    <w:rsid w:val="001303D3"/>
    <w:rsid w:val="0013301C"/>
    <w:rsid w:val="001371E1"/>
    <w:rsid w:val="00142B74"/>
    <w:rsid w:val="00143630"/>
    <w:rsid w:val="0015114A"/>
    <w:rsid w:val="00153F2E"/>
    <w:rsid w:val="00156779"/>
    <w:rsid w:val="00162DF9"/>
    <w:rsid w:val="001641D2"/>
    <w:rsid w:val="001655EC"/>
    <w:rsid w:val="00171BA9"/>
    <w:rsid w:val="001760FA"/>
    <w:rsid w:val="001776D5"/>
    <w:rsid w:val="00196B9E"/>
    <w:rsid w:val="001B6A41"/>
    <w:rsid w:val="001C0683"/>
    <w:rsid w:val="001C2E44"/>
    <w:rsid w:val="001C6859"/>
    <w:rsid w:val="001C745C"/>
    <w:rsid w:val="001D5258"/>
    <w:rsid w:val="001D65C2"/>
    <w:rsid w:val="001E45B8"/>
    <w:rsid w:val="001F03AB"/>
    <w:rsid w:val="001F37E6"/>
    <w:rsid w:val="001F5BC2"/>
    <w:rsid w:val="00214A82"/>
    <w:rsid w:val="00234871"/>
    <w:rsid w:val="00236737"/>
    <w:rsid w:val="00240575"/>
    <w:rsid w:val="00241309"/>
    <w:rsid w:val="002414DA"/>
    <w:rsid w:val="00244E3D"/>
    <w:rsid w:val="00251FDD"/>
    <w:rsid w:val="0027265A"/>
    <w:rsid w:val="002801B8"/>
    <w:rsid w:val="00284587"/>
    <w:rsid w:val="00287465"/>
    <w:rsid w:val="00292241"/>
    <w:rsid w:val="002962E5"/>
    <w:rsid w:val="002A7F7B"/>
    <w:rsid w:val="002B3428"/>
    <w:rsid w:val="002B428F"/>
    <w:rsid w:val="002B43BE"/>
    <w:rsid w:val="002B4902"/>
    <w:rsid w:val="002B61ED"/>
    <w:rsid w:val="002B6AFE"/>
    <w:rsid w:val="002D2FF0"/>
    <w:rsid w:val="002D43BB"/>
    <w:rsid w:val="002D50A9"/>
    <w:rsid w:val="002D7109"/>
    <w:rsid w:val="002E6E86"/>
    <w:rsid w:val="002F035B"/>
    <w:rsid w:val="002F1D3D"/>
    <w:rsid w:val="002F23DA"/>
    <w:rsid w:val="002F5F6A"/>
    <w:rsid w:val="00306EAB"/>
    <w:rsid w:val="00307747"/>
    <w:rsid w:val="00312A33"/>
    <w:rsid w:val="00330D3C"/>
    <w:rsid w:val="00331158"/>
    <w:rsid w:val="00332E28"/>
    <w:rsid w:val="003346C8"/>
    <w:rsid w:val="00335CEC"/>
    <w:rsid w:val="00340302"/>
    <w:rsid w:val="003416B6"/>
    <w:rsid w:val="0034403E"/>
    <w:rsid w:val="00344C85"/>
    <w:rsid w:val="003450BA"/>
    <w:rsid w:val="00350E5D"/>
    <w:rsid w:val="0035114A"/>
    <w:rsid w:val="00364D23"/>
    <w:rsid w:val="003735B9"/>
    <w:rsid w:val="00373F5D"/>
    <w:rsid w:val="00385C45"/>
    <w:rsid w:val="00387D3B"/>
    <w:rsid w:val="003933B7"/>
    <w:rsid w:val="00393CFA"/>
    <w:rsid w:val="003A1342"/>
    <w:rsid w:val="003A2601"/>
    <w:rsid w:val="003A361C"/>
    <w:rsid w:val="003B4100"/>
    <w:rsid w:val="003C7C4B"/>
    <w:rsid w:val="003D2827"/>
    <w:rsid w:val="003D7D19"/>
    <w:rsid w:val="003E231F"/>
    <w:rsid w:val="003F2B0E"/>
    <w:rsid w:val="00401E9B"/>
    <w:rsid w:val="00415A00"/>
    <w:rsid w:val="0041693A"/>
    <w:rsid w:val="004176CA"/>
    <w:rsid w:val="00427D55"/>
    <w:rsid w:val="00437A7C"/>
    <w:rsid w:val="004412B0"/>
    <w:rsid w:val="00445D86"/>
    <w:rsid w:val="004522D1"/>
    <w:rsid w:val="00453520"/>
    <w:rsid w:val="00453748"/>
    <w:rsid w:val="004554A1"/>
    <w:rsid w:val="00460D45"/>
    <w:rsid w:val="004615B6"/>
    <w:rsid w:val="00462E6C"/>
    <w:rsid w:val="00467EF5"/>
    <w:rsid w:val="00471A66"/>
    <w:rsid w:val="004736FD"/>
    <w:rsid w:val="004833A3"/>
    <w:rsid w:val="0048683E"/>
    <w:rsid w:val="004924D1"/>
    <w:rsid w:val="004938E1"/>
    <w:rsid w:val="00494FB8"/>
    <w:rsid w:val="004A750B"/>
    <w:rsid w:val="004B50C0"/>
    <w:rsid w:val="004B69DB"/>
    <w:rsid w:val="004C330C"/>
    <w:rsid w:val="004C6696"/>
    <w:rsid w:val="004D1348"/>
    <w:rsid w:val="004E1C10"/>
    <w:rsid w:val="004E5CB9"/>
    <w:rsid w:val="004F4CFB"/>
    <w:rsid w:val="004F747A"/>
    <w:rsid w:val="004F7E15"/>
    <w:rsid w:val="00505675"/>
    <w:rsid w:val="00510048"/>
    <w:rsid w:val="00513A2C"/>
    <w:rsid w:val="00513C2B"/>
    <w:rsid w:val="00517071"/>
    <w:rsid w:val="00527E24"/>
    <w:rsid w:val="00531283"/>
    <w:rsid w:val="00531DD4"/>
    <w:rsid w:val="00535A57"/>
    <w:rsid w:val="00542804"/>
    <w:rsid w:val="005440B9"/>
    <w:rsid w:val="00556141"/>
    <w:rsid w:val="00566372"/>
    <w:rsid w:val="00572569"/>
    <w:rsid w:val="00577793"/>
    <w:rsid w:val="00582AB5"/>
    <w:rsid w:val="005856F2"/>
    <w:rsid w:val="0058722F"/>
    <w:rsid w:val="005A1D2E"/>
    <w:rsid w:val="005A444D"/>
    <w:rsid w:val="005A78AA"/>
    <w:rsid w:val="005B2571"/>
    <w:rsid w:val="005B6EDD"/>
    <w:rsid w:val="005B7EDB"/>
    <w:rsid w:val="005C106C"/>
    <w:rsid w:val="005C20EF"/>
    <w:rsid w:val="005C2BC6"/>
    <w:rsid w:val="005C4AAA"/>
    <w:rsid w:val="005C4DFC"/>
    <w:rsid w:val="005C53CC"/>
    <w:rsid w:val="005C660E"/>
    <w:rsid w:val="005D1166"/>
    <w:rsid w:val="005D3C3B"/>
    <w:rsid w:val="005D55EC"/>
    <w:rsid w:val="005E10A2"/>
    <w:rsid w:val="005E3085"/>
    <w:rsid w:val="005E42BA"/>
    <w:rsid w:val="00602C11"/>
    <w:rsid w:val="00603352"/>
    <w:rsid w:val="00621ECA"/>
    <w:rsid w:val="006244BD"/>
    <w:rsid w:val="006262FC"/>
    <w:rsid w:val="00631E74"/>
    <w:rsid w:val="00652865"/>
    <w:rsid w:val="006538A8"/>
    <w:rsid w:val="0065551F"/>
    <w:rsid w:val="006606CC"/>
    <w:rsid w:val="00661173"/>
    <w:rsid w:val="00665119"/>
    <w:rsid w:val="00672121"/>
    <w:rsid w:val="00674298"/>
    <w:rsid w:val="00675DE4"/>
    <w:rsid w:val="00680928"/>
    <w:rsid w:val="00681286"/>
    <w:rsid w:val="006812AB"/>
    <w:rsid w:val="006818F7"/>
    <w:rsid w:val="00696FAA"/>
    <w:rsid w:val="00697965"/>
    <w:rsid w:val="006A4635"/>
    <w:rsid w:val="006A6797"/>
    <w:rsid w:val="006A7CB6"/>
    <w:rsid w:val="006D1F13"/>
    <w:rsid w:val="006D739D"/>
    <w:rsid w:val="006E125B"/>
    <w:rsid w:val="006E2B95"/>
    <w:rsid w:val="006E43FE"/>
    <w:rsid w:val="006E524A"/>
    <w:rsid w:val="006E7156"/>
    <w:rsid w:val="006F0E52"/>
    <w:rsid w:val="006F16B1"/>
    <w:rsid w:val="006F533F"/>
    <w:rsid w:val="006F56CD"/>
    <w:rsid w:val="00700CDE"/>
    <w:rsid w:val="00700D4E"/>
    <w:rsid w:val="00703B26"/>
    <w:rsid w:val="007116E3"/>
    <w:rsid w:val="0071363E"/>
    <w:rsid w:val="007167F7"/>
    <w:rsid w:val="00717ADE"/>
    <w:rsid w:val="0072159B"/>
    <w:rsid w:val="007222F8"/>
    <w:rsid w:val="007225ED"/>
    <w:rsid w:val="00735726"/>
    <w:rsid w:val="007440BA"/>
    <w:rsid w:val="00745D9C"/>
    <w:rsid w:val="0075016C"/>
    <w:rsid w:val="00760FAA"/>
    <w:rsid w:val="0076136D"/>
    <w:rsid w:val="007723BD"/>
    <w:rsid w:val="00775305"/>
    <w:rsid w:val="0078049F"/>
    <w:rsid w:val="00783EF4"/>
    <w:rsid w:val="00787805"/>
    <w:rsid w:val="00787B87"/>
    <w:rsid w:val="00790EDF"/>
    <w:rsid w:val="007948C2"/>
    <w:rsid w:val="007A01D4"/>
    <w:rsid w:val="007A0B9D"/>
    <w:rsid w:val="007A3C44"/>
    <w:rsid w:val="007A589A"/>
    <w:rsid w:val="007B2291"/>
    <w:rsid w:val="007C3C57"/>
    <w:rsid w:val="007D1ADA"/>
    <w:rsid w:val="007D3B7F"/>
    <w:rsid w:val="007D459D"/>
    <w:rsid w:val="007D5143"/>
    <w:rsid w:val="007D6FE5"/>
    <w:rsid w:val="007E2769"/>
    <w:rsid w:val="007E57B5"/>
    <w:rsid w:val="007F0B90"/>
    <w:rsid w:val="00807379"/>
    <w:rsid w:val="0081213E"/>
    <w:rsid w:val="008178C4"/>
    <w:rsid w:val="00821945"/>
    <w:rsid w:val="00830B1D"/>
    <w:rsid w:val="0083368E"/>
    <w:rsid w:val="00854814"/>
    <w:rsid w:val="0087286D"/>
    <w:rsid w:val="008A0147"/>
    <w:rsid w:val="008B1B0A"/>
    <w:rsid w:val="008B6B53"/>
    <w:rsid w:val="008D64A7"/>
    <w:rsid w:val="008E1854"/>
    <w:rsid w:val="008E33C9"/>
    <w:rsid w:val="008E4569"/>
    <w:rsid w:val="008F2AC7"/>
    <w:rsid w:val="00903F7B"/>
    <w:rsid w:val="00912D0D"/>
    <w:rsid w:val="00921905"/>
    <w:rsid w:val="00925EEF"/>
    <w:rsid w:val="0093350F"/>
    <w:rsid w:val="009360A8"/>
    <w:rsid w:val="00940075"/>
    <w:rsid w:val="00940447"/>
    <w:rsid w:val="009440B4"/>
    <w:rsid w:val="00953A6F"/>
    <w:rsid w:val="00955FC5"/>
    <w:rsid w:val="00966F9E"/>
    <w:rsid w:val="009672D0"/>
    <w:rsid w:val="009700F3"/>
    <w:rsid w:val="00977E85"/>
    <w:rsid w:val="009806F7"/>
    <w:rsid w:val="00981E25"/>
    <w:rsid w:val="00983E24"/>
    <w:rsid w:val="00984432"/>
    <w:rsid w:val="00984EF3"/>
    <w:rsid w:val="00985D55"/>
    <w:rsid w:val="00986869"/>
    <w:rsid w:val="00993D81"/>
    <w:rsid w:val="009B63AC"/>
    <w:rsid w:val="009B7A11"/>
    <w:rsid w:val="009C034B"/>
    <w:rsid w:val="009C218B"/>
    <w:rsid w:val="009C3501"/>
    <w:rsid w:val="009C3E22"/>
    <w:rsid w:val="009C6D82"/>
    <w:rsid w:val="009D2965"/>
    <w:rsid w:val="009D34AF"/>
    <w:rsid w:val="009D4EC7"/>
    <w:rsid w:val="009D5F46"/>
    <w:rsid w:val="009E40BD"/>
    <w:rsid w:val="009E45F3"/>
    <w:rsid w:val="009F71AD"/>
    <w:rsid w:val="00A01F4C"/>
    <w:rsid w:val="00A041E8"/>
    <w:rsid w:val="00A04E0D"/>
    <w:rsid w:val="00A05948"/>
    <w:rsid w:val="00A201B9"/>
    <w:rsid w:val="00A2271F"/>
    <w:rsid w:val="00A239D9"/>
    <w:rsid w:val="00A30420"/>
    <w:rsid w:val="00A3659E"/>
    <w:rsid w:val="00A41F8F"/>
    <w:rsid w:val="00A47BF2"/>
    <w:rsid w:val="00A51AFA"/>
    <w:rsid w:val="00A5612C"/>
    <w:rsid w:val="00A5653C"/>
    <w:rsid w:val="00A61C5D"/>
    <w:rsid w:val="00A62172"/>
    <w:rsid w:val="00A71BB2"/>
    <w:rsid w:val="00A85CAA"/>
    <w:rsid w:val="00A90AE8"/>
    <w:rsid w:val="00A90D59"/>
    <w:rsid w:val="00A912E0"/>
    <w:rsid w:val="00AA4BBD"/>
    <w:rsid w:val="00AB27FA"/>
    <w:rsid w:val="00AC410C"/>
    <w:rsid w:val="00AC7066"/>
    <w:rsid w:val="00AE538C"/>
    <w:rsid w:val="00AE6A50"/>
    <w:rsid w:val="00AF10D7"/>
    <w:rsid w:val="00AF1209"/>
    <w:rsid w:val="00AF2CBF"/>
    <w:rsid w:val="00B10FD1"/>
    <w:rsid w:val="00B14328"/>
    <w:rsid w:val="00B22904"/>
    <w:rsid w:val="00B30BE6"/>
    <w:rsid w:val="00B40F1A"/>
    <w:rsid w:val="00B42603"/>
    <w:rsid w:val="00B42C54"/>
    <w:rsid w:val="00B45D8A"/>
    <w:rsid w:val="00B512B6"/>
    <w:rsid w:val="00B55DBD"/>
    <w:rsid w:val="00B56C53"/>
    <w:rsid w:val="00B621ED"/>
    <w:rsid w:val="00B67311"/>
    <w:rsid w:val="00B72A2E"/>
    <w:rsid w:val="00B76424"/>
    <w:rsid w:val="00B80A4B"/>
    <w:rsid w:val="00B8196F"/>
    <w:rsid w:val="00B84AB5"/>
    <w:rsid w:val="00B852D8"/>
    <w:rsid w:val="00B8649C"/>
    <w:rsid w:val="00B871A3"/>
    <w:rsid w:val="00B94917"/>
    <w:rsid w:val="00B9791D"/>
    <w:rsid w:val="00BA119D"/>
    <w:rsid w:val="00BB3859"/>
    <w:rsid w:val="00BB7EDA"/>
    <w:rsid w:val="00BD31F8"/>
    <w:rsid w:val="00BE2D5F"/>
    <w:rsid w:val="00BE3B15"/>
    <w:rsid w:val="00BE4456"/>
    <w:rsid w:val="00BF2170"/>
    <w:rsid w:val="00C04EE5"/>
    <w:rsid w:val="00C102A1"/>
    <w:rsid w:val="00C2353E"/>
    <w:rsid w:val="00C24AE8"/>
    <w:rsid w:val="00C2555D"/>
    <w:rsid w:val="00C32804"/>
    <w:rsid w:val="00C37CEF"/>
    <w:rsid w:val="00C40ABC"/>
    <w:rsid w:val="00C537B5"/>
    <w:rsid w:val="00C55AAE"/>
    <w:rsid w:val="00C57FE5"/>
    <w:rsid w:val="00C649BD"/>
    <w:rsid w:val="00C7073D"/>
    <w:rsid w:val="00C74E38"/>
    <w:rsid w:val="00C77E02"/>
    <w:rsid w:val="00C80D43"/>
    <w:rsid w:val="00C83472"/>
    <w:rsid w:val="00C86F6A"/>
    <w:rsid w:val="00C9290F"/>
    <w:rsid w:val="00CA4B00"/>
    <w:rsid w:val="00CB0515"/>
    <w:rsid w:val="00CB1F8A"/>
    <w:rsid w:val="00CB4BA2"/>
    <w:rsid w:val="00CC0C3B"/>
    <w:rsid w:val="00CC67C6"/>
    <w:rsid w:val="00CD34BF"/>
    <w:rsid w:val="00CD3D86"/>
    <w:rsid w:val="00CE08E9"/>
    <w:rsid w:val="00CF0CDE"/>
    <w:rsid w:val="00D01CFE"/>
    <w:rsid w:val="00D0212E"/>
    <w:rsid w:val="00D0293A"/>
    <w:rsid w:val="00D13576"/>
    <w:rsid w:val="00D1400A"/>
    <w:rsid w:val="00D17216"/>
    <w:rsid w:val="00D235EC"/>
    <w:rsid w:val="00D33506"/>
    <w:rsid w:val="00D52E56"/>
    <w:rsid w:val="00D56A8A"/>
    <w:rsid w:val="00D57EFF"/>
    <w:rsid w:val="00D610FC"/>
    <w:rsid w:val="00D679EE"/>
    <w:rsid w:val="00D67F38"/>
    <w:rsid w:val="00D71CE2"/>
    <w:rsid w:val="00D72F28"/>
    <w:rsid w:val="00D81F60"/>
    <w:rsid w:val="00D900FF"/>
    <w:rsid w:val="00D90E3E"/>
    <w:rsid w:val="00D9183C"/>
    <w:rsid w:val="00D9506B"/>
    <w:rsid w:val="00DA1531"/>
    <w:rsid w:val="00DA4733"/>
    <w:rsid w:val="00DA626B"/>
    <w:rsid w:val="00DB2EBA"/>
    <w:rsid w:val="00DB3F8E"/>
    <w:rsid w:val="00DC69C0"/>
    <w:rsid w:val="00DD6B1C"/>
    <w:rsid w:val="00DD779D"/>
    <w:rsid w:val="00DE01B7"/>
    <w:rsid w:val="00DE20F4"/>
    <w:rsid w:val="00DF1F61"/>
    <w:rsid w:val="00DF6015"/>
    <w:rsid w:val="00DF69D3"/>
    <w:rsid w:val="00E13001"/>
    <w:rsid w:val="00E13AA0"/>
    <w:rsid w:val="00E20623"/>
    <w:rsid w:val="00E2269A"/>
    <w:rsid w:val="00E249AB"/>
    <w:rsid w:val="00E335BF"/>
    <w:rsid w:val="00E35B53"/>
    <w:rsid w:val="00E4762C"/>
    <w:rsid w:val="00E4782E"/>
    <w:rsid w:val="00E63482"/>
    <w:rsid w:val="00E7176C"/>
    <w:rsid w:val="00E75BE1"/>
    <w:rsid w:val="00E77AAA"/>
    <w:rsid w:val="00E8011A"/>
    <w:rsid w:val="00E832CA"/>
    <w:rsid w:val="00E8451F"/>
    <w:rsid w:val="00E950AC"/>
    <w:rsid w:val="00EA2F19"/>
    <w:rsid w:val="00EA6F73"/>
    <w:rsid w:val="00EC407A"/>
    <w:rsid w:val="00EC5C3D"/>
    <w:rsid w:val="00ED5CC5"/>
    <w:rsid w:val="00EE042C"/>
    <w:rsid w:val="00EE1ED7"/>
    <w:rsid w:val="00EE2B27"/>
    <w:rsid w:val="00EE5899"/>
    <w:rsid w:val="00EF0B13"/>
    <w:rsid w:val="00EF1C8B"/>
    <w:rsid w:val="00EF1DFE"/>
    <w:rsid w:val="00EF2283"/>
    <w:rsid w:val="00F014E8"/>
    <w:rsid w:val="00F0212D"/>
    <w:rsid w:val="00F059BB"/>
    <w:rsid w:val="00F212B7"/>
    <w:rsid w:val="00F2142C"/>
    <w:rsid w:val="00F23DC5"/>
    <w:rsid w:val="00F36AF3"/>
    <w:rsid w:val="00F406DA"/>
    <w:rsid w:val="00F42379"/>
    <w:rsid w:val="00F61393"/>
    <w:rsid w:val="00F64DC2"/>
    <w:rsid w:val="00F729BE"/>
    <w:rsid w:val="00F84645"/>
    <w:rsid w:val="00F916C6"/>
    <w:rsid w:val="00F94B16"/>
    <w:rsid w:val="00F94D38"/>
    <w:rsid w:val="00FA2D48"/>
    <w:rsid w:val="00FA32A8"/>
    <w:rsid w:val="00FA6B72"/>
    <w:rsid w:val="00FB011C"/>
    <w:rsid w:val="00FB6F0B"/>
    <w:rsid w:val="00FC4610"/>
    <w:rsid w:val="00FD71F5"/>
    <w:rsid w:val="00FD7959"/>
    <w:rsid w:val="00FE5146"/>
    <w:rsid w:val="00FE694F"/>
    <w:rsid w:val="00FE7665"/>
    <w:rsid w:val="00FF59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74FB0-0461-4717-8D7D-EBC600229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FF59D7"/>
    <w:pPr>
      <w:spacing w:before="120" w:after="120" w:line="320" w:lineRule="exact"/>
      <w:contextualSpacing/>
      <w:jc w:val="both"/>
    </w:pPr>
    <w:rPr>
      <w:rFonts w:ascii="Segoe UI" w:hAnsi="Segoe UI"/>
      <w:sz w:val="21"/>
      <w:lang w:val="nl-NL"/>
    </w:rPr>
  </w:style>
  <w:style w:type="paragraph" w:styleId="Kop1">
    <w:name w:val="heading 1"/>
    <w:basedOn w:val="Standaard"/>
    <w:next w:val="Standaard"/>
    <w:link w:val="Kop1Char"/>
    <w:uiPriority w:val="9"/>
    <w:qFormat/>
    <w:rsid w:val="001760FA"/>
    <w:pPr>
      <w:keepNext/>
      <w:keepLines/>
      <w:spacing w:before="240" w:after="0" w:line="360" w:lineRule="auto"/>
      <w:outlineLvl w:val="0"/>
    </w:pPr>
    <w:rPr>
      <w:rFonts w:ascii="Segoe UI Semibold" w:eastAsiaTheme="majorEastAsia" w:hAnsi="Segoe UI Semibold" w:cstheme="majorBidi"/>
      <w:color w:val="000000" w:themeColor="text1"/>
      <w:sz w:val="28"/>
      <w:szCs w:val="32"/>
    </w:rPr>
  </w:style>
  <w:style w:type="paragraph" w:styleId="Kop2">
    <w:name w:val="heading 2"/>
    <w:basedOn w:val="Standaard"/>
    <w:next w:val="Standaard"/>
    <w:link w:val="Kop2Char"/>
    <w:uiPriority w:val="9"/>
    <w:unhideWhenUsed/>
    <w:qFormat/>
    <w:rsid w:val="009D34AF"/>
    <w:pPr>
      <w:keepNext/>
      <w:keepLines/>
      <w:spacing w:before="40" w:after="0" w:line="360" w:lineRule="auto"/>
      <w:outlineLvl w:val="1"/>
    </w:pPr>
    <w:rPr>
      <w:rFonts w:ascii="Segoe UI Semibold" w:eastAsiaTheme="majorEastAsia" w:hAnsi="Segoe UI Semibold" w:cstheme="majorBidi"/>
      <w:color w:val="000000" w:themeColor="text1"/>
      <w:sz w:val="22"/>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760FA"/>
    <w:rPr>
      <w:rFonts w:ascii="Segoe UI Semibold" w:eastAsiaTheme="majorEastAsia" w:hAnsi="Segoe UI Semibold" w:cstheme="majorBidi"/>
      <w:color w:val="000000" w:themeColor="text1"/>
      <w:sz w:val="28"/>
      <w:szCs w:val="32"/>
      <w:lang w:val="nl-NL"/>
    </w:rPr>
  </w:style>
  <w:style w:type="character" w:customStyle="1" w:styleId="Kop2Char">
    <w:name w:val="Kop 2 Char"/>
    <w:basedOn w:val="Standaardalinea-lettertype"/>
    <w:link w:val="Kop2"/>
    <w:uiPriority w:val="9"/>
    <w:rsid w:val="009D34AF"/>
    <w:rPr>
      <w:rFonts w:ascii="Segoe UI Semibold" w:eastAsiaTheme="majorEastAsia" w:hAnsi="Segoe UI Semibold" w:cstheme="majorBidi"/>
      <w:color w:val="000000" w:themeColor="text1"/>
      <w:szCs w:val="26"/>
      <w:lang w:val="nl-NL"/>
    </w:rPr>
  </w:style>
  <w:style w:type="table" w:styleId="Tabelraster">
    <w:name w:val="Table Grid"/>
    <w:basedOn w:val="Standaardtabel"/>
    <w:uiPriority w:val="59"/>
    <w:rsid w:val="00FF59D7"/>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Verwijzingopmerking">
    <w:name w:val="annotation reference"/>
    <w:basedOn w:val="Standaardalinea-lettertype"/>
    <w:uiPriority w:val="99"/>
    <w:semiHidden/>
    <w:unhideWhenUsed/>
    <w:rsid w:val="00FF59D7"/>
    <w:rPr>
      <w:sz w:val="16"/>
      <w:szCs w:val="16"/>
    </w:rPr>
  </w:style>
  <w:style w:type="paragraph" w:styleId="Voettekst">
    <w:name w:val="footer"/>
    <w:basedOn w:val="Standaard"/>
    <w:link w:val="VoettekstChar"/>
    <w:uiPriority w:val="99"/>
    <w:unhideWhenUsed/>
    <w:rsid w:val="00FF59D7"/>
    <w:pPr>
      <w:tabs>
        <w:tab w:val="center" w:pos="4536"/>
        <w:tab w:val="right" w:pos="9072"/>
      </w:tabs>
      <w:spacing w:before="0" w:after="0" w:line="240" w:lineRule="auto"/>
    </w:pPr>
  </w:style>
  <w:style w:type="character" w:customStyle="1" w:styleId="VoettekstChar">
    <w:name w:val="Voettekst Char"/>
    <w:basedOn w:val="Standaardalinea-lettertype"/>
    <w:link w:val="Voettekst"/>
    <w:uiPriority w:val="99"/>
    <w:rsid w:val="00FF59D7"/>
    <w:rPr>
      <w:rFonts w:ascii="Segoe UI" w:hAnsi="Segoe UI"/>
      <w:sz w:val="21"/>
      <w:lang w:val="nl-NL"/>
    </w:rPr>
  </w:style>
  <w:style w:type="character" w:styleId="Regelnummer">
    <w:name w:val="line number"/>
    <w:basedOn w:val="Standaardalinea-lettertype"/>
    <w:uiPriority w:val="99"/>
    <w:semiHidden/>
    <w:unhideWhenUsed/>
    <w:rsid w:val="00FF5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1813</Words>
  <Characters>10336</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
    </vt:vector>
  </TitlesOfParts>
  <Company>Huntress Unattendeds</Company>
  <LinksUpToDate>false</LinksUpToDate>
  <CharactersWithSpaces>12125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Noordzij</dc:creator>
  <cp:keywords/>
  <dc:description/>
  <cp:lastModifiedBy>Mark Noordzij</cp:lastModifiedBy>
  <cp:revision>1</cp:revision>
  <dcterms:created xsi:type="dcterms:W3CDTF">2020-06-19T14:07:00Z</dcterms:created>
  <dcterms:modified xsi:type="dcterms:W3CDTF">2020-06-19T14:07:00Z</dcterms:modified>
</cp:coreProperties>
</file>