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E06B" w14:textId="0280BFEC" w:rsidR="00013F62" w:rsidRPr="00013F62" w:rsidRDefault="00013F62" w:rsidP="00013F62">
      <w:pPr>
        <w:rPr>
          <w:rFonts w:hint="eastAsia"/>
        </w:rPr>
      </w:pPr>
      <w:proofErr w:type="spellStart"/>
      <w:r w:rsidRPr="00013F62">
        <w:rPr>
          <w:rFonts w:hint="eastAsia"/>
        </w:rPr>
        <w:t>Supplement.Table</w:t>
      </w:r>
      <w:proofErr w:type="spellEnd"/>
      <w:r w:rsidRPr="00013F62">
        <w:rPr>
          <w:rFonts w:hint="eastAsia"/>
        </w:rPr>
        <w:t xml:space="preserve"> </w:t>
      </w:r>
      <w:r>
        <w:rPr>
          <w:rFonts w:hint="eastAsia"/>
        </w:rPr>
        <w:t>1</w:t>
      </w:r>
      <w:r w:rsidRPr="00013F62">
        <w:rPr>
          <w:rFonts w:hint="eastAsia"/>
        </w:rPr>
        <w:t xml:space="preserve">. </w:t>
      </w:r>
      <w:r w:rsidR="00EA6F72" w:rsidRPr="00EA6F72">
        <w:t>ICD-9 and ICD-10 Codes for Heart Failure Classification</w:t>
      </w:r>
      <w:r w:rsidRPr="00013F62">
        <w:rPr>
          <w:rFonts w:hint="eastAsia"/>
        </w:rPr>
        <w:cr/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037"/>
      </w:tblGrid>
      <w:tr w:rsidR="00013F62" w:rsidRPr="00013F62" w14:paraId="7707FCF9" w14:textId="77777777" w:rsidTr="00013F62">
        <w:trPr>
          <w:trHeight w:val="280"/>
          <w:tblCellSpacing w:w="0" w:type="dxa"/>
        </w:trPr>
        <w:tc>
          <w:tcPr>
            <w:tcW w:w="1962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682D" w14:textId="3D3C99B8" w:rsidR="00013F62" w:rsidRPr="00013F62" w:rsidRDefault="00013F62" w:rsidP="00013F62">
            <w:r w:rsidRPr="00013F62">
              <w:t>International Classification</w:t>
            </w:r>
            <w:r>
              <w:rPr>
                <w:rFonts w:hint="eastAsia"/>
              </w:rPr>
              <w:t xml:space="preserve"> </w:t>
            </w:r>
            <w:r w:rsidRPr="00013F62">
              <w:t>of Diseases</w:t>
            </w:r>
            <w:r>
              <w:rPr>
                <w:rFonts w:hint="eastAsia"/>
              </w:rPr>
              <w:t xml:space="preserve"> </w:t>
            </w:r>
            <w:r w:rsidRPr="00013F62">
              <w:rPr>
                <w:rFonts w:hint="eastAsia"/>
              </w:rPr>
              <w:t>version</w:t>
            </w:r>
          </w:p>
        </w:tc>
        <w:tc>
          <w:tcPr>
            <w:tcW w:w="3038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5133" w14:textId="77777777" w:rsidR="00013F62" w:rsidRPr="00013F62" w:rsidRDefault="00013F62" w:rsidP="00013F62">
            <w:proofErr w:type="spellStart"/>
            <w:r w:rsidRPr="00013F62">
              <w:rPr>
                <w:rFonts w:hint="eastAsia"/>
              </w:rPr>
              <w:t>icd_code</w:t>
            </w:r>
            <w:proofErr w:type="spellEnd"/>
          </w:p>
        </w:tc>
      </w:tr>
      <w:tr w:rsidR="00013F62" w:rsidRPr="00013F62" w14:paraId="234D97BE" w14:textId="77777777" w:rsidTr="00013F62">
        <w:trPr>
          <w:trHeight w:val="1080"/>
          <w:tblCellSpacing w:w="0" w:type="dxa"/>
        </w:trPr>
        <w:tc>
          <w:tcPr>
            <w:tcW w:w="1962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C895" w14:textId="77777777" w:rsidR="00013F62" w:rsidRPr="00013F62" w:rsidRDefault="00013F62" w:rsidP="00013F62">
            <w:r w:rsidRPr="00013F62">
              <w:rPr>
                <w:rFonts w:hint="eastAsia"/>
              </w:rPr>
              <w:t>Icd9</w:t>
            </w:r>
          </w:p>
        </w:tc>
        <w:tc>
          <w:tcPr>
            <w:tcW w:w="3038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B3CD" w14:textId="77777777" w:rsidR="00013F62" w:rsidRPr="00013F62" w:rsidRDefault="00013F62" w:rsidP="00013F62">
            <w:r w:rsidRPr="00013F62">
              <w:rPr>
                <w:rFonts w:hint="eastAsia"/>
              </w:rPr>
              <w:t>39891, 40201, 40211, 40291, 40401, 40403, 40411, 40413, 40491, 40493, 4280, 4281, 42820, 42821, 42822, 42823, 42830, 42831, 42832, 42833, 42840, 42841, 42842, 42843, 4289,</w:t>
            </w:r>
          </w:p>
        </w:tc>
      </w:tr>
      <w:tr w:rsidR="00013F62" w:rsidRPr="00013F62" w14:paraId="7E2525E7" w14:textId="77777777" w:rsidTr="00013F62">
        <w:trPr>
          <w:trHeight w:val="1160"/>
          <w:tblCellSpacing w:w="0" w:type="dxa"/>
        </w:trPr>
        <w:tc>
          <w:tcPr>
            <w:tcW w:w="1962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0673" w14:textId="77777777" w:rsidR="00013F62" w:rsidRPr="00013F62" w:rsidRDefault="00013F62" w:rsidP="00013F62">
            <w:r w:rsidRPr="00013F62">
              <w:rPr>
                <w:rFonts w:hint="eastAsia"/>
              </w:rPr>
              <w:t>Icd10</w:t>
            </w:r>
          </w:p>
        </w:tc>
        <w:tc>
          <w:tcPr>
            <w:tcW w:w="3038" w:type="pc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4CFC" w14:textId="77777777" w:rsidR="00013F62" w:rsidRPr="00013F62" w:rsidRDefault="00013F62" w:rsidP="00013F62">
            <w:r w:rsidRPr="00013F62">
              <w:rPr>
                <w:rFonts w:hint="eastAsia"/>
              </w:rPr>
              <w:t>I0981, I110, I130, I132, I50, I502, I5020, I5021, I5022, I5023, I503, I5030, I5031, I5032, I5033, I504, I5040, I5041, I5042, I5043, I508, I5081, I50810, I50811, I50812, I50813, I50814, I5082, I5083, I5084, I5089, I509, I9713, I97130, I97131</w:t>
            </w:r>
          </w:p>
        </w:tc>
      </w:tr>
    </w:tbl>
    <w:p w14:paraId="5AE6DB75" w14:textId="254F3826" w:rsidR="00990226" w:rsidRDefault="00990226" w:rsidP="00013F62">
      <w:pPr>
        <w:rPr>
          <w:rFonts w:hint="eastAsia"/>
        </w:rPr>
      </w:pPr>
    </w:p>
    <w:p w14:paraId="39E48C47" w14:textId="77777777" w:rsidR="00013F62" w:rsidRDefault="00013F62" w:rsidP="00013F62"/>
    <w:p w14:paraId="3B22E5DC" w14:textId="057EA0D9" w:rsidR="00FE1E14" w:rsidRDefault="00FE1E14" w:rsidP="00013F62">
      <w:pPr>
        <w:rPr>
          <w:rFonts w:hint="eastAsia"/>
        </w:rPr>
      </w:pPr>
      <w:proofErr w:type="spellStart"/>
      <w:r w:rsidRPr="00013F62">
        <w:rPr>
          <w:rFonts w:hint="eastAsia"/>
        </w:rPr>
        <w:t>Supplement.Table</w:t>
      </w:r>
      <w:proofErr w:type="spellEnd"/>
      <w:r w:rsidRPr="00013F62">
        <w:rPr>
          <w:rFonts w:hint="eastAsia"/>
        </w:rPr>
        <w:t xml:space="preserve"> </w:t>
      </w:r>
      <w:r>
        <w:rPr>
          <w:rFonts w:hint="eastAsia"/>
        </w:rPr>
        <w:t>2</w:t>
      </w:r>
      <w:r w:rsidR="00013F62" w:rsidRPr="00013F62">
        <w:rPr>
          <w:rFonts w:hint="eastAsia"/>
        </w:rPr>
        <w:t xml:space="preserve">. Subgroup analysis of </w:t>
      </w:r>
      <w:proofErr w:type="spellStart"/>
      <w:r w:rsidR="00013F62" w:rsidRPr="00013F62">
        <w:rPr>
          <w:rFonts w:hint="eastAsia"/>
        </w:rPr>
        <w:t>TyG</w:t>
      </w:r>
      <w:proofErr w:type="spellEnd"/>
      <w:r w:rsidR="00013F62" w:rsidRPr="00013F62">
        <w:rPr>
          <w:rFonts w:hint="eastAsia"/>
        </w:rPr>
        <w:t>-BMI index and 28 days mortality in Septic Heart Failure patients</w:t>
      </w:r>
    </w:p>
    <w:tbl>
      <w:tblPr>
        <w:tblpPr w:leftFromText="180" w:rightFromText="180" w:vertAnchor="text" w:horzAnchor="page" w:tblpX="1" w:tblpY="518"/>
        <w:tblW w:w="103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90"/>
        <w:gridCol w:w="588"/>
        <w:gridCol w:w="573"/>
        <w:gridCol w:w="430"/>
        <w:gridCol w:w="573"/>
        <w:gridCol w:w="1327"/>
        <w:gridCol w:w="739"/>
        <w:gridCol w:w="573"/>
        <w:gridCol w:w="1327"/>
        <w:gridCol w:w="739"/>
        <w:gridCol w:w="1349"/>
      </w:tblGrid>
      <w:tr w:rsidR="00FE1E14" w:rsidRPr="00FE1E14" w14:paraId="1986A485" w14:textId="77777777" w:rsidTr="00F84DC3">
        <w:trPr>
          <w:trHeight w:val="62"/>
          <w:tblCellSpacing w:w="0" w:type="dxa"/>
        </w:trPr>
        <w:tc>
          <w:tcPr>
            <w:tcW w:w="1361" w:type="dxa"/>
            <w:vMerge w:val="restar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08A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subgroups</w:t>
            </w:r>
          </w:p>
        </w:tc>
        <w:tc>
          <w:tcPr>
            <w:tcW w:w="790" w:type="dxa"/>
            <w:vMerge w:val="restar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5E1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All Case</w:t>
            </w:r>
          </w:p>
        </w:tc>
        <w:tc>
          <w:tcPr>
            <w:tcW w:w="588" w:type="dxa"/>
            <w:vMerge w:val="restar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2C9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Total</w:t>
            </w:r>
          </w:p>
        </w:tc>
        <w:tc>
          <w:tcPr>
            <w:tcW w:w="1003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781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Q1</w:t>
            </w:r>
          </w:p>
        </w:tc>
        <w:tc>
          <w:tcPr>
            <w:tcW w:w="2639" w:type="dxa"/>
            <w:gridSpan w:val="3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401A" w14:textId="77777777" w:rsidR="00FE1E14" w:rsidRPr="00FE1E14" w:rsidRDefault="00FE1E14" w:rsidP="00EA6F72">
            <w:pPr>
              <w:jc w:val="center"/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Q2</w:t>
            </w:r>
          </w:p>
        </w:tc>
        <w:tc>
          <w:tcPr>
            <w:tcW w:w="2639" w:type="dxa"/>
            <w:gridSpan w:val="3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FF0F" w14:textId="77777777" w:rsidR="00FE1E14" w:rsidRPr="00FE1E14" w:rsidRDefault="00FE1E14" w:rsidP="00EA6F72">
            <w:pPr>
              <w:jc w:val="center"/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Q3</w:t>
            </w:r>
          </w:p>
        </w:tc>
        <w:tc>
          <w:tcPr>
            <w:tcW w:w="1349" w:type="dxa"/>
            <w:vMerge w:val="restart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C59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P for Interaction</w:t>
            </w:r>
          </w:p>
        </w:tc>
      </w:tr>
      <w:tr w:rsidR="00FE1E14" w:rsidRPr="00FE1E14" w14:paraId="2FA63404" w14:textId="77777777" w:rsidTr="00F84DC3">
        <w:trPr>
          <w:trHeight w:val="142"/>
          <w:tblCellSpacing w:w="0" w:type="dxa"/>
        </w:trPr>
        <w:tc>
          <w:tcPr>
            <w:tcW w:w="0" w:type="auto"/>
            <w:vMerge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vAlign w:val="center"/>
            <w:hideMark/>
          </w:tcPr>
          <w:p w14:paraId="5D624F6B" w14:textId="77777777" w:rsidR="00FE1E14" w:rsidRPr="00FE1E14" w:rsidRDefault="00FE1E14" w:rsidP="00F84D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vAlign w:val="center"/>
            <w:hideMark/>
          </w:tcPr>
          <w:p w14:paraId="1F8D9231" w14:textId="77777777" w:rsidR="00FE1E14" w:rsidRPr="00FE1E14" w:rsidRDefault="00FE1E14" w:rsidP="00F84D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vAlign w:val="center"/>
            <w:hideMark/>
          </w:tcPr>
          <w:p w14:paraId="152E1EDF" w14:textId="77777777" w:rsidR="00FE1E14" w:rsidRPr="00FE1E14" w:rsidRDefault="00FE1E14" w:rsidP="00F84DC3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05E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Case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9E9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37F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Case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EDE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proofErr w:type="gramStart"/>
            <w:r w:rsidRPr="00FE1E14">
              <w:rPr>
                <w:rFonts w:hint="eastAsia"/>
                <w:sz w:val="16"/>
                <w:szCs w:val="16"/>
              </w:rPr>
              <w:t>HR(</w:t>
            </w:r>
            <w:proofErr w:type="gramEnd"/>
            <w:r w:rsidRPr="00FE1E14">
              <w:rPr>
                <w:rFonts w:hint="eastAsia"/>
                <w:sz w:val="16"/>
                <w:szCs w:val="16"/>
              </w:rPr>
              <w:t>95%CI)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3FC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P value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FF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Case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4B6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proofErr w:type="gramStart"/>
            <w:r w:rsidRPr="00FE1E14">
              <w:rPr>
                <w:rFonts w:hint="eastAsia"/>
                <w:sz w:val="16"/>
                <w:szCs w:val="16"/>
              </w:rPr>
              <w:t>HR(</w:t>
            </w:r>
            <w:proofErr w:type="gramEnd"/>
            <w:r w:rsidRPr="00FE1E14">
              <w:rPr>
                <w:rFonts w:hint="eastAsia"/>
                <w:sz w:val="16"/>
                <w:szCs w:val="16"/>
              </w:rPr>
              <w:t>95%CI)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FFA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P value</w:t>
            </w:r>
          </w:p>
        </w:tc>
        <w:tc>
          <w:tcPr>
            <w:tcW w:w="1349" w:type="dxa"/>
            <w:vMerge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vAlign w:val="center"/>
            <w:hideMark/>
          </w:tcPr>
          <w:p w14:paraId="002BE96A" w14:textId="77777777" w:rsidR="00FE1E14" w:rsidRPr="00FE1E14" w:rsidRDefault="00FE1E14" w:rsidP="00F84DC3">
            <w:pPr>
              <w:rPr>
                <w:sz w:val="16"/>
                <w:szCs w:val="16"/>
              </w:rPr>
            </w:pPr>
          </w:p>
        </w:tc>
      </w:tr>
      <w:tr w:rsidR="00FE1E14" w:rsidRPr="00FE1E14" w14:paraId="0141DE67" w14:textId="77777777" w:rsidTr="00F84DC3">
        <w:trPr>
          <w:trHeight w:val="8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534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Gender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7F4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06D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082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78E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435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244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1F5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2AE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738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B25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00CA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0.324 </w:t>
            </w:r>
          </w:p>
        </w:tc>
      </w:tr>
      <w:tr w:rsidR="00FE1E14" w:rsidRPr="00FE1E14" w14:paraId="223560FA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DBB5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Male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824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119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A86E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360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7279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50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782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BBDF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3921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0.63 (0.39, 1.03)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9184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0.064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47EE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474F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0.55 (0.31, 0.95)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767B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0.033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B93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387BD5C1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6232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Female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2C5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93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2126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234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8922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29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6D0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2B2B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29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EABB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0.95 (0.55, 1.65)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D420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0.854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9C34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56D5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0.73 (0.40, 1.35)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131D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0.321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19F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5781096C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149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EFF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EF3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F3B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A2C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294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69F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3FC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BCF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E7C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C94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ACE8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0.121 </w:t>
            </w:r>
          </w:p>
        </w:tc>
      </w:tr>
      <w:tr w:rsidR="00FE1E14" w:rsidRPr="00FE1E14" w14:paraId="3FA8C032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3571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≥60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F10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184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F83A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450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B326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81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855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0F74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56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A7AD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0.75 (0.52, 1.08)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7581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0.124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BE11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47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7350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0.65 (0.42, 0.98)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A292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0.042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A92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69A70249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2156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＜60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149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28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0A87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144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C848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DC9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FC43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6EB0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1.51 (0.40, 5.69)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2B00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0.542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8B40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12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F00C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1.72 (0.35, 8.42)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EA25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0.504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FD1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2CF0630C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A28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Hypertension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FAF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170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F31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6B8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619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F33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78B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033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27E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8BD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34BD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0.177 </w:t>
            </w:r>
          </w:p>
        </w:tc>
      </w:tr>
      <w:tr w:rsidR="00FE1E14" w:rsidRPr="00FE1E14" w14:paraId="76EE2EFB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4A03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7A0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165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02C8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439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9ADB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68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D11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7658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FB84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0.75 (0.51, 1.12)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D3E6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0.161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FE19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46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F28F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0.57 (0.37, 0.88)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358E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0.011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999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0DFA9A0C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D553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CB9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47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4E9D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155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C234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B89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FF8C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16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7E38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1.77 (0.63, 4.98)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087D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0.278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7F5C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13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BE53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1.34 (0.44, 4.05)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59C2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0.602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E23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6A5E5464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831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Atrial Fibrillation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12A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0EB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B37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B72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067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F9E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C1A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A46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6FD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81C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DF1B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0.925 </w:t>
            </w:r>
          </w:p>
        </w:tc>
      </w:tr>
      <w:tr w:rsidR="00FE1E14" w:rsidRPr="00FE1E14" w14:paraId="49B9EF5D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85D8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4F7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49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AB4B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3AF9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23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146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2C59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15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38D6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0.80 (0.34, 1.85)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43D7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0.601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267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AB4F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0.44 (0.15, 1.31)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C26A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0.139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380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0D930A4D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0ACC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5BD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163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AFF0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475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6B64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63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18C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3895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52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823F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0.74 (0.49, 1.12)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8D3B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0.151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FA9B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DAF5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0.67 (0.43, 1.04)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C4D6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0.073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8BF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4373C80A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ECB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Type 2 Diabetes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D98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1BD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E4B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E8E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88E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25D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8E3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35F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17F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A42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9D10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0.397 </w:t>
            </w:r>
          </w:p>
        </w:tc>
      </w:tr>
      <w:tr w:rsidR="00FE1E14" w:rsidRPr="00FE1E14" w14:paraId="6442291A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DF5B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4E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75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2190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215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79B2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1C8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F25B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6A4D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0.94 (0.46, 1.90)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D966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0.859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FDB4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29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B7E1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0.95 (0.46, 1.95)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22A8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0.893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560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5E6EF5C4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FAD2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86E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137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23E4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379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C70F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68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12D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D7F8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39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2F59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0.79 (0.52, 1.21)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4E36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0.277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47A5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30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68E5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0.68 (0.41, 1.13)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E4EB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0.138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3FB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39601931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596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CHD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F37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8EB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3AC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9E4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46F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240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5C1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AAB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BF3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81C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4C9D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0.355 </w:t>
            </w:r>
          </w:p>
        </w:tc>
      </w:tr>
      <w:tr w:rsidR="00FE1E14" w:rsidRPr="00FE1E14" w14:paraId="13266F40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34FB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A39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93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2246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259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BA55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42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C23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26A8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29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D00F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0.57 (0.32, 1.00)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508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0.051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12F1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22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8D84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0.60 (0.31, 1.15)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E01D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0.121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A47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12FF788A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6A8D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271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119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3EDB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335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3FE5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44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4C0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1AA3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CF67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0.85 (0.52, 1.37)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853A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0.494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E036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37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4BF0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0.72 (0.42, 1.22)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0ABF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0.223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1B5F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2D01EBB9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008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Stroke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1B7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C273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8E1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F4A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BB01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035A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64D4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B82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56BB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F4A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0469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0.563 </w:t>
            </w:r>
          </w:p>
        </w:tc>
      </w:tr>
      <w:tr w:rsidR="00FE1E14" w:rsidRPr="00FE1E14" w14:paraId="5B9D7389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CE74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9AA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57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9E40B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120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E38A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26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995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B379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20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0552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0.96 (0.44, 2.09)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0777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0.910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3DB1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8A02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0.76 (0.29, 1.95)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4C4B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0.566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9F7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4A53C1D3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64588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486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115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5452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474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AD4EA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20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F67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B165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47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3F37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0.78 (0.52, 1.18)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03ED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0.234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704A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9AED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0.66 (0.42, 1.04)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54ED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0.075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54B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5BB60CD4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85F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lastRenderedPageBreak/>
              <w:t>Septic Shock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CF3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537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BD1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E72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C90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A1A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5F8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B26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1CF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149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5AAC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0.594 </w:t>
            </w:r>
          </w:p>
        </w:tc>
      </w:tr>
      <w:tr w:rsidR="00FE1E14" w:rsidRPr="00FE1E14" w14:paraId="5BEF0FB9" w14:textId="77777777" w:rsidTr="00F84DC3">
        <w:trPr>
          <w:trHeight w:val="73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70E1C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33F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90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87FC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190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B9DE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B81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0EACD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C86E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0.85 (0.46, 1.58)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009E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0.609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8055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31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16CCF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0.66 (0.33, 1.32)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846B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0.241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F50E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 </w:t>
            </w:r>
          </w:p>
        </w:tc>
      </w:tr>
      <w:tr w:rsidR="00FE1E14" w:rsidRPr="00FE1E14" w14:paraId="1E19585B" w14:textId="77777777" w:rsidTr="00F84DC3">
        <w:trPr>
          <w:trHeight w:val="84"/>
          <w:tblCellSpacing w:w="0" w:type="dxa"/>
        </w:trPr>
        <w:tc>
          <w:tcPr>
            <w:tcW w:w="136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B0CC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79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806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122 </w:t>
            </w:r>
          </w:p>
        </w:tc>
        <w:tc>
          <w:tcPr>
            <w:tcW w:w="5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86275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404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5EC16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58 </w:t>
            </w:r>
          </w:p>
        </w:tc>
        <w:tc>
          <w:tcPr>
            <w:tcW w:w="43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C9B4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ref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CE3B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36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7ED51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0.77 (0.49, 1.21)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2B79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0.258 </w:t>
            </w:r>
          </w:p>
        </w:tc>
        <w:tc>
          <w:tcPr>
            <w:tcW w:w="5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87BC7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28 </w:t>
            </w:r>
          </w:p>
        </w:tc>
        <w:tc>
          <w:tcPr>
            <w:tcW w:w="1327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14B52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>0.55 (0.33, 0.92)</w:t>
            </w:r>
          </w:p>
        </w:tc>
        <w:tc>
          <w:tcPr>
            <w:tcW w:w="73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37450" w14:textId="77777777" w:rsidR="00FE1E14" w:rsidRPr="00FE1E14" w:rsidRDefault="00FE1E14" w:rsidP="00F84DC3">
            <w:pPr>
              <w:rPr>
                <w:sz w:val="16"/>
                <w:szCs w:val="16"/>
              </w:rPr>
            </w:pPr>
            <w:r w:rsidRPr="00FE1E14">
              <w:rPr>
                <w:rFonts w:hint="eastAsia"/>
                <w:sz w:val="16"/>
                <w:szCs w:val="16"/>
              </w:rPr>
              <w:t xml:space="preserve">0.023 </w:t>
            </w:r>
          </w:p>
        </w:tc>
        <w:tc>
          <w:tcPr>
            <w:tcW w:w="134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EDB6" w14:textId="77777777" w:rsidR="00FE1E14" w:rsidRPr="00FE1E14" w:rsidRDefault="00FE1E14" w:rsidP="00F84DC3">
            <w:pPr>
              <w:rPr>
                <w:sz w:val="16"/>
                <w:szCs w:val="16"/>
              </w:rPr>
            </w:pPr>
          </w:p>
        </w:tc>
      </w:tr>
    </w:tbl>
    <w:p w14:paraId="5174853B" w14:textId="77777777" w:rsidR="00FE1E14" w:rsidRPr="00013F62" w:rsidRDefault="00FE1E14" w:rsidP="00013F62">
      <w:pPr>
        <w:rPr>
          <w:rFonts w:hint="eastAsia"/>
        </w:rPr>
      </w:pPr>
    </w:p>
    <w:p w14:paraId="43944005" w14:textId="77777777" w:rsidR="00FE1E14" w:rsidRPr="00FE1E14" w:rsidRDefault="00FE1E14" w:rsidP="00FE1E14">
      <w:r w:rsidRPr="00FE1E14">
        <w:rPr>
          <w:rFonts w:hint="eastAsia"/>
        </w:rPr>
        <w:t xml:space="preserve">HR hazard ratio, </w:t>
      </w:r>
      <w:bookmarkStart w:id="0" w:name="_Hlk145439116"/>
      <w:r w:rsidRPr="00FE1E14">
        <w:rPr>
          <w:rFonts w:hint="eastAsia"/>
        </w:rPr>
        <w:t>CI confidence interval</w:t>
      </w:r>
      <w:bookmarkEnd w:id="0"/>
      <w:r w:rsidRPr="00FE1E14">
        <w:rPr>
          <w:rFonts w:hint="eastAsia"/>
        </w:rPr>
        <w:t>, CHD coronary heart disease, AF atrial fibrillation, COPD chronic obstructive pulmonary disease, CKD chronic kidney disease, ACEI/ARB angiotensin-converting enzyme inhibitor or angiotensin receptor blocker.</w:t>
      </w:r>
    </w:p>
    <w:p w14:paraId="12E40F35" w14:textId="62C81EF3" w:rsidR="00013F62" w:rsidRPr="00FE1E14" w:rsidRDefault="00013F62" w:rsidP="00013F62"/>
    <w:p w14:paraId="25C6905E" w14:textId="77777777" w:rsidR="00FE1E14" w:rsidRDefault="00FE1E14" w:rsidP="00013F62"/>
    <w:p w14:paraId="21E3BEA8" w14:textId="77777777" w:rsidR="00FE1E14" w:rsidRDefault="00FE1E14" w:rsidP="00013F62"/>
    <w:p w14:paraId="1BD67142" w14:textId="77777777" w:rsidR="00FE1E14" w:rsidRDefault="00FE1E14" w:rsidP="00013F62"/>
    <w:p w14:paraId="4AD32D6E" w14:textId="77777777" w:rsidR="00FE1E14" w:rsidRDefault="00FE1E14" w:rsidP="00013F62"/>
    <w:p w14:paraId="0AE5FB3C" w14:textId="77777777" w:rsidR="00FE1E14" w:rsidRDefault="00FE1E14" w:rsidP="00013F62"/>
    <w:p w14:paraId="4795B54F" w14:textId="77777777" w:rsidR="00FE1E14" w:rsidRDefault="00FE1E14" w:rsidP="00013F62"/>
    <w:p w14:paraId="643A433C" w14:textId="77777777" w:rsidR="00FE1E14" w:rsidRDefault="00FE1E14" w:rsidP="00013F62"/>
    <w:p w14:paraId="626D724C" w14:textId="77777777" w:rsidR="00FE1E14" w:rsidRDefault="00FE1E14" w:rsidP="00013F62"/>
    <w:p w14:paraId="33E6C0D7" w14:textId="77777777" w:rsidR="00FE1E14" w:rsidRDefault="00FE1E14" w:rsidP="00013F62">
      <w:pPr>
        <w:rPr>
          <w:rFonts w:hint="eastAsia"/>
        </w:rPr>
      </w:pPr>
    </w:p>
    <w:p w14:paraId="50257393" w14:textId="77777777" w:rsidR="00FE1E14" w:rsidRDefault="00FE1E14" w:rsidP="00013F62"/>
    <w:p w14:paraId="02E3B64E" w14:textId="162BD03E" w:rsidR="00FE1E14" w:rsidRDefault="00FE1E14" w:rsidP="00013F62">
      <w:r w:rsidRPr="00FE1E14">
        <w:rPr>
          <w:rFonts w:hint="eastAsia"/>
        </w:rPr>
        <w:t>Supplement</w:t>
      </w:r>
      <w:r>
        <w:rPr>
          <w:rFonts w:hint="eastAsia"/>
        </w:rPr>
        <w:t xml:space="preserve"> </w:t>
      </w:r>
      <w:r w:rsidRPr="00FE1E14">
        <w:rPr>
          <w:rFonts w:hint="eastAsia"/>
        </w:rPr>
        <w:t xml:space="preserve">Table </w:t>
      </w:r>
      <w:r>
        <w:rPr>
          <w:rFonts w:hint="eastAsia"/>
        </w:rPr>
        <w:t>3</w:t>
      </w:r>
      <w:r w:rsidRPr="00FE1E14">
        <w:rPr>
          <w:rFonts w:hint="eastAsia"/>
        </w:rPr>
        <w:t xml:space="preserve">. Nonlinear Relationship Between </w:t>
      </w:r>
      <w:proofErr w:type="spellStart"/>
      <w:r w:rsidRPr="00FE1E14">
        <w:rPr>
          <w:rFonts w:hint="eastAsia"/>
        </w:rPr>
        <w:t>TyG</w:t>
      </w:r>
      <w:proofErr w:type="spellEnd"/>
      <w:r w:rsidRPr="00FE1E14">
        <w:rPr>
          <w:rFonts w:hint="eastAsia"/>
        </w:rPr>
        <w:t>-BMI Index and 28-Day Mortality in Septic Heart Failure Patients Based on RCS Analysis</w:t>
      </w:r>
    </w:p>
    <w:p w14:paraId="4B2209B6" w14:textId="77777777" w:rsidR="00FE1E14" w:rsidRDefault="00FE1E14" w:rsidP="00013F62"/>
    <w:tbl>
      <w:tblPr>
        <w:tblW w:w="5500" w:type="dxa"/>
        <w:tblCellSpacing w:w="0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409"/>
        <w:gridCol w:w="1050"/>
      </w:tblGrid>
      <w:tr w:rsidR="00FE1E14" w:rsidRPr="00FE1E14" w14:paraId="7344ECC4" w14:textId="77777777" w:rsidTr="00FE1E14">
        <w:trPr>
          <w:trHeight w:val="260"/>
          <w:tblCellSpacing w:w="0" w:type="dxa"/>
        </w:trPr>
        <w:tc>
          <w:tcPr>
            <w:tcW w:w="182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263A" w14:textId="77777777" w:rsidR="00FE1E14" w:rsidRPr="00FE1E14" w:rsidRDefault="00FE1E14" w:rsidP="00FE1E14">
            <w:r w:rsidRPr="00FE1E14">
              <w:rPr>
                <w:rFonts w:hint="eastAsia"/>
              </w:rPr>
              <w:t>Item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81F9" w14:textId="77777777" w:rsidR="00FE1E14" w:rsidRPr="00FE1E14" w:rsidRDefault="00FE1E14" w:rsidP="00FE1E14">
            <w:r w:rsidRPr="00FE1E14">
              <w:rPr>
                <w:rFonts w:hint="eastAsia"/>
              </w:rPr>
              <w:t>BK.HR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ED84" w14:textId="3680CA27" w:rsidR="00FE1E14" w:rsidRPr="00FE1E14" w:rsidRDefault="00FE1E14" w:rsidP="00FE1E14">
            <w:r w:rsidRPr="00FE1E14">
              <w:rPr>
                <w:rFonts w:hint="eastAsia"/>
              </w:rPr>
              <w:t>P</w:t>
            </w:r>
          </w:p>
        </w:tc>
      </w:tr>
      <w:tr w:rsidR="00FE1E14" w:rsidRPr="00FE1E14" w14:paraId="6368A8D8" w14:textId="77777777" w:rsidTr="00FE1E14">
        <w:trPr>
          <w:trHeight w:val="78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194F" w14:textId="77777777" w:rsidR="00FE1E14" w:rsidRPr="00FE1E14" w:rsidRDefault="00FE1E14" w:rsidP="00FE1E14">
            <w:r w:rsidRPr="00FE1E14">
              <w:rPr>
                <w:rFonts w:hint="eastAsia"/>
              </w:rPr>
              <w:t>E_BK1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BA26" w14:textId="77777777" w:rsidR="00FE1E14" w:rsidRPr="00FE1E14" w:rsidRDefault="00FE1E14" w:rsidP="00FE1E14">
            <w:r w:rsidRPr="00FE1E14">
              <w:rPr>
                <w:rFonts w:hint="eastAsia"/>
              </w:rPr>
              <w:t>94.793 (87.864 ,101.721)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2477" w14:textId="05D8100A" w:rsidR="00FE1E14" w:rsidRPr="00FE1E14" w:rsidRDefault="00FE1E14" w:rsidP="00FE1E14"/>
        </w:tc>
      </w:tr>
      <w:tr w:rsidR="00FE1E14" w:rsidRPr="00FE1E14" w14:paraId="7AB15B3E" w14:textId="77777777" w:rsidTr="00FE1E14">
        <w:trPr>
          <w:trHeight w:val="56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487A" w14:textId="77777777" w:rsidR="00FE1E14" w:rsidRPr="00FE1E14" w:rsidRDefault="00FE1E14" w:rsidP="00FE1E14">
            <w:r w:rsidRPr="00FE1E14">
              <w:rPr>
                <w:rFonts w:hint="eastAsia"/>
              </w:rPr>
              <w:t>slope1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3A46" w14:textId="77777777" w:rsidR="00FE1E14" w:rsidRPr="00FE1E14" w:rsidRDefault="00FE1E14" w:rsidP="00FE1E14">
            <w:r w:rsidRPr="00FE1E14">
              <w:rPr>
                <w:rFonts w:hint="eastAsia"/>
              </w:rPr>
              <w:t>0.62 (0.431,0.892)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73FC" w14:textId="77777777" w:rsidR="00FE1E14" w:rsidRPr="00FE1E14" w:rsidRDefault="00FE1E14" w:rsidP="00FE1E14">
            <w:r w:rsidRPr="00FE1E14">
              <w:rPr>
                <w:rFonts w:hint="eastAsia"/>
              </w:rPr>
              <w:t>0.0101</w:t>
            </w:r>
          </w:p>
        </w:tc>
      </w:tr>
      <w:tr w:rsidR="00FE1E14" w:rsidRPr="00FE1E14" w14:paraId="07C480F9" w14:textId="77777777" w:rsidTr="00FE1E14">
        <w:trPr>
          <w:trHeight w:val="76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4B6B" w14:textId="77777777" w:rsidR="00FE1E14" w:rsidRPr="00FE1E14" w:rsidRDefault="00FE1E14" w:rsidP="00FE1E14">
            <w:r w:rsidRPr="00FE1E14">
              <w:rPr>
                <w:rFonts w:hint="eastAsia"/>
              </w:rPr>
              <w:t>slope2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FEF1" w14:textId="77777777" w:rsidR="00FE1E14" w:rsidRPr="00FE1E14" w:rsidRDefault="00FE1E14" w:rsidP="00FE1E14">
            <w:r w:rsidRPr="00FE1E14">
              <w:rPr>
                <w:rFonts w:hint="eastAsia"/>
              </w:rPr>
              <w:t>0.9971 (0.9935,1.0007)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50CD" w14:textId="77777777" w:rsidR="00FE1E14" w:rsidRPr="00FE1E14" w:rsidRDefault="00FE1E14" w:rsidP="00FE1E14">
            <w:r w:rsidRPr="00FE1E14">
              <w:rPr>
                <w:rFonts w:hint="eastAsia"/>
              </w:rPr>
              <w:t>0.117</w:t>
            </w:r>
          </w:p>
        </w:tc>
      </w:tr>
      <w:tr w:rsidR="00FE1E14" w:rsidRPr="00FE1E14" w14:paraId="0194A2D0" w14:textId="77777777" w:rsidTr="00FE1E14">
        <w:trPr>
          <w:trHeight w:val="76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8249" w14:textId="77777777" w:rsidR="00FE1E14" w:rsidRPr="00FE1E14" w:rsidRDefault="00FE1E14" w:rsidP="00FE1E14">
            <w:r w:rsidRPr="00FE1E14">
              <w:rPr>
                <w:rFonts w:hint="eastAsia"/>
              </w:rPr>
              <w:t>Likelihood Ratio test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FC58" w14:textId="77777777" w:rsidR="00FE1E14" w:rsidRPr="00FE1E14" w:rsidRDefault="00FE1E14" w:rsidP="00FE1E14">
            <w:r w:rsidRPr="00FE1E14">
              <w:rPr>
                <w:rFonts w:hint="eastAsia"/>
              </w:rPr>
              <w:t> 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7CEE" w14:textId="77777777" w:rsidR="00FE1E14" w:rsidRPr="00FE1E14" w:rsidRDefault="00FE1E14" w:rsidP="00FE1E14">
            <w:r w:rsidRPr="00FE1E14">
              <w:rPr>
                <w:rFonts w:hint="eastAsia"/>
              </w:rPr>
              <w:t>0.442</w:t>
            </w:r>
          </w:p>
        </w:tc>
      </w:tr>
      <w:tr w:rsidR="00FE1E14" w:rsidRPr="00FE1E14" w14:paraId="7FB4B0EA" w14:textId="77777777" w:rsidTr="00FE1E14">
        <w:trPr>
          <w:trHeight w:val="56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ABB4" w14:textId="77777777" w:rsidR="00FE1E14" w:rsidRPr="00FE1E14" w:rsidRDefault="00FE1E14" w:rsidP="00FE1E14">
            <w:r w:rsidRPr="00FE1E14">
              <w:rPr>
                <w:rFonts w:hint="eastAsia"/>
              </w:rPr>
              <w:t>Non-linear Test*1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DD53" w14:textId="77777777" w:rsidR="00FE1E14" w:rsidRPr="00FE1E14" w:rsidRDefault="00FE1E14" w:rsidP="00FE1E14">
            <w:r w:rsidRPr="00FE1E14">
              <w:rPr>
                <w:rFonts w:hint="eastAsia"/>
              </w:rPr>
              <w:t>-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A2A7" w14:textId="77777777" w:rsidR="00FE1E14" w:rsidRPr="00FE1E14" w:rsidRDefault="00FE1E14" w:rsidP="00FE1E14">
            <w:r w:rsidRPr="00FE1E14">
              <w:rPr>
                <w:rFonts w:hint="eastAsia"/>
              </w:rPr>
              <w:t>0.82</w:t>
            </w:r>
          </w:p>
        </w:tc>
      </w:tr>
      <w:tr w:rsidR="00FE1E14" w:rsidRPr="00FE1E14" w14:paraId="674C0561" w14:textId="77777777" w:rsidTr="00FE1E14">
        <w:trPr>
          <w:trHeight w:val="560"/>
          <w:tblCellSpacing w:w="0" w:type="dxa"/>
        </w:trPr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EF74" w14:textId="77777777" w:rsidR="00FE1E14" w:rsidRPr="00FE1E14" w:rsidRDefault="00FE1E14" w:rsidP="00FE1E14">
            <w:r w:rsidRPr="00FE1E14">
              <w:rPr>
                <w:rFonts w:hint="eastAsia"/>
              </w:rPr>
              <w:t>Non-linear Test*2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0518" w14:textId="77777777" w:rsidR="00FE1E14" w:rsidRPr="00FE1E14" w:rsidRDefault="00FE1E14" w:rsidP="00FE1E14">
            <w:r w:rsidRPr="00FE1E14">
              <w:rPr>
                <w:rFonts w:hint="eastAsia"/>
              </w:rPr>
              <w:t>-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15ED" w14:textId="77777777" w:rsidR="00FE1E14" w:rsidRPr="00FE1E14" w:rsidRDefault="00FE1E14" w:rsidP="00FE1E14">
            <w:r w:rsidRPr="00FE1E14">
              <w:rPr>
                <w:rFonts w:hint="eastAsia"/>
              </w:rPr>
              <w:t>0.352</w:t>
            </w:r>
          </w:p>
        </w:tc>
      </w:tr>
    </w:tbl>
    <w:p w14:paraId="4066F793" w14:textId="77777777" w:rsidR="00FE1E14" w:rsidRPr="00013F62" w:rsidRDefault="00FE1E14" w:rsidP="00013F62">
      <w:pPr>
        <w:rPr>
          <w:rFonts w:hint="eastAsia"/>
        </w:rPr>
      </w:pPr>
    </w:p>
    <w:sectPr w:rsidR="00FE1E14" w:rsidRPr="0001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62"/>
    <w:rsid w:val="00013F62"/>
    <w:rsid w:val="00756794"/>
    <w:rsid w:val="00990226"/>
    <w:rsid w:val="00EA6F72"/>
    <w:rsid w:val="00F34811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65E3"/>
  <w15:chartTrackingRefBased/>
  <w15:docId w15:val="{424C71E7-0972-4C53-99D5-8EAFB20F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w</dc:creator>
  <cp:keywords/>
  <dc:description/>
  <cp:lastModifiedBy>yc w</cp:lastModifiedBy>
  <cp:revision>1</cp:revision>
  <dcterms:created xsi:type="dcterms:W3CDTF">2024-10-13T11:00:00Z</dcterms:created>
  <dcterms:modified xsi:type="dcterms:W3CDTF">2024-10-13T11:33:00Z</dcterms:modified>
</cp:coreProperties>
</file>