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39E8AF" w14:textId="17A04DEE" w:rsidR="001D7F90" w:rsidRDefault="00172ABB" w:rsidP="00A14851">
      <w:pPr>
        <w:spacing w:after="0" w:line="360" w:lineRule="auto"/>
        <w:jc w:val="both"/>
        <w:rPr>
          <w:rFonts w:ascii="Times New Roman" w:hAnsi="Times New Roman" w:cs="Times New Roman"/>
          <w:b/>
          <w:bCs/>
          <w:iCs/>
          <w:sz w:val="20"/>
          <w:szCs w:val="20"/>
        </w:rPr>
      </w:pPr>
      <w:r>
        <w:rPr>
          <w:rFonts w:ascii="Times New Roman" w:hAnsi="Times New Roman" w:cs="Times New Roman"/>
          <w:b/>
          <w:bCs/>
          <w:iCs/>
          <w:sz w:val="20"/>
          <w:szCs w:val="20"/>
        </w:rPr>
        <w:t>SUPPLEMENTARY METHODS</w:t>
      </w:r>
    </w:p>
    <w:p w14:paraId="46ADA4B7" w14:textId="43C4DB36" w:rsidR="004F3D6B" w:rsidRDefault="004F3D6B" w:rsidP="00A14851">
      <w:pPr>
        <w:spacing w:before="120" w:after="0" w:line="360" w:lineRule="auto"/>
        <w:jc w:val="both"/>
        <w:rPr>
          <w:rFonts w:ascii="Times New Roman" w:hAnsi="Times New Roman" w:cs="Times New Roman"/>
          <w:b/>
          <w:bCs/>
          <w:iCs/>
          <w:sz w:val="20"/>
          <w:szCs w:val="20"/>
        </w:rPr>
      </w:pPr>
      <w:r>
        <w:rPr>
          <w:rFonts w:ascii="Times New Roman" w:hAnsi="Times New Roman" w:cs="Times New Roman"/>
          <w:b/>
          <w:bCs/>
          <w:iCs/>
          <w:sz w:val="20"/>
          <w:szCs w:val="20"/>
        </w:rPr>
        <w:t>Isolation of nectar microbes</w:t>
      </w:r>
    </w:p>
    <w:p w14:paraId="7CD324C7" w14:textId="63EA0DDC" w:rsidR="004F3D6B" w:rsidRDefault="00A14851" w:rsidP="00A14851">
      <w:pPr>
        <w:spacing w:before="120" w:after="0" w:line="360" w:lineRule="auto"/>
        <w:jc w:val="both"/>
        <w:rPr>
          <w:rFonts w:ascii="Times New Roman" w:hAnsi="Times New Roman" w:cs="Times New Roman"/>
          <w:iCs/>
          <w:sz w:val="20"/>
          <w:szCs w:val="20"/>
          <w:lang w:val="en-GB"/>
        </w:rPr>
      </w:pPr>
      <w:r w:rsidRPr="00A14851">
        <w:rPr>
          <w:rFonts w:ascii="Times New Roman" w:hAnsi="Times New Roman" w:cs="Times New Roman"/>
          <w:iCs/>
          <w:sz w:val="20"/>
          <w:szCs w:val="20"/>
          <w:lang w:val="en-GB"/>
        </w:rPr>
        <w:t xml:space="preserve">Flowers </w:t>
      </w:r>
      <w:r w:rsidRPr="000D5B75">
        <w:rPr>
          <w:rFonts w:ascii="Times New Roman" w:hAnsi="Times New Roman" w:cs="Times New Roman"/>
          <w:iCs/>
          <w:sz w:val="20"/>
          <w:szCs w:val="20"/>
          <w:lang w:val="en-GB"/>
        </w:rPr>
        <w:t xml:space="preserve">of </w:t>
      </w:r>
      <w:r w:rsidR="00915435" w:rsidRPr="000D5B75">
        <w:rPr>
          <w:rFonts w:ascii="Times New Roman" w:hAnsi="Times New Roman" w:cs="Times New Roman"/>
          <w:i/>
          <w:iCs/>
          <w:sz w:val="20"/>
          <w:szCs w:val="20"/>
        </w:rPr>
        <w:t>Asphodelus ramosus</w:t>
      </w:r>
      <w:r w:rsidR="00915435" w:rsidRPr="000D5B75">
        <w:rPr>
          <w:rFonts w:ascii="Times New Roman" w:hAnsi="Times New Roman" w:cs="Times New Roman"/>
          <w:sz w:val="20"/>
          <w:szCs w:val="20"/>
        </w:rPr>
        <w:t xml:space="preserve">, </w:t>
      </w:r>
      <w:r w:rsidR="00915435" w:rsidRPr="000D5B75">
        <w:rPr>
          <w:rFonts w:ascii="Times New Roman" w:hAnsi="Times New Roman" w:cs="Times New Roman"/>
          <w:i/>
          <w:iCs/>
          <w:sz w:val="20"/>
          <w:szCs w:val="20"/>
        </w:rPr>
        <w:t>Echium</w:t>
      </w:r>
      <w:r w:rsidR="00915435" w:rsidRPr="000D5B75">
        <w:rPr>
          <w:rFonts w:ascii="Times New Roman" w:hAnsi="Times New Roman" w:cs="Times New Roman"/>
          <w:sz w:val="20"/>
          <w:szCs w:val="20"/>
        </w:rPr>
        <w:t xml:space="preserve"> sp.</w:t>
      </w:r>
      <w:r w:rsidR="000D5B75" w:rsidRPr="000D5B75">
        <w:rPr>
          <w:rFonts w:ascii="Times New Roman" w:hAnsi="Times New Roman" w:cs="Times New Roman"/>
          <w:sz w:val="20"/>
          <w:szCs w:val="20"/>
        </w:rPr>
        <w:t>,</w:t>
      </w:r>
      <w:r w:rsidR="00915435" w:rsidRPr="000D5B75">
        <w:rPr>
          <w:rFonts w:ascii="Times New Roman" w:hAnsi="Times New Roman" w:cs="Times New Roman"/>
          <w:sz w:val="20"/>
          <w:szCs w:val="20"/>
        </w:rPr>
        <w:t xml:space="preserve"> and </w:t>
      </w:r>
      <w:r w:rsidR="00915435" w:rsidRPr="000D5B75">
        <w:rPr>
          <w:rFonts w:ascii="Times New Roman" w:hAnsi="Times New Roman" w:cs="Times New Roman"/>
          <w:i/>
          <w:iCs/>
          <w:sz w:val="20"/>
          <w:szCs w:val="20"/>
        </w:rPr>
        <w:t xml:space="preserve">Lavandula </w:t>
      </w:r>
      <w:r w:rsidR="000D5B75" w:rsidRPr="000D5B75">
        <w:rPr>
          <w:rFonts w:ascii="Times New Roman" w:hAnsi="Times New Roman" w:cs="Times New Roman"/>
          <w:i/>
          <w:iCs/>
          <w:sz w:val="20"/>
          <w:szCs w:val="20"/>
        </w:rPr>
        <w:t>stoechas</w:t>
      </w:r>
      <w:r w:rsidR="00915435" w:rsidRPr="000D5B75">
        <w:rPr>
          <w:rFonts w:ascii="Times New Roman" w:hAnsi="Times New Roman" w:cs="Times New Roman"/>
          <w:sz w:val="20"/>
          <w:szCs w:val="20"/>
        </w:rPr>
        <w:t xml:space="preserve"> </w:t>
      </w:r>
      <w:r w:rsidRPr="000D5B75">
        <w:rPr>
          <w:rFonts w:ascii="Times New Roman" w:hAnsi="Times New Roman" w:cs="Times New Roman"/>
          <w:iCs/>
          <w:sz w:val="20"/>
          <w:szCs w:val="20"/>
          <w:lang w:val="en-GB"/>
        </w:rPr>
        <w:t xml:space="preserve">were collected </w:t>
      </w:r>
      <w:r w:rsidRPr="00A14851">
        <w:rPr>
          <w:rFonts w:ascii="Times New Roman" w:hAnsi="Times New Roman" w:cs="Times New Roman"/>
          <w:iCs/>
          <w:sz w:val="20"/>
          <w:szCs w:val="20"/>
          <w:lang w:val="en-GB"/>
        </w:rPr>
        <w:t>in the field</w:t>
      </w:r>
      <w:r w:rsidR="00CE072E">
        <w:rPr>
          <w:rFonts w:ascii="Times New Roman" w:hAnsi="Times New Roman" w:cs="Times New Roman"/>
          <w:iCs/>
          <w:sz w:val="20"/>
          <w:szCs w:val="20"/>
          <w:lang w:val="en-GB"/>
        </w:rPr>
        <w:t xml:space="preserve"> (see details of the sampling sites in Table 1)</w:t>
      </w:r>
      <w:r w:rsidRPr="00A14851">
        <w:rPr>
          <w:rFonts w:ascii="Times New Roman" w:hAnsi="Times New Roman" w:cs="Times New Roman"/>
          <w:iCs/>
          <w:sz w:val="20"/>
          <w:szCs w:val="20"/>
          <w:lang w:val="en-GB"/>
        </w:rPr>
        <w:t>, carefully placed in plastic ziploc bags</w:t>
      </w:r>
      <w:r w:rsidR="00CE072E">
        <w:rPr>
          <w:rFonts w:ascii="Times New Roman" w:hAnsi="Times New Roman" w:cs="Times New Roman"/>
          <w:iCs/>
          <w:sz w:val="20"/>
          <w:szCs w:val="20"/>
          <w:lang w:val="en-GB"/>
        </w:rPr>
        <w:t>,</w:t>
      </w:r>
      <w:r w:rsidRPr="00A14851">
        <w:rPr>
          <w:rFonts w:ascii="Times New Roman" w:hAnsi="Times New Roman" w:cs="Times New Roman"/>
          <w:iCs/>
          <w:sz w:val="20"/>
          <w:szCs w:val="20"/>
          <w:lang w:val="en-GB"/>
        </w:rPr>
        <w:t xml:space="preserve"> and kept at 4 °C until nectar extraction was performed within 6 h of collection. Nectar extraction was conducted using a sterile calibrated glass microcapillary (</w:t>
      </w:r>
      <w:r w:rsidR="00915435">
        <w:rPr>
          <w:rFonts w:ascii="Times New Roman" w:hAnsi="Times New Roman" w:cs="Times New Roman"/>
          <w:iCs/>
          <w:sz w:val="20"/>
          <w:szCs w:val="20"/>
          <w:lang w:val="en-GB"/>
        </w:rPr>
        <w:t>Sigma-Aldrich, Madrid, Spain</w:t>
      </w:r>
      <w:r w:rsidRPr="00A14851">
        <w:rPr>
          <w:rFonts w:ascii="Times New Roman" w:hAnsi="Times New Roman" w:cs="Times New Roman"/>
          <w:iCs/>
          <w:sz w:val="20"/>
          <w:szCs w:val="20"/>
          <w:lang w:val="en-GB"/>
        </w:rPr>
        <w:t>), and the nectar sample</w:t>
      </w:r>
      <w:r w:rsidR="00CE072E">
        <w:rPr>
          <w:rFonts w:ascii="Times New Roman" w:hAnsi="Times New Roman" w:cs="Times New Roman"/>
          <w:iCs/>
          <w:sz w:val="20"/>
          <w:szCs w:val="20"/>
          <w:lang w:val="en-GB"/>
        </w:rPr>
        <w:t>s</w:t>
      </w:r>
      <w:r w:rsidRPr="00A14851">
        <w:rPr>
          <w:rFonts w:ascii="Times New Roman" w:hAnsi="Times New Roman" w:cs="Times New Roman"/>
          <w:iCs/>
          <w:sz w:val="20"/>
          <w:szCs w:val="20"/>
          <w:lang w:val="en-GB"/>
        </w:rPr>
        <w:t xml:space="preserve"> w</w:t>
      </w:r>
      <w:r w:rsidR="00CE072E">
        <w:rPr>
          <w:rFonts w:ascii="Times New Roman" w:hAnsi="Times New Roman" w:cs="Times New Roman"/>
          <w:iCs/>
          <w:sz w:val="20"/>
          <w:szCs w:val="20"/>
          <w:lang w:val="en-GB"/>
        </w:rPr>
        <w:t>ere</w:t>
      </w:r>
      <w:r w:rsidRPr="00A14851">
        <w:rPr>
          <w:rFonts w:ascii="Times New Roman" w:hAnsi="Times New Roman" w:cs="Times New Roman"/>
          <w:iCs/>
          <w:sz w:val="20"/>
          <w:szCs w:val="20"/>
          <w:lang w:val="en-GB"/>
        </w:rPr>
        <w:t xml:space="preserve"> diluted in 50 μL of saline solution (0.85% w/v NaCl; Sigma-Aldrich). Twenty</w:t>
      </w:r>
      <w:r w:rsidRPr="00A14851">
        <w:rPr>
          <w:rFonts w:ascii="Times New Roman" w:hAnsi="Times New Roman" w:cs="Times New Roman"/>
          <w:iCs/>
          <w:sz w:val="20"/>
          <w:szCs w:val="20"/>
          <w:lang w:val="en-GB"/>
        </w:rPr>
        <w:t>-five microliters of the resulting nectar dilution</w:t>
      </w:r>
      <w:r w:rsidR="00CE072E">
        <w:rPr>
          <w:rFonts w:ascii="Times New Roman" w:hAnsi="Times New Roman" w:cs="Times New Roman"/>
          <w:iCs/>
          <w:sz w:val="20"/>
          <w:szCs w:val="20"/>
          <w:lang w:val="en-GB"/>
        </w:rPr>
        <w:t>s</w:t>
      </w:r>
      <w:r w:rsidRPr="00A14851">
        <w:rPr>
          <w:rFonts w:ascii="Times New Roman" w:hAnsi="Times New Roman" w:cs="Times New Roman"/>
          <w:iCs/>
          <w:sz w:val="20"/>
          <w:szCs w:val="20"/>
          <w:lang w:val="en-GB"/>
        </w:rPr>
        <w:t xml:space="preserve"> were streaked on </w:t>
      </w:r>
      <w:r w:rsidR="00301D97">
        <w:rPr>
          <w:rFonts w:ascii="Times New Roman" w:hAnsi="Times New Roman" w:cs="Times New Roman"/>
          <w:iCs/>
          <w:sz w:val="20"/>
          <w:szCs w:val="20"/>
          <w:lang w:val="en-GB"/>
        </w:rPr>
        <w:t xml:space="preserve">plates containing </w:t>
      </w:r>
      <w:r w:rsidRPr="00A14851">
        <w:rPr>
          <w:rFonts w:ascii="Times New Roman" w:hAnsi="Times New Roman" w:cs="Times New Roman"/>
          <w:iCs/>
          <w:sz w:val="20"/>
          <w:szCs w:val="20"/>
          <w:lang w:val="en-GB"/>
        </w:rPr>
        <w:t>trypticase soy agar (TSA)</w:t>
      </w:r>
      <w:r w:rsidR="00301D97">
        <w:rPr>
          <w:rFonts w:ascii="Times New Roman" w:hAnsi="Times New Roman" w:cs="Times New Roman"/>
          <w:iCs/>
          <w:sz w:val="20"/>
          <w:szCs w:val="20"/>
          <w:lang w:val="en-GB"/>
        </w:rPr>
        <w:t xml:space="preserve"> </w:t>
      </w:r>
      <w:r w:rsidR="00301D97" w:rsidRPr="00FC181A">
        <w:rPr>
          <w:rFonts w:ascii="Times New Roman" w:hAnsi="Times New Roman" w:cs="Times New Roman"/>
          <w:sz w:val="20"/>
          <w:szCs w:val="20"/>
        </w:rPr>
        <w:t>supplemented with 0.1 g/L of cycloheximide (Sigma-Aldrich)</w:t>
      </w:r>
      <w:r w:rsidRPr="00A14851">
        <w:rPr>
          <w:rFonts w:ascii="Times New Roman" w:hAnsi="Times New Roman" w:cs="Times New Roman"/>
          <w:iCs/>
          <w:sz w:val="20"/>
          <w:szCs w:val="20"/>
          <w:lang w:val="en-GB"/>
        </w:rPr>
        <w:t xml:space="preserve"> </w:t>
      </w:r>
      <w:r w:rsidR="00301D97">
        <w:rPr>
          <w:rFonts w:ascii="Times New Roman" w:hAnsi="Times New Roman" w:cs="Times New Roman"/>
          <w:iCs/>
          <w:sz w:val="20"/>
          <w:szCs w:val="20"/>
          <w:lang w:val="en-GB"/>
        </w:rPr>
        <w:t xml:space="preserve">or </w:t>
      </w:r>
      <w:r w:rsidR="00301D97" w:rsidRPr="00FC181A">
        <w:rPr>
          <w:rFonts w:ascii="Times New Roman" w:hAnsi="Times New Roman" w:cs="Times New Roman"/>
          <w:sz w:val="20"/>
          <w:szCs w:val="20"/>
        </w:rPr>
        <w:t>yeast malt agar (YMA</w:t>
      </w:r>
      <w:r w:rsidR="00301D97">
        <w:rPr>
          <w:rFonts w:ascii="Times New Roman" w:hAnsi="Times New Roman" w:cs="Times New Roman"/>
          <w:sz w:val="20"/>
          <w:szCs w:val="20"/>
        </w:rPr>
        <w:t>)</w:t>
      </w:r>
      <w:r w:rsidR="00301D97">
        <w:rPr>
          <w:rFonts w:ascii="Times New Roman" w:hAnsi="Times New Roman" w:cs="Times New Roman"/>
          <w:iCs/>
          <w:sz w:val="20"/>
          <w:szCs w:val="20"/>
          <w:lang w:val="en-GB"/>
        </w:rPr>
        <w:t xml:space="preserve"> </w:t>
      </w:r>
      <w:r w:rsidR="00301D97" w:rsidRPr="00FC181A">
        <w:rPr>
          <w:rFonts w:ascii="Times New Roman" w:hAnsi="Times New Roman" w:cs="Times New Roman"/>
          <w:sz w:val="20"/>
          <w:szCs w:val="20"/>
        </w:rPr>
        <w:t>supplemented with 0.1 g/L of chloramphenicol (Sigma-Aldrich)</w:t>
      </w:r>
      <w:r w:rsidR="00301D97" w:rsidRPr="00A14851">
        <w:rPr>
          <w:rFonts w:ascii="Times New Roman" w:hAnsi="Times New Roman" w:cs="Times New Roman"/>
          <w:iCs/>
          <w:sz w:val="20"/>
          <w:szCs w:val="20"/>
          <w:lang w:val="en-GB"/>
        </w:rPr>
        <w:t xml:space="preserve"> </w:t>
      </w:r>
      <w:r w:rsidRPr="00A14851">
        <w:rPr>
          <w:rFonts w:ascii="Times New Roman" w:hAnsi="Times New Roman" w:cs="Times New Roman"/>
          <w:iCs/>
          <w:sz w:val="20"/>
          <w:szCs w:val="20"/>
          <w:lang w:val="en-GB"/>
        </w:rPr>
        <w:t>for isolation of bacteria and yeasts, respectively. Following a 7-day incubation at 25 °C, each phenotypically distinct colony type was picked and separately subcultivated on TSA or YMA</w:t>
      </w:r>
      <w:r w:rsidR="00301D97">
        <w:rPr>
          <w:rFonts w:ascii="Times New Roman" w:hAnsi="Times New Roman" w:cs="Times New Roman"/>
          <w:iCs/>
          <w:sz w:val="20"/>
          <w:szCs w:val="20"/>
          <w:lang w:val="en-GB"/>
        </w:rPr>
        <w:t xml:space="preserve"> </w:t>
      </w:r>
      <w:r w:rsidR="00301D97" w:rsidRPr="00A14851">
        <w:rPr>
          <w:rFonts w:ascii="Times New Roman" w:hAnsi="Times New Roman" w:cs="Times New Roman"/>
          <w:iCs/>
          <w:sz w:val="20"/>
          <w:szCs w:val="20"/>
        </w:rPr>
        <w:t>to obtain axenic cultures</w:t>
      </w:r>
      <w:r w:rsidR="004F3D6B" w:rsidRPr="00A14851">
        <w:rPr>
          <w:rFonts w:ascii="Times New Roman" w:hAnsi="Times New Roman" w:cs="Times New Roman"/>
          <w:iCs/>
          <w:sz w:val="20"/>
          <w:szCs w:val="20"/>
        </w:rPr>
        <w:t>.</w:t>
      </w:r>
      <w:r w:rsidRPr="00A14851">
        <w:rPr>
          <w:rFonts w:ascii="Times New Roman" w:hAnsi="Times New Roman" w:cs="Times New Roman"/>
          <w:iCs/>
          <w:sz w:val="20"/>
          <w:szCs w:val="20"/>
        </w:rPr>
        <w:t xml:space="preserve"> </w:t>
      </w:r>
      <w:r w:rsidRPr="00A14851">
        <w:rPr>
          <w:rFonts w:ascii="Times New Roman" w:hAnsi="Times New Roman" w:cs="Times New Roman"/>
          <w:sz w:val="20"/>
          <w:szCs w:val="20"/>
        </w:rPr>
        <w:t>All isolates were stored at -80 °C as 25% v/v glycerol (Sigma-Aldrich) stocks until being used in microcosm experiments (see details in the main text).</w:t>
      </w:r>
    </w:p>
    <w:p w14:paraId="67E1CC04" w14:textId="77777777" w:rsidR="00A14851" w:rsidRPr="00A14851" w:rsidRDefault="00A14851" w:rsidP="00A14851">
      <w:pPr>
        <w:spacing w:after="0" w:line="360" w:lineRule="auto"/>
        <w:jc w:val="both"/>
        <w:rPr>
          <w:rFonts w:ascii="Times New Roman" w:hAnsi="Times New Roman" w:cs="Times New Roman"/>
          <w:iCs/>
          <w:sz w:val="20"/>
          <w:szCs w:val="20"/>
          <w:lang w:val="en-GB"/>
        </w:rPr>
      </w:pPr>
    </w:p>
    <w:p w14:paraId="17EF2E75" w14:textId="74F3C3DB" w:rsidR="00172ABB" w:rsidRPr="00A9378E" w:rsidRDefault="00A9378E" w:rsidP="00A14851">
      <w:pPr>
        <w:spacing w:after="0" w:line="360" w:lineRule="auto"/>
        <w:jc w:val="both"/>
        <w:rPr>
          <w:rFonts w:ascii="Times New Roman" w:hAnsi="Times New Roman" w:cs="Times New Roman"/>
          <w:b/>
          <w:bCs/>
          <w:iCs/>
          <w:sz w:val="20"/>
          <w:szCs w:val="20"/>
        </w:rPr>
      </w:pPr>
      <w:r w:rsidRPr="00A9378E">
        <w:rPr>
          <w:rFonts w:ascii="Times New Roman" w:hAnsi="Times New Roman" w:cs="Times New Roman"/>
          <w:b/>
          <w:bCs/>
          <w:iCs/>
          <w:sz w:val="20"/>
          <w:szCs w:val="20"/>
        </w:rPr>
        <w:t>Species-leve</w:t>
      </w:r>
      <w:r>
        <w:rPr>
          <w:rFonts w:ascii="Times New Roman" w:hAnsi="Times New Roman" w:cs="Times New Roman"/>
          <w:b/>
          <w:bCs/>
          <w:iCs/>
          <w:sz w:val="20"/>
          <w:szCs w:val="20"/>
        </w:rPr>
        <w:t>l</w:t>
      </w:r>
      <w:r w:rsidR="00172ABB" w:rsidRPr="00A9378E">
        <w:rPr>
          <w:rFonts w:ascii="Times New Roman" w:hAnsi="Times New Roman" w:cs="Times New Roman"/>
          <w:b/>
          <w:bCs/>
          <w:iCs/>
          <w:sz w:val="20"/>
          <w:szCs w:val="20"/>
        </w:rPr>
        <w:t xml:space="preserve"> identification</w:t>
      </w:r>
      <w:r w:rsidRPr="00A9378E">
        <w:rPr>
          <w:rFonts w:ascii="Times New Roman" w:hAnsi="Times New Roman" w:cs="Times New Roman"/>
          <w:b/>
          <w:bCs/>
          <w:iCs/>
          <w:sz w:val="20"/>
          <w:szCs w:val="20"/>
        </w:rPr>
        <w:t xml:space="preserve"> of isolates</w:t>
      </w:r>
    </w:p>
    <w:p w14:paraId="0E515317" w14:textId="46B971DC" w:rsidR="00172ABB" w:rsidRDefault="00172ABB" w:rsidP="000D5B75">
      <w:pPr>
        <w:spacing w:before="120" w:line="360" w:lineRule="auto"/>
        <w:jc w:val="both"/>
        <w:rPr>
          <w:rFonts w:ascii="Times New Roman" w:hAnsi="Times New Roman" w:cs="Times New Roman"/>
          <w:sz w:val="20"/>
          <w:szCs w:val="20"/>
        </w:rPr>
      </w:pPr>
      <w:r w:rsidRPr="00901079">
        <w:rPr>
          <w:rFonts w:ascii="Times New Roman" w:hAnsi="Times New Roman" w:cs="Times New Roman"/>
          <w:sz w:val="20"/>
          <w:szCs w:val="20"/>
        </w:rPr>
        <w:t xml:space="preserve">Genomic DNA was extracted from </w:t>
      </w:r>
      <w:r>
        <w:rPr>
          <w:rFonts w:ascii="Times New Roman" w:hAnsi="Times New Roman" w:cs="Times New Roman"/>
          <w:sz w:val="20"/>
          <w:szCs w:val="20"/>
        </w:rPr>
        <w:t>al</w:t>
      </w:r>
      <w:r w:rsidR="00611ADF">
        <w:rPr>
          <w:rFonts w:ascii="Times New Roman" w:hAnsi="Times New Roman" w:cs="Times New Roman"/>
          <w:sz w:val="20"/>
          <w:szCs w:val="20"/>
        </w:rPr>
        <w:t xml:space="preserve">l studied </w:t>
      </w:r>
      <w:r>
        <w:rPr>
          <w:rFonts w:ascii="Times New Roman" w:hAnsi="Times New Roman" w:cs="Times New Roman"/>
          <w:sz w:val="20"/>
          <w:szCs w:val="20"/>
        </w:rPr>
        <w:t>isolates</w:t>
      </w:r>
      <w:r w:rsidRPr="00901079">
        <w:rPr>
          <w:rFonts w:ascii="Times New Roman" w:hAnsi="Times New Roman" w:cs="Times New Roman"/>
          <w:sz w:val="20"/>
          <w:szCs w:val="20"/>
        </w:rPr>
        <w:t xml:space="preserve"> </w:t>
      </w:r>
      <w:r w:rsidR="004F3D6B">
        <w:rPr>
          <w:rFonts w:ascii="Times New Roman" w:hAnsi="Times New Roman" w:cs="Times New Roman"/>
          <w:sz w:val="20"/>
          <w:szCs w:val="20"/>
        </w:rPr>
        <w:t xml:space="preserve">using the </w:t>
      </w:r>
      <w:r w:rsidR="00915435" w:rsidRPr="000D5B75">
        <w:rPr>
          <w:rFonts w:ascii="Times New Roman" w:hAnsi="Times New Roman" w:cs="Times New Roman"/>
          <w:sz w:val="20"/>
          <w:szCs w:val="20"/>
        </w:rPr>
        <w:t>YeaStar Genomic DNA</w:t>
      </w:r>
      <w:r w:rsidR="00915435">
        <w:rPr>
          <w:rFonts w:ascii="Times New Roman" w:hAnsi="Times New Roman" w:cs="Times New Roman"/>
          <w:sz w:val="20"/>
          <w:szCs w:val="20"/>
        </w:rPr>
        <w:t xml:space="preserve"> (Zymo Research</w:t>
      </w:r>
      <w:r w:rsidR="001E536E">
        <w:rPr>
          <w:rFonts w:ascii="Times New Roman" w:hAnsi="Times New Roman" w:cs="Times New Roman"/>
          <w:sz w:val="20"/>
          <w:szCs w:val="20"/>
        </w:rPr>
        <w:t xml:space="preserve">, </w:t>
      </w:r>
      <w:r w:rsidR="000D5B75">
        <w:rPr>
          <w:rFonts w:ascii="Times New Roman" w:hAnsi="Times New Roman" w:cs="Times New Roman"/>
          <w:sz w:val="20"/>
          <w:szCs w:val="20"/>
        </w:rPr>
        <w:t>Orange, CA</w:t>
      </w:r>
      <w:r w:rsidR="001E536E">
        <w:rPr>
          <w:rFonts w:ascii="Times New Roman" w:hAnsi="Times New Roman" w:cs="Times New Roman"/>
          <w:sz w:val="20"/>
          <w:szCs w:val="20"/>
        </w:rPr>
        <w:t>, USA)</w:t>
      </w:r>
      <w:r w:rsidR="000D5B75">
        <w:rPr>
          <w:rFonts w:ascii="Times New Roman" w:hAnsi="Times New Roman" w:cs="Times New Roman"/>
          <w:sz w:val="20"/>
          <w:szCs w:val="20"/>
        </w:rPr>
        <w:t xml:space="preserve"> </w:t>
      </w:r>
      <w:r w:rsidR="004F3D6B">
        <w:rPr>
          <w:rFonts w:ascii="Times New Roman" w:hAnsi="Times New Roman" w:cs="Times New Roman"/>
          <w:sz w:val="20"/>
          <w:szCs w:val="20"/>
        </w:rPr>
        <w:t>kit, according to the manufacturer’s instructions.</w:t>
      </w:r>
      <w:r>
        <w:rPr>
          <w:rFonts w:ascii="Times New Roman" w:hAnsi="Times New Roman" w:cs="Times New Roman"/>
          <w:sz w:val="20"/>
          <w:szCs w:val="20"/>
        </w:rPr>
        <w:t xml:space="preserve"> </w:t>
      </w:r>
      <w:r w:rsidR="004F3D6B">
        <w:rPr>
          <w:rFonts w:ascii="Times New Roman" w:hAnsi="Times New Roman" w:cs="Times New Roman"/>
          <w:sz w:val="20"/>
          <w:szCs w:val="20"/>
        </w:rPr>
        <w:t>For bacterial isolates, the</w:t>
      </w:r>
      <w:r w:rsidR="004F3D6B" w:rsidRPr="004F3D6B">
        <w:rPr>
          <w:rFonts w:ascii="Times New Roman" w:hAnsi="Times New Roman" w:cs="Times New Roman"/>
          <w:sz w:val="20"/>
          <w:szCs w:val="20"/>
        </w:rPr>
        <w:t xml:space="preserve"> 16S rRNA gene was amplified using</w:t>
      </w:r>
      <w:r w:rsidR="004F3D6B">
        <w:rPr>
          <w:rFonts w:ascii="Times New Roman" w:hAnsi="Times New Roman" w:cs="Times New Roman"/>
          <w:sz w:val="20"/>
          <w:szCs w:val="20"/>
        </w:rPr>
        <w:t xml:space="preserve"> </w:t>
      </w:r>
      <w:r w:rsidR="004F3D6B" w:rsidRPr="004F3D6B">
        <w:rPr>
          <w:rFonts w:ascii="Times New Roman" w:hAnsi="Times New Roman" w:cs="Times New Roman"/>
          <w:sz w:val="20"/>
          <w:szCs w:val="20"/>
        </w:rPr>
        <w:t xml:space="preserve">primers 27F and 1492R </w:t>
      </w:r>
      <w:r w:rsidR="004F3D6B">
        <w:rPr>
          <w:rFonts w:ascii="Times New Roman" w:hAnsi="Times New Roman" w:cs="Times New Roman"/>
          <w:sz w:val="20"/>
          <w:szCs w:val="20"/>
        </w:rPr>
        <w:t>[</w:t>
      </w:r>
      <w:r w:rsidR="005B3EBC">
        <w:rPr>
          <w:rFonts w:ascii="Times New Roman" w:hAnsi="Times New Roman" w:cs="Times New Roman"/>
          <w:sz w:val="20"/>
          <w:szCs w:val="20"/>
        </w:rPr>
        <w:t>1</w:t>
      </w:r>
      <w:r w:rsidR="004F3D6B">
        <w:rPr>
          <w:rFonts w:ascii="Times New Roman" w:hAnsi="Times New Roman" w:cs="Times New Roman"/>
          <w:sz w:val="20"/>
          <w:szCs w:val="20"/>
        </w:rPr>
        <w:t>]</w:t>
      </w:r>
      <w:r w:rsidR="004F3D6B" w:rsidRPr="004F3D6B">
        <w:rPr>
          <w:rFonts w:ascii="Times New Roman" w:hAnsi="Times New Roman" w:cs="Times New Roman"/>
          <w:sz w:val="20"/>
          <w:szCs w:val="20"/>
        </w:rPr>
        <w:t>. For yeasts isolates, the D1</w:t>
      </w:r>
      <w:r w:rsidR="004F3D6B">
        <w:rPr>
          <w:rFonts w:ascii="Times New Roman" w:hAnsi="Times New Roman" w:cs="Times New Roman"/>
          <w:sz w:val="20"/>
          <w:szCs w:val="20"/>
        </w:rPr>
        <w:t xml:space="preserve"> </w:t>
      </w:r>
      <w:r w:rsidR="004F3D6B" w:rsidRPr="004F3D6B">
        <w:rPr>
          <w:rFonts w:ascii="Times New Roman" w:hAnsi="Times New Roman" w:cs="Times New Roman"/>
          <w:sz w:val="20"/>
          <w:szCs w:val="20"/>
        </w:rPr>
        <w:t>and D2 domains of the 26S rRNA gene were amplified</w:t>
      </w:r>
      <w:r w:rsidR="004F3D6B">
        <w:rPr>
          <w:rFonts w:ascii="Times New Roman" w:hAnsi="Times New Roman" w:cs="Times New Roman"/>
          <w:sz w:val="20"/>
          <w:szCs w:val="20"/>
        </w:rPr>
        <w:t xml:space="preserve"> </w:t>
      </w:r>
      <w:r w:rsidR="004F3D6B" w:rsidRPr="004F3D6B">
        <w:rPr>
          <w:rFonts w:ascii="Times New Roman" w:hAnsi="Times New Roman" w:cs="Times New Roman"/>
          <w:sz w:val="20"/>
          <w:szCs w:val="20"/>
        </w:rPr>
        <w:t xml:space="preserve">using primers NL-1 and NL-4 </w:t>
      </w:r>
      <w:r w:rsidR="004F3D6B">
        <w:rPr>
          <w:rFonts w:ascii="Times New Roman" w:hAnsi="Times New Roman" w:cs="Times New Roman"/>
          <w:sz w:val="20"/>
          <w:szCs w:val="20"/>
        </w:rPr>
        <w:t>[</w:t>
      </w:r>
      <w:r w:rsidR="005B3EBC">
        <w:rPr>
          <w:rFonts w:ascii="Times New Roman" w:hAnsi="Times New Roman" w:cs="Times New Roman"/>
          <w:sz w:val="20"/>
          <w:szCs w:val="20"/>
        </w:rPr>
        <w:t>2</w:t>
      </w:r>
      <w:r w:rsidR="004F3D6B">
        <w:rPr>
          <w:rFonts w:ascii="Times New Roman" w:hAnsi="Times New Roman" w:cs="Times New Roman"/>
          <w:sz w:val="20"/>
          <w:szCs w:val="20"/>
        </w:rPr>
        <w:t>]</w:t>
      </w:r>
      <w:r w:rsidR="004F3D6B" w:rsidRPr="004F3D6B">
        <w:rPr>
          <w:rFonts w:ascii="Times New Roman" w:hAnsi="Times New Roman" w:cs="Times New Roman"/>
          <w:sz w:val="20"/>
          <w:szCs w:val="20"/>
        </w:rPr>
        <w:t>. Reaction mixtures</w:t>
      </w:r>
      <w:r w:rsidR="004F3D6B">
        <w:rPr>
          <w:rFonts w:ascii="Times New Roman" w:hAnsi="Times New Roman" w:cs="Times New Roman"/>
          <w:sz w:val="20"/>
          <w:szCs w:val="20"/>
        </w:rPr>
        <w:t xml:space="preserve"> </w:t>
      </w:r>
      <w:r w:rsidR="004F3D6B" w:rsidRPr="004F3D6B">
        <w:rPr>
          <w:rFonts w:ascii="Times New Roman" w:hAnsi="Times New Roman" w:cs="Times New Roman"/>
          <w:sz w:val="20"/>
          <w:szCs w:val="20"/>
        </w:rPr>
        <w:t xml:space="preserve">and PCR conditions were as described in </w:t>
      </w:r>
      <w:r w:rsidR="004F3D6B">
        <w:rPr>
          <w:rFonts w:ascii="Times New Roman" w:hAnsi="Times New Roman" w:cs="Times New Roman"/>
          <w:sz w:val="20"/>
          <w:szCs w:val="20"/>
        </w:rPr>
        <w:t>previous publications [</w:t>
      </w:r>
      <w:r w:rsidR="005B3EBC">
        <w:rPr>
          <w:rFonts w:ascii="Times New Roman" w:hAnsi="Times New Roman" w:cs="Times New Roman"/>
          <w:sz w:val="20"/>
          <w:szCs w:val="20"/>
        </w:rPr>
        <w:t>3,4</w:t>
      </w:r>
      <w:r w:rsidR="004F3D6B">
        <w:rPr>
          <w:rFonts w:ascii="Times New Roman" w:hAnsi="Times New Roman" w:cs="Times New Roman"/>
          <w:sz w:val="20"/>
          <w:szCs w:val="20"/>
        </w:rPr>
        <w:t>]</w:t>
      </w:r>
      <w:r w:rsidR="004F3D6B" w:rsidRPr="004F3D6B">
        <w:rPr>
          <w:rFonts w:ascii="Times New Roman" w:hAnsi="Times New Roman" w:cs="Times New Roman"/>
          <w:sz w:val="20"/>
          <w:szCs w:val="20"/>
        </w:rPr>
        <w:t>.</w:t>
      </w:r>
      <w:r w:rsidR="004F3D6B">
        <w:rPr>
          <w:rFonts w:ascii="Times New Roman" w:hAnsi="Times New Roman" w:cs="Times New Roman"/>
          <w:sz w:val="20"/>
          <w:szCs w:val="20"/>
        </w:rPr>
        <w:t xml:space="preserve"> </w:t>
      </w:r>
      <w:r w:rsidRPr="00901079">
        <w:rPr>
          <w:rFonts w:ascii="Times New Roman" w:hAnsi="Times New Roman" w:cs="Times New Roman"/>
          <w:sz w:val="20"/>
          <w:szCs w:val="20"/>
        </w:rPr>
        <w:t>PCR products were cleaned up</w:t>
      </w:r>
      <w:r w:rsidR="00CE072E">
        <w:rPr>
          <w:rFonts w:ascii="Times New Roman" w:hAnsi="Times New Roman" w:cs="Times New Roman"/>
          <w:sz w:val="20"/>
          <w:szCs w:val="20"/>
        </w:rPr>
        <w:t xml:space="preserve"> using </w:t>
      </w:r>
      <w:r w:rsidR="00CE072E">
        <w:rPr>
          <w:rFonts w:ascii="Times New Roman" w:hAnsi="Times New Roman" w:cs="Times New Roman"/>
          <w:sz w:val="20"/>
          <w:szCs w:val="20"/>
        </w:rPr>
        <w:t>the</w:t>
      </w:r>
      <w:r w:rsidRPr="00901079">
        <w:rPr>
          <w:rFonts w:ascii="Times New Roman" w:hAnsi="Times New Roman" w:cs="Times New Roman"/>
          <w:sz w:val="20"/>
          <w:szCs w:val="20"/>
        </w:rPr>
        <w:t xml:space="preserve"> </w:t>
      </w:r>
      <w:r w:rsidR="001E536E">
        <w:rPr>
          <w:rFonts w:ascii="Times New Roman" w:hAnsi="Times New Roman" w:cs="Times New Roman"/>
          <w:sz w:val="20"/>
          <w:szCs w:val="20"/>
        </w:rPr>
        <w:t>GenElute</w:t>
      </w:r>
      <w:r w:rsidR="000D5B75">
        <w:rPr>
          <w:rFonts w:ascii="Times New Roman" w:hAnsi="Times New Roman" w:cs="Times New Roman"/>
          <w:sz w:val="20"/>
          <w:szCs w:val="20"/>
        </w:rPr>
        <w:t xml:space="preserve"> </w:t>
      </w:r>
      <w:r w:rsidRPr="007478EF">
        <w:rPr>
          <w:rFonts w:ascii="Times New Roman" w:hAnsi="Times New Roman" w:cs="Times New Roman"/>
          <w:sz w:val="20"/>
          <w:szCs w:val="20"/>
        </w:rPr>
        <w:t xml:space="preserve">PCR </w:t>
      </w:r>
      <w:r w:rsidR="001E536E">
        <w:rPr>
          <w:rFonts w:ascii="Times New Roman" w:hAnsi="Times New Roman" w:cs="Times New Roman"/>
          <w:sz w:val="20"/>
          <w:szCs w:val="20"/>
        </w:rPr>
        <w:t>Clean-Up</w:t>
      </w:r>
      <w:r w:rsidR="001E536E" w:rsidRPr="007478EF">
        <w:rPr>
          <w:rFonts w:ascii="Times New Roman" w:hAnsi="Times New Roman" w:cs="Times New Roman"/>
          <w:sz w:val="20"/>
          <w:szCs w:val="20"/>
        </w:rPr>
        <w:t xml:space="preserve"> </w:t>
      </w:r>
      <w:r w:rsidRPr="007478EF">
        <w:rPr>
          <w:rFonts w:ascii="Times New Roman" w:hAnsi="Times New Roman" w:cs="Times New Roman"/>
          <w:sz w:val="20"/>
          <w:szCs w:val="20"/>
        </w:rPr>
        <w:t>Kit</w:t>
      </w:r>
      <w:r w:rsidR="001E536E">
        <w:rPr>
          <w:rFonts w:ascii="Times New Roman" w:hAnsi="Times New Roman" w:cs="Times New Roman"/>
          <w:sz w:val="20"/>
          <w:szCs w:val="20"/>
        </w:rPr>
        <w:t xml:space="preserve"> (Sigma-Aldrich)</w:t>
      </w:r>
      <w:r w:rsidRPr="007478EF">
        <w:rPr>
          <w:rFonts w:ascii="Times New Roman" w:hAnsi="Times New Roman" w:cs="Times New Roman"/>
          <w:sz w:val="20"/>
          <w:szCs w:val="20"/>
        </w:rPr>
        <w:t xml:space="preserve"> </w:t>
      </w:r>
      <w:r w:rsidRPr="00901079">
        <w:rPr>
          <w:rFonts w:ascii="Times New Roman" w:hAnsi="Times New Roman" w:cs="Times New Roman"/>
          <w:sz w:val="20"/>
          <w:szCs w:val="20"/>
        </w:rPr>
        <w:t xml:space="preserve">and sent to Macrogen </w:t>
      </w:r>
      <w:r w:rsidR="0024300A">
        <w:rPr>
          <w:rFonts w:ascii="Times New Roman" w:hAnsi="Times New Roman" w:cs="Times New Roman"/>
          <w:sz w:val="20"/>
          <w:szCs w:val="20"/>
        </w:rPr>
        <w:t xml:space="preserve">Spain </w:t>
      </w:r>
      <w:r w:rsidRPr="00901079">
        <w:rPr>
          <w:rFonts w:ascii="Times New Roman" w:hAnsi="Times New Roman" w:cs="Times New Roman"/>
          <w:sz w:val="20"/>
          <w:szCs w:val="20"/>
        </w:rPr>
        <w:t>(</w:t>
      </w:r>
      <w:r w:rsidR="0024300A">
        <w:rPr>
          <w:rFonts w:ascii="Times New Roman" w:hAnsi="Times New Roman" w:cs="Times New Roman"/>
          <w:sz w:val="20"/>
          <w:szCs w:val="20"/>
        </w:rPr>
        <w:t>Madrid, S</w:t>
      </w:r>
      <w:r w:rsidR="00CE072E">
        <w:rPr>
          <w:rFonts w:ascii="Times New Roman" w:hAnsi="Times New Roman" w:cs="Times New Roman"/>
          <w:sz w:val="20"/>
          <w:szCs w:val="20"/>
        </w:rPr>
        <w:t>pain</w:t>
      </w:r>
      <w:r w:rsidRPr="00901079">
        <w:rPr>
          <w:rFonts w:ascii="Times New Roman" w:hAnsi="Times New Roman" w:cs="Times New Roman"/>
          <w:sz w:val="20"/>
          <w:szCs w:val="20"/>
        </w:rPr>
        <w:t xml:space="preserve">) for </w:t>
      </w:r>
      <w:r w:rsidR="0024300A">
        <w:rPr>
          <w:rFonts w:ascii="Times New Roman" w:hAnsi="Times New Roman" w:cs="Times New Roman"/>
          <w:sz w:val="20"/>
          <w:szCs w:val="20"/>
        </w:rPr>
        <w:t xml:space="preserve">Sanger </w:t>
      </w:r>
      <w:r w:rsidRPr="00901079">
        <w:rPr>
          <w:rFonts w:ascii="Times New Roman" w:hAnsi="Times New Roman" w:cs="Times New Roman"/>
          <w:sz w:val="20"/>
          <w:szCs w:val="20"/>
        </w:rPr>
        <w:t>sequencing</w:t>
      </w:r>
      <w:r>
        <w:rPr>
          <w:rFonts w:ascii="Times New Roman" w:hAnsi="Times New Roman" w:cs="Times New Roman"/>
          <w:sz w:val="20"/>
          <w:szCs w:val="20"/>
        </w:rPr>
        <w:t xml:space="preserve"> using </w:t>
      </w:r>
      <w:r w:rsidR="004F3D6B">
        <w:rPr>
          <w:rFonts w:ascii="Times New Roman" w:hAnsi="Times New Roman" w:cs="Times New Roman"/>
          <w:sz w:val="20"/>
          <w:szCs w:val="20"/>
        </w:rPr>
        <w:t xml:space="preserve">primers </w:t>
      </w:r>
      <w:r w:rsidR="004E746B" w:rsidRPr="004E746B">
        <w:rPr>
          <w:rFonts w:ascii="Times New Roman" w:hAnsi="Times New Roman" w:cs="Times New Roman"/>
          <w:sz w:val="20"/>
          <w:szCs w:val="20"/>
        </w:rPr>
        <w:t>27F</w:t>
      </w:r>
      <w:r w:rsidR="004E746B" w:rsidRPr="004E746B">
        <w:rPr>
          <w:rFonts w:ascii="Times New Roman" w:hAnsi="Times New Roman" w:cs="Times New Roman"/>
          <w:sz w:val="20"/>
          <w:szCs w:val="20"/>
        </w:rPr>
        <w:t>, 515F, 874F, 519R, 907R</w:t>
      </w:r>
      <w:r w:rsidR="004E746B">
        <w:rPr>
          <w:rFonts w:ascii="Times New Roman" w:hAnsi="Times New Roman" w:cs="Times New Roman"/>
          <w:sz w:val="20"/>
          <w:szCs w:val="20"/>
        </w:rPr>
        <w:t>,</w:t>
      </w:r>
      <w:r w:rsidR="004E746B" w:rsidRPr="004E746B">
        <w:rPr>
          <w:rFonts w:ascii="Times New Roman" w:hAnsi="Times New Roman" w:cs="Times New Roman"/>
          <w:sz w:val="20"/>
          <w:szCs w:val="20"/>
        </w:rPr>
        <w:t xml:space="preserve"> and 1492R </w:t>
      </w:r>
      <w:r w:rsidR="004F3D6B">
        <w:rPr>
          <w:rFonts w:ascii="Times New Roman" w:hAnsi="Times New Roman" w:cs="Times New Roman"/>
          <w:sz w:val="20"/>
          <w:szCs w:val="20"/>
        </w:rPr>
        <w:t>(16S rRNA gene)</w:t>
      </w:r>
      <w:r w:rsidR="004E746B">
        <w:rPr>
          <w:rFonts w:ascii="Times New Roman" w:hAnsi="Times New Roman" w:cs="Times New Roman"/>
          <w:sz w:val="20"/>
          <w:szCs w:val="20"/>
        </w:rPr>
        <w:t xml:space="preserve"> [</w:t>
      </w:r>
      <w:r w:rsidR="005B3EBC">
        <w:rPr>
          <w:rFonts w:ascii="Times New Roman" w:hAnsi="Times New Roman" w:cs="Times New Roman"/>
          <w:sz w:val="20"/>
          <w:szCs w:val="20"/>
        </w:rPr>
        <w:t>5,6</w:t>
      </w:r>
      <w:r w:rsidR="004E746B">
        <w:rPr>
          <w:rFonts w:ascii="Times New Roman" w:hAnsi="Times New Roman" w:cs="Times New Roman"/>
          <w:sz w:val="20"/>
          <w:szCs w:val="20"/>
        </w:rPr>
        <w:t>],</w:t>
      </w:r>
      <w:r w:rsidR="004F3D6B">
        <w:rPr>
          <w:rFonts w:ascii="Times New Roman" w:hAnsi="Times New Roman" w:cs="Times New Roman"/>
          <w:sz w:val="20"/>
          <w:szCs w:val="20"/>
        </w:rPr>
        <w:t xml:space="preserve"> or </w:t>
      </w:r>
      <w:r w:rsidR="0024300A" w:rsidRPr="004F3D6B">
        <w:rPr>
          <w:rFonts w:ascii="Times New Roman" w:hAnsi="Times New Roman" w:cs="Times New Roman"/>
          <w:sz w:val="20"/>
          <w:szCs w:val="20"/>
        </w:rPr>
        <w:t>NL-1 and NL-4</w:t>
      </w:r>
      <w:r w:rsidR="0024300A">
        <w:rPr>
          <w:rFonts w:ascii="Times New Roman" w:hAnsi="Times New Roman" w:cs="Times New Roman"/>
          <w:sz w:val="20"/>
          <w:szCs w:val="20"/>
        </w:rPr>
        <w:t xml:space="preserve"> </w:t>
      </w:r>
      <w:r w:rsidR="004F3D6B">
        <w:rPr>
          <w:rFonts w:ascii="Times New Roman" w:hAnsi="Times New Roman" w:cs="Times New Roman"/>
          <w:sz w:val="20"/>
          <w:szCs w:val="20"/>
        </w:rPr>
        <w:t>(</w:t>
      </w:r>
      <w:r w:rsidR="0024300A" w:rsidRPr="004F3D6B">
        <w:rPr>
          <w:rFonts w:ascii="Times New Roman" w:hAnsi="Times New Roman" w:cs="Times New Roman"/>
          <w:sz w:val="20"/>
          <w:szCs w:val="20"/>
        </w:rPr>
        <w:t>26S rRNA gene</w:t>
      </w:r>
      <w:r w:rsidR="004F3D6B">
        <w:rPr>
          <w:rFonts w:ascii="Times New Roman" w:hAnsi="Times New Roman" w:cs="Times New Roman"/>
          <w:sz w:val="20"/>
          <w:szCs w:val="20"/>
        </w:rPr>
        <w:t>)</w:t>
      </w:r>
      <w:r w:rsidR="004E746B">
        <w:rPr>
          <w:rFonts w:ascii="Times New Roman" w:hAnsi="Times New Roman" w:cs="Times New Roman"/>
          <w:sz w:val="20"/>
          <w:szCs w:val="20"/>
        </w:rPr>
        <w:t xml:space="preserve"> (Sigma-Aldrich)</w:t>
      </w:r>
      <w:r w:rsidRPr="007063DF">
        <w:rPr>
          <w:rFonts w:ascii="Times New Roman" w:hAnsi="Times New Roman" w:cs="Times New Roman"/>
          <w:sz w:val="20"/>
          <w:szCs w:val="20"/>
        </w:rPr>
        <w:t xml:space="preserve">. </w:t>
      </w:r>
      <w:r w:rsidR="0024300A" w:rsidRPr="0024300A">
        <w:rPr>
          <w:rFonts w:ascii="Times New Roman" w:hAnsi="Times New Roman" w:cs="Times New Roman"/>
          <w:sz w:val="20"/>
          <w:szCs w:val="20"/>
        </w:rPr>
        <w:t>Sequence chromatograms were inspected and assembled using ChromasPro v. 2.1.10 (Technelysium Pty Ltd, South Brisbane, Australia) and the resulting DNA sequences were compared with other sequences deposited in the GenBank database (Bethesda, MD, USA) using BLASTn (</w:t>
      </w:r>
      <w:hyperlink r:id="rId8" w:history="1">
        <w:r w:rsidR="0024300A" w:rsidRPr="00450B8F">
          <w:rPr>
            <w:rStyle w:val="Hipervnculo"/>
            <w:rFonts w:ascii="Times New Roman" w:hAnsi="Times New Roman" w:cs="Times New Roman"/>
            <w:sz w:val="20"/>
            <w:szCs w:val="20"/>
          </w:rPr>
          <w:t>http://blast.ncbi.nlm.nih.gov/Blast.cgi</w:t>
        </w:r>
      </w:hyperlink>
      <w:r w:rsidR="0024300A" w:rsidRPr="0024300A">
        <w:rPr>
          <w:rFonts w:ascii="Times New Roman" w:hAnsi="Times New Roman" w:cs="Times New Roman"/>
          <w:sz w:val="20"/>
          <w:szCs w:val="20"/>
        </w:rPr>
        <w:t>).</w:t>
      </w:r>
      <w:r w:rsidR="0024300A">
        <w:rPr>
          <w:rFonts w:ascii="Times New Roman" w:hAnsi="Times New Roman" w:cs="Times New Roman"/>
          <w:sz w:val="20"/>
          <w:szCs w:val="20"/>
        </w:rPr>
        <w:t xml:space="preserve"> </w:t>
      </w:r>
      <w:r w:rsidRPr="00901079">
        <w:rPr>
          <w:rFonts w:ascii="Times New Roman" w:hAnsi="Times New Roman" w:cs="Times New Roman"/>
          <w:sz w:val="20"/>
          <w:szCs w:val="20"/>
        </w:rPr>
        <w:t xml:space="preserve">The nucleotide sequences determined in this </w:t>
      </w:r>
      <w:r w:rsidR="0024300A">
        <w:rPr>
          <w:rFonts w:ascii="Times New Roman" w:hAnsi="Times New Roman" w:cs="Times New Roman"/>
          <w:sz w:val="20"/>
          <w:szCs w:val="20"/>
        </w:rPr>
        <w:t>study</w:t>
      </w:r>
      <w:r w:rsidRPr="00901079">
        <w:rPr>
          <w:rFonts w:ascii="Times New Roman" w:hAnsi="Times New Roman" w:cs="Times New Roman"/>
          <w:sz w:val="20"/>
          <w:szCs w:val="20"/>
        </w:rPr>
        <w:t xml:space="preserve"> have been deposited in the </w:t>
      </w:r>
      <w:r w:rsidRPr="00965B5E">
        <w:rPr>
          <w:rFonts w:ascii="Times New Roman" w:hAnsi="Times New Roman" w:cs="Times New Roman"/>
          <w:sz w:val="20"/>
          <w:szCs w:val="20"/>
        </w:rPr>
        <w:t>GenBank/ENA/DDBJ database</w:t>
      </w:r>
      <w:r>
        <w:rPr>
          <w:rFonts w:ascii="Times New Roman" w:hAnsi="Times New Roman" w:cs="Times New Roman"/>
          <w:sz w:val="20"/>
          <w:szCs w:val="20"/>
        </w:rPr>
        <w:t>s</w:t>
      </w:r>
      <w:r w:rsidRPr="00901079">
        <w:rPr>
          <w:rFonts w:ascii="Times New Roman" w:hAnsi="Times New Roman" w:cs="Times New Roman"/>
          <w:sz w:val="20"/>
          <w:szCs w:val="20"/>
        </w:rPr>
        <w:t xml:space="preserve"> </w:t>
      </w:r>
      <w:r w:rsidRPr="00E30488">
        <w:rPr>
          <w:rFonts w:ascii="Times New Roman" w:hAnsi="Times New Roman" w:cs="Times New Roman"/>
          <w:sz w:val="20"/>
          <w:szCs w:val="20"/>
        </w:rPr>
        <w:t>(</w:t>
      </w:r>
      <w:r>
        <w:rPr>
          <w:rFonts w:ascii="Times New Roman" w:hAnsi="Times New Roman" w:cs="Times New Roman"/>
          <w:sz w:val="20"/>
          <w:szCs w:val="20"/>
        </w:rPr>
        <w:t xml:space="preserve">see accession numbers in </w:t>
      </w:r>
      <w:r w:rsidRPr="00E30488">
        <w:rPr>
          <w:rFonts w:ascii="Times New Roman" w:hAnsi="Times New Roman" w:cs="Times New Roman"/>
          <w:sz w:val="20"/>
          <w:szCs w:val="20"/>
        </w:rPr>
        <w:t xml:space="preserve">Table </w:t>
      </w:r>
      <w:r w:rsidRPr="00901079">
        <w:rPr>
          <w:rFonts w:ascii="Times New Roman" w:hAnsi="Times New Roman" w:cs="Times New Roman"/>
          <w:sz w:val="20"/>
          <w:szCs w:val="20"/>
        </w:rPr>
        <w:t>1).</w:t>
      </w:r>
    </w:p>
    <w:p w14:paraId="1FA445CE" w14:textId="354637D4" w:rsidR="001D7F90" w:rsidRDefault="001D7F90" w:rsidP="00A14851">
      <w:pPr>
        <w:spacing w:after="0" w:line="360" w:lineRule="auto"/>
        <w:jc w:val="both"/>
        <w:rPr>
          <w:rFonts w:ascii="Times New Roman" w:hAnsi="Times New Roman" w:cs="Times New Roman"/>
          <w:sz w:val="20"/>
          <w:szCs w:val="20"/>
        </w:rPr>
      </w:pPr>
    </w:p>
    <w:p w14:paraId="0B3F08D7" w14:textId="7E945511" w:rsidR="001D7F90" w:rsidRPr="001D7F90" w:rsidRDefault="001D7F90" w:rsidP="00A14851">
      <w:pPr>
        <w:spacing w:after="0" w:line="360" w:lineRule="auto"/>
        <w:jc w:val="both"/>
        <w:rPr>
          <w:rFonts w:ascii="Times New Roman" w:hAnsi="Times New Roman" w:cs="Times New Roman"/>
          <w:b/>
          <w:bCs/>
          <w:sz w:val="20"/>
          <w:szCs w:val="20"/>
        </w:rPr>
      </w:pPr>
      <w:r w:rsidRPr="001D7F90">
        <w:rPr>
          <w:rFonts w:ascii="Times New Roman" w:hAnsi="Times New Roman" w:cs="Times New Roman"/>
          <w:b/>
          <w:bCs/>
          <w:sz w:val="20"/>
          <w:szCs w:val="20"/>
        </w:rPr>
        <w:t>REFERENCES</w:t>
      </w:r>
    </w:p>
    <w:p w14:paraId="70A75461" w14:textId="7A935DD8" w:rsidR="00F06810" w:rsidRPr="00F06810" w:rsidRDefault="00F06810" w:rsidP="00F06810">
      <w:pPr>
        <w:pStyle w:val="Prrafodelista"/>
        <w:numPr>
          <w:ilvl w:val="0"/>
          <w:numId w:val="1"/>
        </w:numPr>
        <w:spacing w:before="60" w:after="0" w:line="360" w:lineRule="auto"/>
        <w:ind w:left="357" w:hanging="357"/>
        <w:contextualSpacing w:val="0"/>
        <w:jc w:val="both"/>
        <w:rPr>
          <w:rFonts w:ascii="Times New Roman" w:hAnsi="Times New Roman" w:cs="Times New Roman"/>
          <w:sz w:val="20"/>
          <w:szCs w:val="20"/>
        </w:rPr>
      </w:pPr>
      <w:r w:rsidRPr="00F06810">
        <w:rPr>
          <w:rFonts w:ascii="Times New Roman" w:hAnsi="Times New Roman" w:cs="Times New Roman"/>
          <w:sz w:val="20"/>
          <w:szCs w:val="20"/>
        </w:rPr>
        <w:t>Lane DJ (1991) 16S/23S rRNA sequencing. In: Stackebrandt E, Goodfellow M (eds) Nucleic acid techniques in bacterial systematics. John Wiley and Sons, New York, pp 115</w:t>
      </w:r>
      <w:r>
        <w:rPr>
          <w:rFonts w:ascii="Times New Roman" w:hAnsi="Times New Roman" w:cs="Times New Roman"/>
          <w:sz w:val="20"/>
          <w:szCs w:val="20"/>
        </w:rPr>
        <w:t>-</w:t>
      </w:r>
      <w:r w:rsidRPr="00F06810">
        <w:rPr>
          <w:rFonts w:ascii="Times New Roman" w:hAnsi="Times New Roman" w:cs="Times New Roman"/>
          <w:sz w:val="20"/>
          <w:szCs w:val="20"/>
        </w:rPr>
        <w:t>175</w:t>
      </w:r>
      <w:r>
        <w:rPr>
          <w:rFonts w:ascii="Times New Roman" w:hAnsi="Times New Roman" w:cs="Times New Roman"/>
          <w:sz w:val="20"/>
          <w:szCs w:val="20"/>
        </w:rPr>
        <w:t>.</w:t>
      </w:r>
    </w:p>
    <w:p w14:paraId="33D0AEAD" w14:textId="39BBBB6C" w:rsidR="00F06810" w:rsidRPr="00F06810" w:rsidRDefault="00F06810" w:rsidP="00F06810">
      <w:pPr>
        <w:pStyle w:val="Prrafodelista"/>
        <w:numPr>
          <w:ilvl w:val="0"/>
          <w:numId w:val="1"/>
        </w:numPr>
        <w:spacing w:before="60" w:after="0" w:line="360" w:lineRule="auto"/>
        <w:ind w:left="357" w:hanging="357"/>
        <w:contextualSpacing w:val="0"/>
        <w:jc w:val="both"/>
        <w:rPr>
          <w:rFonts w:ascii="Times New Roman" w:hAnsi="Times New Roman" w:cs="Times New Roman"/>
          <w:sz w:val="20"/>
          <w:szCs w:val="20"/>
        </w:rPr>
      </w:pPr>
      <w:r w:rsidRPr="00F06810">
        <w:rPr>
          <w:rFonts w:ascii="Times New Roman" w:hAnsi="Times New Roman" w:cs="Times New Roman"/>
          <w:sz w:val="20"/>
          <w:szCs w:val="20"/>
        </w:rPr>
        <w:t>Kurtzman CP, Robnett CJ (1998) Identification and phylogeny of ascomycetous yeasts from analysis of nuclear large subunit (26S) ribosomal DNA partial sequences. Antonie Van Leeuwenhoek 73(4):331-371. doi: 10.1023/a:1001761008817.</w:t>
      </w:r>
    </w:p>
    <w:p w14:paraId="4A8B2223" w14:textId="7F3CDD75" w:rsidR="00F06810" w:rsidRPr="00F06810" w:rsidRDefault="00F06810" w:rsidP="00F06810">
      <w:pPr>
        <w:pStyle w:val="Prrafodelista"/>
        <w:numPr>
          <w:ilvl w:val="0"/>
          <w:numId w:val="1"/>
        </w:numPr>
        <w:spacing w:before="60" w:after="0" w:line="360" w:lineRule="auto"/>
        <w:ind w:left="357" w:hanging="357"/>
        <w:contextualSpacing w:val="0"/>
        <w:jc w:val="both"/>
        <w:rPr>
          <w:rFonts w:ascii="Times New Roman" w:hAnsi="Times New Roman" w:cs="Times New Roman"/>
          <w:sz w:val="20"/>
          <w:szCs w:val="20"/>
        </w:rPr>
      </w:pPr>
      <w:r w:rsidRPr="00F06810">
        <w:rPr>
          <w:rFonts w:ascii="Times New Roman" w:hAnsi="Times New Roman" w:cs="Times New Roman"/>
          <w:sz w:val="20"/>
          <w:szCs w:val="20"/>
        </w:rPr>
        <w:t>Álvarez-Pérez S, Herrera CM, de Vega C (2012) Zooming-in on floral nectar: a first exploration of nectar-associated bacteria in wild plant communities. FEMS Microbiol Ecol 80(3):591-602. doi: 10.1111/j.1574-6941.2012.01329.x.</w:t>
      </w:r>
    </w:p>
    <w:p w14:paraId="11583D1C" w14:textId="77777777" w:rsidR="00F06810" w:rsidRDefault="00F06810" w:rsidP="00F06810">
      <w:pPr>
        <w:pStyle w:val="Prrafodelista"/>
        <w:numPr>
          <w:ilvl w:val="0"/>
          <w:numId w:val="1"/>
        </w:numPr>
        <w:spacing w:before="60" w:after="0" w:line="360" w:lineRule="auto"/>
        <w:ind w:left="357" w:hanging="357"/>
        <w:contextualSpacing w:val="0"/>
        <w:jc w:val="both"/>
        <w:rPr>
          <w:rFonts w:ascii="Times New Roman" w:hAnsi="Times New Roman" w:cs="Times New Roman"/>
          <w:sz w:val="20"/>
          <w:szCs w:val="20"/>
        </w:rPr>
      </w:pPr>
      <w:r w:rsidRPr="00F06810">
        <w:rPr>
          <w:rFonts w:ascii="Times New Roman" w:hAnsi="Times New Roman" w:cs="Times New Roman"/>
          <w:sz w:val="20"/>
          <w:szCs w:val="20"/>
        </w:rPr>
        <w:lastRenderedPageBreak/>
        <w:t>Álvarez-Pérez S, Herrera CM (2013) Composition, richness and nonrandom assembly of culturable bacterial-microfungal communities in floral nectar of Mediterranean plants. FEMS Microbiol Ecol 83(3):685-99. doi: 10.1111/1574-6941.12027.</w:t>
      </w:r>
    </w:p>
    <w:p w14:paraId="5290FE37" w14:textId="3D275DC0" w:rsidR="00F06810" w:rsidRPr="00F06810" w:rsidRDefault="00F06810" w:rsidP="00F06810">
      <w:pPr>
        <w:pStyle w:val="Prrafodelista"/>
        <w:numPr>
          <w:ilvl w:val="0"/>
          <w:numId w:val="1"/>
        </w:numPr>
        <w:spacing w:before="60" w:after="0" w:line="360" w:lineRule="auto"/>
        <w:ind w:left="357" w:hanging="357"/>
        <w:contextualSpacing w:val="0"/>
        <w:jc w:val="both"/>
        <w:rPr>
          <w:rFonts w:ascii="Times New Roman" w:hAnsi="Times New Roman" w:cs="Times New Roman"/>
          <w:sz w:val="20"/>
          <w:szCs w:val="20"/>
        </w:rPr>
      </w:pPr>
      <w:r w:rsidRPr="00F06810">
        <w:rPr>
          <w:rFonts w:ascii="Times New Roman" w:hAnsi="Times New Roman" w:cs="Times New Roman"/>
          <w:sz w:val="20"/>
          <w:szCs w:val="20"/>
        </w:rPr>
        <w:t>Reysenbach AL, Longnecker K, Kirshtein J (2000) Novel bacterial and archaeal lineages from an in situ growth chamber deployed at a Mid-Atlantic Ridge hydrothermal vent. Appl Environ Microbiol 66(9):3798-806. doi: 10.1128/AEM.66.9.3798-3806.2000.</w:t>
      </w:r>
    </w:p>
    <w:p w14:paraId="696DBDE4" w14:textId="1F757008" w:rsidR="001D7F90" w:rsidRPr="001D7F90" w:rsidRDefault="00F06810" w:rsidP="00F06810">
      <w:pPr>
        <w:pStyle w:val="Prrafodelista"/>
        <w:numPr>
          <w:ilvl w:val="0"/>
          <w:numId w:val="1"/>
        </w:numPr>
        <w:spacing w:before="60" w:after="0" w:line="360" w:lineRule="auto"/>
        <w:ind w:left="357" w:hanging="357"/>
        <w:contextualSpacing w:val="0"/>
        <w:jc w:val="both"/>
        <w:rPr>
          <w:rFonts w:ascii="Times New Roman" w:hAnsi="Times New Roman" w:cs="Times New Roman"/>
          <w:sz w:val="20"/>
          <w:szCs w:val="20"/>
        </w:rPr>
      </w:pPr>
      <w:r w:rsidRPr="00F06810">
        <w:rPr>
          <w:rFonts w:ascii="Times New Roman" w:hAnsi="Times New Roman" w:cs="Times New Roman"/>
          <w:sz w:val="20"/>
          <w:szCs w:val="20"/>
        </w:rPr>
        <w:t xml:space="preserve">Chanbusarakum L, Ullman D (2008) Characterization of bacterial symbionts in </w:t>
      </w:r>
      <w:r w:rsidRPr="00F06810">
        <w:rPr>
          <w:rFonts w:ascii="Times New Roman" w:hAnsi="Times New Roman" w:cs="Times New Roman"/>
          <w:i/>
          <w:iCs/>
          <w:sz w:val="20"/>
          <w:szCs w:val="20"/>
        </w:rPr>
        <w:t>Frankliniella occidentalis</w:t>
      </w:r>
      <w:r w:rsidRPr="00F06810">
        <w:rPr>
          <w:rFonts w:ascii="Times New Roman" w:hAnsi="Times New Roman" w:cs="Times New Roman"/>
          <w:sz w:val="20"/>
          <w:szCs w:val="20"/>
        </w:rPr>
        <w:t xml:space="preserve"> (Pergande), Western flower thrips. J Invertebr Pathol 99(3):318-25. doi: 10.1016/j.jip.2008.09.001.</w:t>
      </w:r>
    </w:p>
    <w:sectPr w:rsidR="001D7F90" w:rsidRPr="001D7F9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3C2E8" w14:textId="77777777" w:rsidR="005B0DA9" w:rsidRDefault="005B0DA9" w:rsidP="001D7F90">
      <w:pPr>
        <w:spacing w:after="0" w:line="240" w:lineRule="auto"/>
      </w:pPr>
      <w:r>
        <w:separator/>
      </w:r>
    </w:p>
  </w:endnote>
  <w:endnote w:type="continuationSeparator" w:id="0">
    <w:p w14:paraId="241A5326" w14:textId="77777777" w:rsidR="005B0DA9" w:rsidRDefault="005B0DA9" w:rsidP="001D7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2708085"/>
      <w:docPartObj>
        <w:docPartGallery w:val="Page Numbers (Bottom of Page)"/>
        <w:docPartUnique/>
      </w:docPartObj>
    </w:sdtPr>
    <w:sdtEndPr>
      <w:rPr>
        <w:rFonts w:ascii="Times New Roman" w:hAnsi="Times New Roman" w:cs="Times New Roman"/>
        <w:noProof/>
        <w:sz w:val="20"/>
        <w:szCs w:val="20"/>
      </w:rPr>
    </w:sdtEndPr>
    <w:sdtContent>
      <w:p w14:paraId="07C2414C" w14:textId="096732F4" w:rsidR="001D7F90" w:rsidRPr="001D7F90" w:rsidRDefault="001D7F90">
        <w:pPr>
          <w:pStyle w:val="Piedepgina"/>
          <w:jc w:val="center"/>
          <w:rPr>
            <w:rFonts w:ascii="Times New Roman" w:hAnsi="Times New Roman" w:cs="Times New Roman"/>
            <w:sz w:val="20"/>
            <w:szCs w:val="20"/>
          </w:rPr>
        </w:pPr>
        <w:r w:rsidRPr="001D7F90">
          <w:rPr>
            <w:rFonts w:ascii="Times New Roman" w:hAnsi="Times New Roman" w:cs="Times New Roman"/>
            <w:sz w:val="20"/>
            <w:szCs w:val="20"/>
          </w:rPr>
          <w:fldChar w:fldCharType="begin"/>
        </w:r>
        <w:r w:rsidRPr="001D7F90">
          <w:rPr>
            <w:rFonts w:ascii="Times New Roman" w:hAnsi="Times New Roman" w:cs="Times New Roman"/>
            <w:sz w:val="20"/>
            <w:szCs w:val="20"/>
          </w:rPr>
          <w:instrText xml:space="preserve"> PAGE   \* MERGEFORMAT </w:instrText>
        </w:r>
        <w:r w:rsidRPr="001D7F90">
          <w:rPr>
            <w:rFonts w:ascii="Times New Roman" w:hAnsi="Times New Roman" w:cs="Times New Roman"/>
            <w:sz w:val="20"/>
            <w:szCs w:val="20"/>
          </w:rPr>
          <w:fldChar w:fldCharType="separate"/>
        </w:r>
        <w:r w:rsidRPr="001D7F90">
          <w:rPr>
            <w:rFonts w:ascii="Times New Roman" w:hAnsi="Times New Roman" w:cs="Times New Roman"/>
            <w:noProof/>
            <w:sz w:val="20"/>
            <w:szCs w:val="20"/>
          </w:rPr>
          <w:t>2</w:t>
        </w:r>
        <w:r w:rsidRPr="001D7F90">
          <w:rPr>
            <w:rFonts w:ascii="Times New Roman" w:hAnsi="Times New Roman" w:cs="Times New Roman"/>
            <w:noProof/>
            <w:sz w:val="20"/>
            <w:szCs w:val="20"/>
          </w:rPr>
          <w:fldChar w:fldCharType="end"/>
        </w:r>
      </w:p>
    </w:sdtContent>
  </w:sdt>
  <w:p w14:paraId="7184A43E" w14:textId="77777777" w:rsidR="001D7F90" w:rsidRDefault="001D7F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863EC" w14:textId="77777777" w:rsidR="005B0DA9" w:rsidRDefault="005B0DA9" w:rsidP="001D7F90">
      <w:pPr>
        <w:spacing w:after="0" w:line="240" w:lineRule="auto"/>
      </w:pPr>
      <w:r>
        <w:separator/>
      </w:r>
    </w:p>
  </w:footnote>
  <w:footnote w:type="continuationSeparator" w:id="0">
    <w:p w14:paraId="19304997" w14:textId="77777777" w:rsidR="005B0DA9" w:rsidRDefault="005B0DA9" w:rsidP="001D7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5036F"/>
    <w:multiLevelType w:val="hybridMultilevel"/>
    <w:tmpl w:val="F5FEA9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2525DFB"/>
    <w:multiLevelType w:val="hybridMultilevel"/>
    <w:tmpl w:val="475ACE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3F6EEC"/>
    <w:multiLevelType w:val="hybridMultilevel"/>
    <w:tmpl w:val="DE921E5C"/>
    <w:lvl w:ilvl="0" w:tplc="24122550">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51211028">
    <w:abstractNumId w:val="0"/>
  </w:num>
  <w:num w:numId="2" w16cid:durableId="1263609804">
    <w:abstractNumId w:val="2"/>
  </w:num>
  <w:num w:numId="3" w16cid:durableId="1431850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BB"/>
    <w:rsid w:val="00073B69"/>
    <w:rsid w:val="000D5B75"/>
    <w:rsid w:val="00172ABB"/>
    <w:rsid w:val="001D7F90"/>
    <w:rsid w:val="001E536E"/>
    <w:rsid w:val="0024300A"/>
    <w:rsid w:val="002D576F"/>
    <w:rsid w:val="00301D97"/>
    <w:rsid w:val="0039009F"/>
    <w:rsid w:val="004E746B"/>
    <w:rsid w:val="004F3D6B"/>
    <w:rsid w:val="005B0DA9"/>
    <w:rsid w:val="005B3EBC"/>
    <w:rsid w:val="005B7B50"/>
    <w:rsid w:val="00611ADF"/>
    <w:rsid w:val="00620D7D"/>
    <w:rsid w:val="0064253C"/>
    <w:rsid w:val="0087770A"/>
    <w:rsid w:val="00915435"/>
    <w:rsid w:val="00A14851"/>
    <w:rsid w:val="00A6296B"/>
    <w:rsid w:val="00A9378E"/>
    <w:rsid w:val="00BB4FB9"/>
    <w:rsid w:val="00BE6CD7"/>
    <w:rsid w:val="00CA4B72"/>
    <w:rsid w:val="00CE072E"/>
    <w:rsid w:val="00F06810"/>
    <w:rsid w:val="00FB1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0F6B"/>
  <w15:chartTrackingRefBased/>
  <w15:docId w15:val="{A2B56B56-EF09-4238-B7E8-232A14E81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ABB"/>
    <w:rPr>
      <w:rFonts w:eastAsia="MS Mincho"/>
      <w:lang w:val="en-US"/>
    </w:rPr>
  </w:style>
  <w:style w:type="paragraph" w:styleId="Ttulo1">
    <w:name w:val="heading 1"/>
    <w:basedOn w:val="Normal"/>
    <w:next w:val="Normal"/>
    <w:link w:val="Ttulo1Car"/>
    <w:uiPriority w:val="9"/>
    <w:qFormat/>
    <w:rsid w:val="00915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72ABB"/>
    <w:rPr>
      <w:color w:val="0563C1" w:themeColor="hyperlink"/>
      <w:u w:val="single"/>
    </w:rPr>
  </w:style>
  <w:style w:type="paragraph" w:styleId="Textodeglobo">
    <w:name w:val="Balloon Text"/>
    <w:basedOn w:val="Normal"/>
    <w:link w:val="TextodegloboCar"/>
    <w:uiPriority w:val="99"/>
    <w:semiHidden/>
    <w:unhideWhenUsed/>
    <w:rsid w:val="00172A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2ABB"/>
    <w:rPr>
      <w:rFonts w:ascii="Segoe UI" w:eastAsia="MS Mincho" w:hAnsi="Segoe UI" w:cs="Segoe UI"/>
      <w:sz w:val="18"/>
      <w:szCs w:val="18"/>
      <w:lang w:val="en-US"/>
    </w:rPr>
  </w:style>
  <w:style w:type="paragraph" w:styleId="Prrafodelista">
    <w:name w:val="List Paragraph"/>
    <w:basedOn w:val="Normal"/>
    <w:uiPriority w:val="34"/>
    <w:qFormat/>
    <w:rsid w:val="001D7F90"/>
    <w:pPr>
      <w:ind w:left="720"/>
      <w:contextualSpacing/>
    </w:pPr>
  </w:style>
  <w:style w:type="paragraph" w:styleId="Encabezado">
    <w:name w:val="header"/>
    <w:basedOn w:val="Normal"/>
    <w:link w:val="EncabezadoCar"/>
    <w:uiPriority w:val="99"/>
    <w:unhideWhenUsed/>
    <w:rsid w:val="001D7F9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D7F90"/>
    <w:rPr>
      <w:rFonts w:eastAsia="MS Mincho"/>
      <w:lang w:val="en-US"/>
    </w:rPr>
  </w:style>
  <w:style w:type="paragraph" w:styleId="Piedepgina">
    <w:name w:val="footer"/>
    <w:basedOn w:val="Normal"/>
    <w:link w:val="PiedepginaCar"/>
    <w:uiPriority w:val="99"/>
    <w:unhideWhenUsed/>
    <w:rsid w:val="001D7F90"/>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1D7F90"/>
    <w:rPr>
      <w:rFonts w:eastAsia="MS Mincho"/>
      <w:lang w:val="en-US"/>
    </w:rPr>
  </w:style>
  <w:style w:type="character" w:styleId="Refdecomentario">
    <w:name w:val="annotation reference"/>
    <w:basedOn w:val="Fuentedeprrafopredeter"/>
    <w:uiPriority w:val="99"/>
    <w:semiHidden/>
    <w:unhideWhenUsed/>
    <w:rsid w:val="004F3D6B"/>
    <w:rPr>
      <w:sz w:val="16"/>
      <w:szCs w:val="16"/>
    </w:rPr>
  </w:style>
  <w:style w:type="paragraph" w:styleId="Textocomentario">
    <w:name w:val="annotation text"/>
    <w:basedOn w:val="Normal"/>
    <w:link w:val="TextocomentarioCar"/>
    <w:uiPriority w:val="99"/>
    <w:unhideWhenUsed/>
    <w:rsid w:val="004F3D6B"/>
    <w:pPr>
      <w:spacing w:line="240" w:lineRule="auto"/>
    </w:pPr>
    <w:rPr>
      <w:sz w:val="20"/>
      <w:szCs w:val="20"/>
    </w:rPr>
  </w:style>
  <w:style w:type="character" w:customStyle="1" w:styleId="TextocomentarioCar">
    <w:name w:val="Texto comentario Car"/>
    <w:basedOn w:val="Fuentedeprrafopredeter"/>
    <w:link w:val="Textocomentario"/>
    <w:uiPriority w:val="99"/>
    <w:rsid w:val="004F3D6B"/>
    <w:rPr>
      <w:rFonts w:eastAsia="MS Mincho"/>
      <w:sz w:val="20"/>
      <w:szCs w:val="20"/>
      <w:lang w:val="en-US"/>
    </w:rPr>
  </w:style>
  <w:style w:type="paragraph" w:styleId="Asuntodelcomentario">
    <w:name w:val="annotation subject"/>
    <w:basedOn w:val="Textocomentario"/>
    <w:next w:val="Textocomentario"/>
    <w:link w:val="AsuntodelcomentarioCar"/>
    <w:uiPriority w:val="99"/>
    <w:semiHidden/>
    <w:unhideWhenUsed/>
    <w:rsid w:val="004F3D6B"/>
    <w:rPr>
      <w:b/>
      <w:bCs/>
    </w:rPr>
  </w:style>
  <w:style w:type="character" w:customStyle="1" w:styleId="AsuntodelcomentarioCar">
    <w:name w:val="Asunto del comentario Car"/>
    <w:basedOn w:val="TextocomentarioCar"/>
    <w:link w:val="Asuntodelcomentario"/>
    <w:uiPriority w:val="99"/>
    <w:semiHidden/>
    <w:rsid w:val="004F3D6B"/>
    <w:rPr>
      <w:rFonts w:eastAsia="MS Mincho"/>
      <w:b/>
      <w:bCs/>
      <w:sz w:val="20"/>
      <w:szCs w:val="20"/>
      <w:lang w:val="en-US"/>
    </w:rPr>
  </w:style>
  <w:style w:type="character" w:styleId="Mencinsinresolver">
    <w:name w:val="Unresolved Mention"/>
    <w:basedOn w:val="Fuentedeprrafopredeter"/>
    <w:uiPriority w:val="99"/>
    <w:semiHidden/>
    <w:unhideWhenUsed/>
    <w:rsid w:val="0024300A"/>
    <w:rPr>
      <w:color w:val="605E5C"/>
      <w:shd w:val="clear" w:color="auto" w:fill="E1DFDD"/>
    </w:rPr>
  </w:style>
  <w:style w:type="paragraph" w:styleId="Revisin">
    <w:name w:val="Revision"/>
    <w:hidden/>
    <w:uiPriority w:val="99"/>
    <w:semiHidden/>
    <w:rsid w:val="00915435"/>
    <w:pPr>
      <w:spacing w:after="0" w:line="240" w:lineRule="auto"/>
    </w:pPr>
    <w:rPr>
      <w:rFonts w:eastAsia="MS Mincho"/>
      <w:lang w:val="en-US"/>
    </w:rPr>
  </w:style>
  <w:style w:type="character" w:customStyle="1" w:styleId="Ttulo1Car">
    <w:name w:val="Título 1 Car"/>
    <w:basedOn w:val="Fuentedeprrafopredeter"/>
    <w:link w:val="Ttulo1"/>
    <w:uiPriority w:val="9"/>
    <w:rsid w:val="0091543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525423">
      <w:bodyDiv w:val="1"/>
      <w:marLeft w:val="0"/>
      <w:marRight w:val="0"/>
      <w:marTop w:val="0"/>
      <w:marBottom w:val="0"/>
      <w:divBdr>
        <w:top w:val="none" w:sz="0" w:space="0" w:color="auto"/>
        <w:left w:val="none" w:sz="0" w:space="0" w:color="auto"/>
        <w:bottom w:val="none" w:sz="0" w:space="0" w:color="auto"/>
        <w:right w:val="none" w:sz="0" w:space="0" w:color="auto"/>
      </w:divBdr>
    </w:div>
    <w:div w:id="187769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ast.ncbi.nlm.nih.gov/Blast.cg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B76B7-5B90-42B3-9932-1A169B0FB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558</Words>
  <Characters>3187</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Alvarez-Perez</dc:creator>
  <cp:keywords/>
  <dc:description/>
  <cp:lastModifiedBy>SERGIO ALVAREZ PEREZ</cp:lastModifiedBy>
  <cp:revision>15</cp:revision>
  <dcterms:created xsi:type="dcterms:W3CDTF">2020-07-22T06:41:00Z</dcterms:created>
  <dcterms:modified xsi:type="dcterms:W3CDTF">2024-11-05T22:47:00Z</dcterms:modified>
</cp:coreProperties>
</file>