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32AA9" w14:textId="1A041948" w:rsidR="00EF4B94" w:rsidRDefault="00914C56" w:rsidP="00914C56">
      <w:pPr>
        <w:rPr>
          <w:rFonts w:eastAsia="Times New Roman"/>
          <w:b/>
          <w:sz w:val="20"/>
          <w:szCs w:val="20"/>
          <w:lang w:eastAsia="en-GB"/>
        </w:rPr>
      </w:pPr>
      <w:r w:rsidRPr="00F3611A">
        <w:rPr>
          <w:rFonts w:eastAsia="Times New Roman"/>
          <w:b/>
          <w:sz w:val="20"/>
          <w:szCs w:val="20"/>
          <w:lang w:eastAsia="en-GB"/>
        </w:rPr>
        <w:t xml:space="preserve">STROBE-MR checklist of recommended items to address </w:t>
      </w:r>
      <w:r>
        <w:rPr>
          <w:rFonts w:eastAsia="Times New Roman"/>
          <w:b/>
          <w:sz w:val="20"/>
          <w:szCs w:val="20"/>
          <w:lang w:eastAsia="en-GB"/>
        </w:rPr>
        <w:t>in reports of Mendelian randomiz</w:t>
      </w:r>
      <w:r w:rsidRPr="00F3611A">
        <w:rPr>
          <w:rFonts w:eastAsia="Times New Roman"/>
          <w:b/>
          <w:sz w:val="20"/>
          <w:szCs w:val="20"/>
          <w:lang w:eastAsia="en-GB"/>
        </w:rPr>
        <w:t>ation studies</w:t>
      </w:r>
      <w:r w:rsidR="009854A9">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sidR="009854A9">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1</w:t>
      </w:r>
      <w:r w:rsidR="009854A9">
        <w:rPr>
          <w:rFonts w:eastAsia="Times New Roman"/>
          <w:b/>
          <w:sz w:val="20"/>
          <w:szCs w:val="20"/>
          <w:lang w:eastAsia="en-GB"/>
        </w:rPr>
        <w:fldChar w:fldCharType="end"/>
      </w:r>
      <w:r w:rsidR="009854A9">
        <w:rPr>
          <w:rFonts w:eastAsia="Times New Roman"/>
          <w:b/>
          <w:sz w:val="20"/>
          <w:szCs w:val="20"/>
          <w:lang w:eastAsia="en-GB"/>
        </w:rPr>
        <w:t xml:space="preserve"> </w:t>
      </w:r>
      <w:r w:rsidR="00804498">
        <w:rPr>
          <w:rFonts w:eastAsia="Times New Roman"/>
          <w:b/>
          <w:sz w:val="20"/>
          <w:szCs w:val="20"/>
          <w:lang w:eastAsia="en-GB"/>
        </w:rPr>
        <w:fldChar w:fldCharType="begin" w:fldLock="1"/>
      </w:r>
      <w:r w:rsidR="009854A9">
        <w:rPr>
          <w:rFonts w:eastAsia="Times New Roman"/>
          <w:b/>
          <w:sz w:val="20"/>
          <w:szCs w:val="20"/>
          <w:lang w:eastAsia="en-GB"/>
        </w:rPr>
        <w:instrText>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sidR="00804498">
        <w:rPr>
          <w:rFonts w:eastAsia="Times New Roman"/>
          <w:b/>
          <w:sz w:val="20"/>
          <w:szCs w:val="20"/>
          <w:lang w:eastAsia="en-GB"/>
        </w:rPr>
        <w:fldChar w:fldCharType="separate"/>
      </w:r>
      <w:r w:rsidR="009854A9" w:rsidRPr="009854A9">
        <w:rPr>
          <w:rFonts w:eastAsia="Times New Roman"/>
          <w:noProof/>
          <w:sz w:val="20"/>
          <w:szCs w:val="20"/>
          <w:vertAlign w:val="superscript"/>
          <w:lang w:eastAsia="en-GB"/>
        </w:rPr>
        <w:t>2</w:t>
      </w:r>
      <w:r w:rsidR="00804498">
        <w:rPr>
          <w:rFonts w:eastAsia="Times New Roman"/>
          <w:b/>
          <w:sz w:val="20"/>
          <w:szCs w:val="20"/>
          <w:lang w:eastAsia="en-GB"/>
        </w:rPr>
        <w:fldChar w:fldCharType="end"/>
      </w:r>
      <w:r w:rsidRPr="00F3611A">
        <w:rPr>
          <w:rFonts w:eastAsia="Times New Roman"/>
          <w:b/>
          <w:sz w:val="20"/>
          <w:szCs w:val="20"/>
          <w:lang w:eastAsia="en-GB"/>
        </w:rPr>
        <w:t> </w:t>
      </w:r>
    </w:p>
    <w:p w14:paraId="3EE539AD" w14:textId="77777777" w:rsidR="005520ED" w:rsidRPr="005520ED" w:rsidRDefault="005520ED" w:rsidP="00914C56">
      <w:pPr>
        <w:rPr>
          <w:rFonts w:eastAsia="Times New Roman"/>
          <w:b/>
          <w:sz w:val="20"/>
          <w:szCs w:val="20"/>
          <w:lang w:eastAsia="en-GB"/>
        </w:rPr>
      </w:pPr>
    </w:p>
    <w:tbl>
      <w:tblPr>
        <w:tblW w:w="14490" w:type="dxa"/>
        <w:tblLook w:val="04A0" w:firstRow="1" w:lastRow="0" w:firstColumn="1" w:lastColumn="0" w:noHBand="0" w:noVBand="1"/>
      </w:tblPr>
      <w:tblGrid>
        <w:gridCol w:w="587"/>
        <w:gridCol w:w="1814"/>
        <w:gridCol w:w="6702"/>
        <w:gridCol w:w="1387"/>
        <w:gridCol w:w="4000"/>
      </w:tblGrid>
      <w:tr w:rsidR="00D8098C" w:rsidRPr="00B853C6" w14:paraId="68BC94E2" w14:textId="1CEFEAFD" w:rsidTr="00BB18FF">
        <w:tc>
          <w:tcPr>
            <w:tcW w:w="587" w:type="dxa"/>
            <w:tcBorders>
              <w:top w:val="single" w:sz="4" w:space="0" w:color="auto"/>
              <w:bottom w:val="single" w:sz="6" w:space="0" w:color="7F7F7F"/>
            </w:tcBorders>
            <w:shd w:val="clear" w:color="auto" w:fill="auto"/>
          </w:tcPr>
          <w:p w14:paraId="00DEF8A5"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Item No.</w:t>
            </w:r>
          </w:p>
        </w:tc>
        <w:tc>
          <w:tcPr>
            <w:tcW w:w="1814" w:type="dxa"/>
            <w:tcBorders>
              <w:top w:val="single" w:sz="4" w:space="0" w:color="auto"/>
              <w:bottom w:val="single" w:sz="6" w:space="0" w:color="7F7F7F"/>
            </w:tcBorders>
            <w:shd w:val="clear" w:color="auto" w:fill="auto"/>
          </w:tcPr>
          <w:p w14:paraId="04F587D2"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Section</w:t>
            </w:r>
          </w:p>
        </w:tc>
        <w:tc>
          <w:tcPr>
            <w:tcW w:w="6702" w:type="dxa"/>
            <w:tcBorders>
              <w:top w:val="single" w:sz="4" w:space="0" w:color="auto"/>
              <w:bottom w:val="single" w:sz="6" w:space="0" w:color="7F7F7F"/>
            </w:tcBorders>
            <w:shd w:val="clear" w:color="auto" w:fill="auto"/>
          </w:tcPr>
          <w:p w14:paraId="5A682768" w14:textId="77777777" w:rsidR="00D8098C" w:rsidRPr="00F0337F" w:rsidRDefault="00D8098C" w:rsidP="00426603">
            <w:pPr>
              <w:spacing w:beforeLines="40" w:before="96" w:afterLines="40" w:after="96" w:line="24" w:lineRule="atLeast"/>
              <w:rPr>
                <w:rFonts w:eastAsia="Cambria"/>
                <w:b/>
                <w:bCs/>
                <w:sz w:val="18"/>
                <w:szCs w:val="18"/>
                <w:lang w:val="en-GB" w:eastAsia="en-US"/>
              </w:rPr>
            </w:pPr>
            <w:r w:rsidRPr="00F0337F">
              <w:rPr>
                <w:rFonts w:eastAsia="Cambria"/>
                <w:b/>
                <w:bCs/>
                <w:sz w:val="18"/>
                <w:szCs w:val="18"/>
                <w:lang w:val="en-GB" w:eastAsia="en-US"/>
              </w:rPr>
              <w:t xml:space="preserve">Checklist item </w:t>
            </w:r>
          </w:p>
        </w:tc>
        <w:tc>
          <w:tcPr>
            <w:tcW w:w="1387" w:type="dxa"/>
            <w:tcBorders>
              <w:top w:val="single" w:sz="4" w:space="0" w:color="auto"/>
              <w:bottom w:val="single" w:sz="6" w:space="0" w:color="7F7F7F"/>
            </w:tcBorders>
          </w:tcPr>
          <w:p w14:paraId="26D050FB" w14:textId="497E77E4" w:rsidR="00D8098C" w:rsidRPr="00A25E28" w:rsidRDefault="00EF4B94" w:rsidP="00426603">
            <w:pPr>
              <w:spacing w:beforeLines="40" w:before="96" w:afterLines="40" w:after="96" w:line="24" w:lineRule="atLeast"/>
              <w:rPr>
                <w:rFonts w:eastAsia="Cambria"/>
                <w:b/>
                <w:bCs/>
                <w:sz w:val="18"/>
                <w:szCs w:val="18"/>
                <w:lang w:val="en-GB" w:eastAsia="en-US"/>
              </w:rPr>
            </w:pPr>
            <w:r w:rsidRPr="00A25E28">
              <w:rPr>
                <w:rFonts w:eastAsia="Cambria"/>
                <w:b/>
                <w:bCs/>
                <w:sz w:val="18"/>
                <w:szCs w:val="18"/>
                <w:lang w:val="en-GB" w:eastAsia="en-US"/>
              </w:rPr>
              <w:t>Page No.</w:t>
            </w:r>
          </w:p>
        </w:tc>
        <w:tc>
          <w:tcPr>
            <w:tcW w:w="4000" w:type="dxa"/>
            <w:tcBorders>
              <w:top w:val="single" w:sz="4" w:space="0" w:color="auto"/>
              <w:bottom w:val="single" w:sz="6" w:space="0" w:color="7F7F7F"/>
            </w:tcBorders>
          </w:tcPr>
          <w:p w14:paraId="3B169EDD" w14:textId="040F4512" w:rsidR="00D8098C" w:rsidRPr="00A25E28" w:rsidRDefault="00EF4B94" w:rsidP="00426603">
            <w:pPr>
              <w:spacing w:beforeLines="40" w:before="96" w:afterLines="40" w:after="96" w:line="24" w:lineRule="atLeast"/>
              <w:rPr>
                <w:rFonts w:eastAsia="Cambria"/>
                <w:b/>
                <w:bCs/>
                <w:sz w:val="18"/>
                <w:szCs w:val="18"/>
                <w:lang w:val="en-GB" w:eastAsia="en-US"/>
              </w:rPr>
            </w:pPr>
            <w:r w:rsidRPr="00A25E28">
              <w:rPr>
                <w:rFonts w:eastAsia="Cambria"/>
                <w:b/>
                <w:bCs/>
                <w:sz w:val="18"/>
                <w:szCs w:val="18"/>
                <w:lang w:val="en-GB" w:eastAsia="en-US"/>
              </w:rPr>
              <w:t>Relevant text from manuscript</w:t>
            </w:r>
          </w:p>
        </w:tc>
      </w:tr>
      <w:tr w:rsidR="00D8098C" w:rsidRPr="00B853C6" w14:paraId="6D71F361" w14:textId="15A67F44" w:rsidTr="00BB18FF">
        <w:tc>
          <w:tcPr>
            <w:tcW w:w="587" w:type="dxa"/>
            <w:tcBorders>
              <w:top w:val="single" w:sz="6" w:space="0" w:color="7F7F7F"/>
              <w:bottom w:val="single" w:sz="6" w:space="0" w:color="7F7F7F"/>
            </w:tcBorders>
            <w:shd w:val="clear" w:color="auto" w:fill="EEEEEE"/>
          </w:tcPr>
          <w:p w14:paraId="25A8835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w:t>
            </w:r>
          </w:p>
        </w:tc>
        <w:tc>
          <w:tcPr>
            <w:tcW w:w="1814" w:type="dxa"/>
            <w:tcBorders>
              <w:top w:val="single" w:sz="6" w:space="0" w:color="7F7F7F"/>
              <w:bottom w:val="single" w:sz="6" w:space="0" w:color="7F7F7F"/>
            </w:tcBorders>
            <w:shd w:val="clear" w:color="auto" w:fill="EEEEEE"/>
          </w:tcPr>
          <w:p w14:paraId="4CC4316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TITLE and ABSTRACT</w:t>
            </w:r>
          </w:p>
        </w:tc>
        <w:tc>
          <w:tcPr>
            <w:tcW w:w="6702" w:type="dxa"/>
            <w:tcBorders>
              <w:top w:val="single" w:sz="6" w:space="0" w:color="7F7F7F"/>
              <w:bottom w:val="single" w:sz="6" w:space="0" w:color="7F7F7F"/>
            </w:tcBorders>
            <w:shd w:val="clear" w:color="auto" w:fill="EEEEEE"/>
          </w:tcPr>
          <w:p w14:paraId="1DA8BD46" w14:textId="22BBD1AD" w:rsidR="00D8098C" w:rsidRPr="00F0337F" w:rsidRDefault="00D8098C" w:rsidP="006912BF">
            <w:pPr>
              <w:spacing w:beforeLines="40" w:before="96" w:afterLines="40" w:after="96" w:line="24" w:lineRule="atLeast"/>
              <w:rPr>
                <w:rFonts w:eastAsia="Cambria"/>
                <w:sz w:val="18"/>
                <w:szCs w:val="18"/>
                <w:lang w:val="en-GB" w:eastAsia="en-US"/>
              </w:rPr>
            </w:pPr>
            <w:r w:rsidRPr="00F0337F">
              <w:rPr>
                <w:rFonts w:eastAsia="Times New Roman"/>
                <w:sz w:val="18"/>
                <w:szCs w:val="18"/>
                <w:lang w:val="en-GB" w:eastAsia="en-GB"/>
              </w:rPr>
              <w:t>Indicate Mendelian randomization</w:t>
            </w:r>
            <w:r w:rsidR="000A4CE8">
              <w:rPr>
                <w:rFonts w:eastAsia="Times New Roman"/>
                <w:sz w:val="18"/>
                <w:szCs w:val="18"/>
                <w:lang w:val="en-GB" w:eastAsia="en-GB"/>
              </w:rPr>
              <w:t xml:space="preserve"> (MR)</w:t>
            </w:r>
            <w:r w:rsidRPr="00F0337F">
              <w:rPr>
                <w:rFonts w:eastAsia="Times New Roman"/>
                <w:sz w:val="18"/>
                <w:szCs w:val="18"/>
                <w:lang w:val="en-GB" w:eastAsia="en-GB"/>
              </w:rPr>
              <w:t xml:space="preserve"> as the study</w:t>
            </w:r>
            <w:r w:rsidR="006912BF">
              <w:rPr>
                <w:rFonts w:eastAsia="Times New Roman"/>
                <w:sz w:val="18"/>
                <w:szCs w:val="18"/>
                <w:lang w:val="en-GB" w:eastAsia="en-GB"/>
              </w:rPr>
              <w:t>’</w:t>
            </w:r>
            <w:r w:rsidRPr="00F0337F">
              <w:rPr>
                <w:rFonts w:eastAsia="Times New Roman"/>
                <w:sz w:val="18"/>
                <w:szCs w:val="18"/>
                <w:lang w:val="en-GB" w:eastAsia="en-GB"/>
              </w:rPr>
              <w:t>s design in the title and/or the abstract if that is a main purpose of the study</w:t>
            </w:r>
          </w:p>
        </w:tc>
        <w:tc>
          <w:tcPr>
            <w:tcW w:w="1387" w:type="dxa"/>
            <w:tcBorders>
              <w:top w:val="single" w:sz="6" w:space="0" w:color="7F7F7F"/>
              <w:bottom w:val="single" w:sz="6" w:space="0" w:color="7F7F7F"/>
            </w:tcBorders>
            <w:shd w:val="clear" w:color="auto" w:fill="EEEEEE"/>
          </w:tcPr>
          <w:p w14:paraId="428F187D" w14:textId="0CB68995" w:rsidR="00D8098C" w:rsidRPr="00940B81" w:rsidRDefault="00E11A42" w:rsidP="00426603">
            <w:pPr>
              <w:spacing w:beforeLines="40" w:before="96" w:afterLines="40" w:after="96" w:line="24" w:lineRule="atLeast"/>
              <w:rPr>
                <w:rFonts w:eastAsia="Times New Roman"/>
                <w:sz w:val="18"/>
                <w:szCs w:val="18"/>
                <w:highlight w:val="yellow"/>
                <w:lang w:val="en-GB" w:eastAsia="en-GB"/>
              </w:rPr>
            </w:pPr>
            <w:r w:rsidRPr="00E11A42">
              <w:rPr>
                <w:rFonts w:eastAsia="Times New Roman"/>
                <w:sz w:val="18"/>
                <w:szCs w:val="18"/>
                <w:lang w:val="en-GB" w:eastAsia="en-GB"/>
              </w:rPr>
              <w:t>1</w:t>
            </w:r>
          </w:p>
        </w:tc>
        <w:tc>
          <w:tcPr>
            <w:tcW w:w="4000" w:type="dxa"/>
            <w:tcBorders>
              <w:top w:val="single" w:sz="6" w:space="0" w:color="7F7F7F"/>
              <w:bottom w:val="single" w:sz="6" w:space="0" w:color="7F7F7F"/>
            </w:tcBorders>
            <w:shd w:val="clear" w:color="auto" w:fill="EEEEEE"/>
          </w:tcPr>
          <w:p w14:paraId="2F6D1FAF" w14:textId="08685F7F" w:rsidR="00D8098C" w:rsidRPr="00940B81" w:rsidRDefault="0044696F" w:rsidP="00426603">
            <w:pPr>
              <w:spacing w:beforeLines="40" w:before="96" w:afterLines="40" w:after="96" w:line="24" w:lineRule="atLeast"/>
              <w:rPr>
                <w:rFonts w:eastAsia="Times New Roman"/>
                <w:sz w:val="18"/>
                <w:szCs w:val="18"/>
                <w:highlight w:val="yellow"/>
                <w:lang w:val="en-GB" w:eastAsia="en-GB"/>
              </w:rPr>
            </w:pPr>
            <w:r w:rsidRPr="0044696F">
              <w:rPr>
                <w:rFonts w:eastAsia="Times New Roman"/>
                <w:sz w:val="18"/>
                <w:szCs w:val="18"/>
                <w:lang w:val="en-GB" w:eastAsia="en-GB"/>
              </w:rPr>
              <w:t>Integrative multi-ethnic Mendelian randomisation identifies tissue-specific causal genes for Coronary Artery Disease and interactions with post-acute Covid.</w:t>
            </w:r>
          </w:p>
        </w:tc>
      </w:tr>
      <w:tr w:rsidR="00D8098C" w:rsidRPr="00B853C6" w14:paraId="641E6A58" w14:textId="3A4EC1CE" w:rsidTr="00BB18FF">
        <w:tc>
          <w:tcPr>
            <w:tcW w:w="587" w:type="dxa"/>
            <w:tcBorders>
              <w:top w:val="single" w:sz="6" w:space="0" w:color="7F7F7F"/>
            </w:tcBorders>
            <w:shd w:val="clear" w:color="auto" w:fill="auto"/>
          </w:tcPr>
          <w:p w14:paraId="4792BEF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14" w:type="dxa"/>
            <w:tcBorders>
              <w:top w:val="single" w:sz="6" w:space="0" w:color="7F7F7F"/>
            </w:tcBorders>
            <w:shd w:val="clear" w:color="auto" w:fill="auto"/>
          </w:tcPr>
          <w:p w14:paraId="63B58F01"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INTRODUCTION</w:t>
            </w:r>
          </w:p>
        </w:tc>
        <w:tc>
          <w:tcPr>
            <w:tcW w:w="6702" w:type="dxa"/>
            <w:tcBorders>
              <w:top w:val="single" w:sz="6" w:space="0" w:color="7F7F7F"/>
            </w:tcBorders>
            <w:shd w:val="clear" w:color="auto" w:fill="auto"/>
          </w:tcPr>
          <w:p w14:paraId="473C01D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1387" w:type="dxa"/>
            <w:tcBorders>
              <w:top w:val="single" w:sz="6" w:space="0" w:color="7F7F7F"/>
            </w:tcBorders>
          </w:tcPr>
          <w:p w14:paraId="6681F500"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000" w:type="dxa"/>
            <w:tcBorders>
              <w:top w:val="single" w:sz="6" w:space="0" w:color="7F7F7F"/>
            </w:tcBorders>
          </w:tcPr>
          <w:p w14:paraId="7A6DC6E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7DB622D8" w14:textId="3921B7E8" w:rsidTr="00BB18FF">
        <w:tc>
          <w:tcPr>
            <w:tcW w:w="587" w:type="dxa"/>
            <w:shd w:val="clear" w:color="auto" w:fill="EEEEEE"/>
          </w:tcPr>
          <w:p w14:paraId="7DE28D61"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w:t>
            </w:r>
          </w:p>
        </w:tc>
        <w:tc>
          <w:tcPr>
            <w:tcW w:w="1814" w:type="dxa"/>
            <w:shd w:val="clear" w:color="auto" w:fill="EEEEEE"/>
          </w:tcPr>
          <w:p w14:paraId="7756B327"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Background</w:t>
            </w:r>
          </w:p>
        </w:tc>
        <w:tc>
          <w:tcPr>
            <w:tcW w:w="6702" w:type="dxa"/>
            <w:shd w:val="clear" w:color="auto" w:fill="EEEEEE"/>
          </w:tcPr>
          <w:p w14:paraId="5423D52E" w14:textId="5998ED56"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Explain the scientific background and rationale for the reported study. What is the exposure? Is </w:t>
            </w:r>
            <w:r w:rsidR="00514462">
              <w:rPr>
                <w:rFonts w:eastAsia="Times New Roman"/>
                <w:sz w:val="18"/>
                <w:szCs w:val="18"/>
                <w:lang w:val="en-GB" w:eastAsia="en-GB"/>
              </w:rPr>
              <w:t xml:space="preserve">a </w:t>
            </w:r>
            <w:r>
              <w:rPr>
                <w:rFonts w:eastAsia="Times New Roman"/>
                <w:sz w:val="18"/>
                <w:szCs w:val="18"/>
                <w:lang w:val="en-GB" w:eastAsia="en-GB"/>
              </w:rPr>
              <w:t>potential causal relationship</w:t>
            </w:r>
            <w:r w:rsidRPr="00F0337F">
              <w:rPr>
                <w:rFonts w:eastAsia="Times New Roman"/>
                <w:sz w:val="18"/>
                <w:szCs w:val="18"/>
                <w:lang w:val="en-GB" w:eastAsia="en-GB"/>
              </w:rPr>
              <w:t xml:space="preserve"> between exposure and outcome plausible? Justify why MR is a helpful method to address the study question</w:t>
            </w:r>
          </w:p>
        </w:tc>
        <w:tc>
          <w:tcPr>
            <w:tcW w:w="1387" w:type="dxa"/>
            <w:shd w:val="clear" w:color="auto" w:fill="EEEEEE"/>
          </w:tcPr>
          <w:p w14:paraId="460FB29C" w14:textId="6D5A3789" w:rsidR="00D8098C" w:rsidRPr="00F0337F" w:rsidRDefault="000153DC"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2</w:t>
            </w:r>
          </w:p>
        </w:tc>
        <w:tc>
          <w:tcPr>
            <w:tcW w:w="4000" w:type="dxa"/>
            <w:shd w:val="clear" w:color="auto" w:fill="EEEEEE"/>
          </w:tcPr>
          <w:p w14:paraId="5D990A22" w14:textId="6EC3FE90" w:rsidR="00D8098C" w:rsidRDefault="006020E9" w:rsidP="00426603">
            <w:pPr>
              <w:spacing w:beforeLines="40" w:before="96" w:afterLines="40" w:after="96" w:line="24" w:lineRule="atLeast"/>
              <w:rPr>
                <w:rFonts w:eastAsia="Times New Roman"/>
                <w:sz w:val="18"/>
                <w:szCs w:val="18"/>
                <w:lang w:val="en-GB" w:eastAsia="en-GB"/>
              </w:rPr>
            </w:pPr>
            <w:r w:rsidRPr="006020E9">
              <w:rPr>
                <w:rFonts w:eastAsia="Times New Roman"/>
                <w:sz w:val="18"/>
                <w:szCs w:val="18"/>
                <w:lang w:val="en-GB" w:eastAsia="en-GB"/>
              </w:rPr>
              <w:t>Systems genetic approaches use networks of gene regulation and protein-interactions to predict how genetic variants impact disease risk. Our approach integrates GWAS with functional genomic datasets (</w:t>
            </w:r>
            <w:proofErr w:type="spellStart"/>
            <w:r w:rsidRPr="006020E9">
              <w:rPr>
                <w:rFonts w:eastAsia="Times New Roman"/>
                <w:sz w:val="18"/>
                <w:szCs w:val="18"/>
                <w:lang w:val="en-GB" w:eastAsia="en-GB"/>
              </w:rPr>
              <w:t>ie</w:t>
            </w:r>
            <w:proofErr w:type="spellEnd"/>
            <w:r w:rsidRPr="006020E9">
              <w:rPr>
                <w:rFonts w:eastAsia="Times New Roman"/>
                <w:sz w:val="18"/>
                <w:szCs w:val="18"/>
                <w:lang w:val="en-GB" w:eastAsia="en-GB"/>
              </w:rPr>
              <w:t xml:space="preserve"> genome structure, expression quantitative expression trait loci (eQTL), and protein interaction networks through a de novo, 2-sample Mendelian randomisation. This enables identification of putatively causal CAD genes for use as seeds in a subsequent protein interaction network analyses. In so doing, we can identify not only the causal genes but biological pathways that connect CAD to comorbidities. Extending this ‘causal’ centred network to different ancestral populations will further enhance our ability to predict individual CAD risk and identify effective therapeutic strategies.</w:t>
            </w:r>
          </w:p>
        </w:tc>
      </w:tr>
      <w:tr w:rsidR="00D8098C" w:rsidRPr="00B853C6" w14:paraId="7907A3D3" w14:textId="5AB948A7" w:rsidTr="00BB18FF">
        <w:tc>
          <w:tcPr>
            <w:tcW w:w="587" w:type="dxa"/>
            <w:tcBorders>
              <w:bottom w:val="single" w:sz="6" w:space="0" w:color="7F7F7F"/>
            </w:tcBorders>
            <w:shd w:val="clear" w:color="auto" w:fill="auto"/>
          </w:tcPr>
          <w:p w14:paraId="4F63B03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3</w:t>
            </w:r>
          </w:p>
        </w:tc>
        <w:tc>
          <w:tcPr>
            <w:tcW w:w="1814" w:type="dxa"/>
            <w:tcBorders>
              <w:bottom w:val="single" w:sz="6" w:space="0" w:color="7F7F7F"/>
            </w:tcBorders>
            <w:shd w:val="clear" w:color="auto" w:fill="auto"/>
          </w:tcPr>
          <w:p w14:paraId="3E6B9EE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Objectives</w:t>
            </w:r>
          </w:p>
        </w:tc>
        <w:tc>
          <w:tcPr>
            <w:tcW w:w="6702" w:type="dxa"/>
            <w:tcBorders>
              <w:bottom w:val="single" w:sz="6" w:space="0" w:color="7F7F7F"/>
            </w:tcBorders>
            <w:shd w:val="clear" w:color="auto" w:fill="auto"/>
          </w:tcPr>
          <w:p w14:paraId="41BC8A0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1387" w:type="dxa"/>
            <w:tcBorders>
              <w:bottom w:val="single" w:sz="6" w:space="0" w:color="7F7F7F"/>
            </w:tcBorders>
          </w:tcPr>
          <w:p w14:paraId="2294F6C5" w14:textId="6BA18CD4" w:rsidR="00D8098C" w:rsidRPr="00A1236D" w:rsidRDefault="000153DC"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2,</w:t>
            </w:r>
            <w:r w:rsidR="00DF3812">
              <w:rPr>
                <w:rFonts w:eastAsia="Times New Roman"/>
                <w:sz w:val="18"/>
                <w:szCs w:val="18"/>
                <w:lang w:val="en-GB" w:eastAsia="en-GB"/>
              </w:rPr>
              <w:t>3</w:t>
            </w:r>
          </w:p>
        </w:tc>
        <w:tc>
          <w:tcPr>
            <w:tcW w:w="4000" w:type="dxa"/>
            <w:tcBorders>
              <w:bottom w:val="single" w:sz="6" w:space="0" w:color="7F7F7F"/>
            </w:tcBorders>
          </w:tcPr>
          <w:p w14:paraId="11250836" w14:textId="2D845C2B" w:rsidR="00D8098C" w:rsidRDefault="00224BDC" w:rsidP="00426603">
            <w:pPr>
              <w:spacing w:beforeLines="40" w:before="96" w:afterLines="40" w:after="96" w:line="24" w:lineRule="atLeast"/>
              <w:rPr>
                <w:rFonts w:eastAsia="Times New Roman"/>
                <w:sz w:val="18"/>
                <w:szCs w:val="18"/>
                <w:lang w:val="en-GB" w:eastAsia="en-GB"/>
              </w:rPr>
            </w:pPr>
            <w:r w:rsidRPr="00224BDC">
              <w:rPr>
                <w:rFonts w:eastAsia="Times New Roman"/>
                <w:sz w:val="18"/>
                <w:szCs w:val="18"/>
                <w:lang w:val="en-GB" w:eastAsia="en-GB"/>
              </w:rPr>
              <w:t>In this study, we used gene regulatory networks (GRNs) from the coronary artery, lung and whole blood to identify tissue-specific causal genes for CAD across European and East Asian populations. Subsequent network analyses identified how the 98 putative causal CAD genes interact with CAD comorbidities and associated traits (</w:t>
            </w:r>
            <w:proofErr w:type="spellStart"/>
            <w:r w:rsidRPr="00224BDC">
              <w:rPr>
                <w:rFonts w:eastAsia="Times New Roman"/>
                <w:sz w:val="18"/>
                <w:szCs w:val="18"/>
                <w:lang w:val="en-GB" w:eastAsia="en-GB"/>
              </w:rPr>
              <w:t>eg</w:t>
            </w:r>
            <w:proofErr w:type="spellEnd"/>
            <w:r w:rsidRPr="00224BDC">
              <w:rPr>
                <w:rFonts w:eastAsia="Times New Roman"/>
                <w:sz w:val="18"/>
                <w:szCs w:val="18"/>
                <w:lang w:val="en-GB" w:eastAsia="en-GB"/>
              </w:rPr>
              <w:t xml:space="preserve"> response to SARS-CoV-2 infection). Our results link CAD causal genes with HDL cholesterol metabolism. Finally, we propose a potential mechanism that explains how sustained latent asymptomatic CAD conditions arise following SARS-CoV-2 infection.</w:t>
            </w:r>
          </w:p>
        </w:tc>
      </w:tr>
      <w:tr w:rsidR="00D8098C" w:rsidRPr="00B853C6" w14:paraId="59599383" w14:textId="2880B554" w:rsidTr="00BB18FF">
        <w:tc>
          <w:tcPr>
            <w:tcW w:w="587" w:type="dxa"/>
            <w:tcBorders>
              <w:top w:val="single" w:sz="6" w:space="0" w:color="7F7F7F"/>
            </w:tcBorders>
            <w:shd w:val="clear" w:color="auto" w:fill="EEEEEE"/>
          </w:tcPr>
          <w:p w14:paraId="3524D6D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14" w:type="dxa"/>
            <w:tcBorders>
              <w:top w:val="single" w:sz="6" w:space="0" w:color="7F7F7F"/>
            </w:tcBorders>
            <w:shd w:val="clear" w:color="auto" w:fill="EEEEEE"/>
          </w:tcPr>
          <w:p w14:paraId="6152628C"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METHODS</w:t>
            </w:r>
          </w:p>
        </w:tc>
        <w:tc>
          <w:tcPr>
            <w:tcW w:w="6702" w:type="dxa"/>
            <w:tcBorders>
              <w:top w:val="single" w:sz="6" w:space="0" w:color="7F7F7F"/>
            </w:tcBorders>
            <w:shd w:val="clear" w:color="auto" w:fill="EEEEEE"/>
          </w:tcPr>
          <w:p w14:paraId="309B85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tcBorders>
              <w:top w:val="single" w:sz="6" w:space="0" w:color="7F7F7F"/>
            </w:tcBorders>
            <w:shd w:val="clear" w:color="auto" w:fill="EEEEEE"/>
          </w:tcPr>
          <w:p w14:paraId="2FFEF450"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tcBorders>
              <w:top w:val="single" w:sz="6" w:space="0" w:color="7F7F7F"/>
            </w:tcBorders>
            <w:shd w:val="clear" w:color="auto" w:fill="EEEEEE"/>
          </w:tcPr>
          <w:p w14:paraId="6CB9315A"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440155E" w14:textId="16610A1F" w:rsidTr="00BB18FF">
        <w:tc>
          <w:tcPr>
            <w:tcW w:w="587" w:type="dxa"/>
            <w:shd w:val="clear" w:color="auto" w:fill="auto"/>
          </w:tcPr>
          <w:p w14:paraId="5C7CF34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4</w:t>
            </w:r>
          </w:p>
        </w:tc>
        <w:tc>
          <w:tcPr>
            <w:tcW w:w="1814" w:type="dxa"/>
            <w:shd w:val="clear" w:color="auto" w:fill="auto"/>
          </w:tcPr>
          <w:p w14:paraId="408E2A8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Study design and data sources</w:t>
            </w:r>
          </w:p>
        </w:tc>
        <w:tc>
          <w:tcPr>
            <w:tcW w:w="6702" w:type="dxa"/>
            <w:shd w:val="clear" w:color="auto" w:fill="auto"/>
          </w:tcPr>
          <w:p w14:paraId="29029CA4"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1387" w:type="dxa"/>
          </w:tcPr>
          <w:p w14:paraId="0E181C7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tcPr>
          <w:p w14:paraId="23CE0AC6" w14:textId="77777777"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7D5AE21" w14:textId="3CA8D4AF" w:rsidTr="00BB18FF">
        <w:tc>
          <w:tcPr>
            <w:tcW w:w="587" w:type="dxa"/>
            <w:shd w:val="clear" w:color="auto" w:fill="EEEEEE"/>
          </w:tcPr>
          <w:p w14:paraId="0980B68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29E72ACB"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EEEEEE"/>
          </w:tcPr>
          <w:p w14:paraId="246167BE"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shd w:val="clear" w:color="auto" w:fill="FFFFFF"/>
                <w:lang w:val="en-GB" w:eastAsia="en-GB"/>
              </w:rPr>
              <w:t xml:space="preserve">Setting: </w:t>
            </w:r>
            <w:r w:rsidRPr="00A1236D">
              <w:rPr>
                <w:rFonts w:eastAsia="Times New Roman"/>
                <w:sz w:val="18"/>
                <w:szCs w:val="18"/>
                <w:lang w:val="en-GB" w:eastAsia="en-GB"/>
              </w:rPr>
              <w:t xml:space="preserve">Describe the study design and the underlying population, if possible. </w:t>
            </w:r>
            <w:r w:rsidRPr="00A1236D">
              <w:rPr>
                <w:rFonts w:eastAsia="Times New Roman"/>
                <w:sz w:val="18"/>
                <w:szCs w:val="18"/>
                <w:shd w:val="clear" w:color="auto" w:fill="FFFFFF"/>
                <w:lang w:val="en-GB" w:eastAsia="en-GB"/>
              </w:rPr>
              <w:t xml:space="preserve">Describe the setting, locations, and relevant dates, including periods </w:t>
            </w:r>
            <w:r w:rsidRPr="00A1236D">
              <w:rPr>
                <w:rFonts w:eastAsia="Times New Roman"/>
                <w:color w:val="000000"/>
                <w:sz w:val="18"/>
                <w:szCs w:val="18"/>
                <w:shd w:val="clear" w:color="auto" w:fill="FFFFFF"/>
                <w:lang w:val="en-GB" w:eastAsia="en-GB"/>
              </w:rPr>
              <w:t>of recruitment, exposure, follow-up, and data collection, when available.</w:t>
            </w:r>
          </w:p>
        </w:tc>
        <w:tc>
          <w:tcPr>
            <w:tcW w:w="1387" w:type="dxa"/>
            <w:shd w:val="clear" w:color="auto" w:fill="EEEEEE"/>
          </w:tcPr>
          <w:p w14:paraId="048ED5CF" w14:textId="0297C10C" w:rsidR="00D8098C" w:rsidRPr="00A1236D" w:rsidRDefault="00DF3812" w:rsidP="00426603">
            <w:pPr>
              <w:spacing w:beforeLines="40" w:before="96" w:afterLines="40" w:after="96" w:line="24" w:lineRule="atLeast"/>
              <w:rPr>
                <w:rFonts w:eastAsia="Times New Roman"/>
                <w:sz w:val="18"/>
                <w:szCs w:val="18"/>
                <w:shd w:val="clear" w:color="auto" w:fill="FFFFFF"/>
                <w:lang w:val="en-GB" w:eastAsia="en-GB"/>
              </w:rPr>
            </w:pPr>
            <w:r>
              <w:rPr>
                <w:rFonts w:eastAsia="Times New Roman"/>
                <w:sz w:val="18"/>
                <w:szCs w:val="18"/>
                <w:shd w:val="clear" w:color="auto" w:fill="FFFFFF"/>
                <w:lang w:val="en-GB" w:eastAsia="en-GB"/>
              </w:rPr>
              <w:t>3</w:t>
            </w:r>
          </w:p>
        </w:tc>
        <w:tc>
          <w:tcPr>
            <w:tcW w:w="4000" w:type="dxa"/>
            <w:shd w:val="clear" w:color="auto" w:fill="EEEEEE"/>
          </w:tcPr>
          <w:p w14:paraId="62AE7B04" w14:textId="743B19DF" w:rsidR="00C54995" w:rsidRPr="00C54995" w:rsidRDefault="00C54995" w:rsidP="00C54995">
            <w:pPr>
              <w:spacing w:beforeLines="40" w:before="96" w:afterLines="40" w:after="96" w:line="24" w:lineRule="atLeast"/>
              <w:rPr>
                <w:rFonts w:eastAsia="Times New Roman"/>
                <w:sz w:val="18"/>
                <w:szCs w:val="18"/>
                <w:shd w:val="clear" w:color="auto" w:fill="FFFFFF"/>
                <w:lang w:val="en-GB" w:eastAsia="en-GB"/>
              </w:rPr>
            </w:pPr>
            <w:r w:rsidRPr="00C54995">
              <w:rPr>
                <w:rFonts w:eastAsia="Times New Roman"/>
                <w:sz w:val="18"/>
                <w:szCs w:val="18"/>
                <w:shd w:val="clear" w:color="auto" w:fill="FFFFFF"/>
                <w:lang w:val="en-GB" w:eastAsia="en-GB"/>
              </w:rPr>
              <w:t>The GRN networks have been previously described. Briefly, the GRNs were generated by assessing all known human SNPs for spatial interactions with genes from tissue/cell-specific chromatin conformation (</w:t>
            </w:r>
            <w:proofErr w:type="spellStart"/>
            <w:r w:rsidRPr="00C54995">
              <w:rPr>
                <w:rFonts w:eastAsia="Times New Roman"/>
                <w:sz w:val="18"/>
                <w:szCs w:val="18"/>
                <w:shd w:val="clear" w:color="auto" w:fill="FFFFFF"/>
                <w:lang w:val="en-GB" w:eastAsia="en-GB"/>
              </w:rPr>
              <w:t>ie</w:t>
            </w:r>
            <w:proofErr w:type="spellEnd"/>
            <w:r w:rsidRPr="00C54995">
              <w:rPr>
                <w:rFonts w:eastAsia="Times New Roman"/>
                <w:sz w:val="18"/>
                <w:szCs w:val="18"/>
                <w:shd w:val="clear" w:color="auto" w:fill="FFFFFF"/>
                <w:lang w:val="en-GB" w:eastAsia="en-GB"/>
              </w:rPr>
              <w:t xml:space="preserve"> Hi-C) data, then parsing these SNP-gene pairs through GTEx for eQTL activity within the same tissues. The resulting spatial-eQTLs (sceQTLs) were used as SNPs for MR. The lung GRN consisted of 15,532 genes regulated by 732,000 sceQTLs, the whole blood GRN consisted of 14,556 genes regulated by 720,675 sceQTLs and the coronary artery GRN consisted of 6,542 genes regulated by 144,399 sceQTLs (Figure 1; p &lt; 1 x 10-5 and FDR &lt; 0.05; see methods). From the GRNs, 53.6% (n = 8,336) lung genes, 85.1% (n = 5,571) coronary artery genes, and 52.9% (n = 7,708) blood genes could only be instrumented using a single sceQTL, and all MR estimates derived from these genes are based on the Wald ratio method. MR estimates derived on the genes with multiple sceQTLs are based on the fixed-effects, inverse-variance-weighted (IVW-</w:t>
            </w:r>
            <w:proofErr w:type="spellStart"/>
            <w:r w:rsidRPr="00C54995">
              <w:rPr>
                <w:rFonts w:eastAsia="Times New Roman"/>
                <w:sz w:val="18"/>
                <w:szCs w:val="18"/>
                <w:shd w:val="clear" w:color="auto" w:fill="FFFFFF"/>
                <w:lang w:val="en-GB" w:eastAsia="en-GB"/>
              </w:rPr>
              <w:t>fe</w:t>
            </w:r>
            <w:proofErr w:type="spellEnd"/>
            <w:r w:rsidRPr="00C54995">
              <w:rPr>
                <w:rFonts w:eastAsia="Times New Roman"/>
                <w:sz w:val="18"/>
                <w:szCs w:val="18"/>
                <w:shd w:val="clear" w:color="auto" w:fill="FFFFFF"/>
                <w:lang w:val="en-GB" w:eastAsia="en-GB"/>
              </w:rPr>
              <w:t xml:space="preserve">) method. No causal genes were identified using the IVW-fe method. </w:t>
            </w:r>
          </w:p>
          <w:p w14:paraId="5AB23D0A" w14:textId="77777777" w:rsidR="00C54995" w:rsidRPr="00C54995" w:rsidRDefault="00C54995" w:rsidP="00C54995">
            <w:pPr>
              <w:spacing w:beforeLines="40" w:before="96" w:afterLines="40" w:after="96" w:line="24" w:lineRule="atLeast"/>
              <w:rPr>
                <w:rFonts w:eastAsia="Times New Roman"/>
                <w:sz w:val="18"/>
                <w:szCs w:val="18"/>
                <w:shd w:val="clear" w:color="auto" w:fill="FFFFFF"/>
                <w:lang w:val="en-GB" w:eastAsia="en-GB"/>
              </w:rPr>
            </w:pPr>
          </w:p>
          <w:p w14:paraId="33F4171D" w14:textId="66F69CA0" w:rsidR="00D8098C" w:rsidRDefault="00C54995" w:rsidP="00C54995">
            <w:pPr>
              <w:spacing w:beforeLines="40" w:before="96" w:afterLines="40" w:after="96" w:line="24" w:lineRule="atLeast"/>
              <w:rPr>
                <w:rFonts w:eastAsia="Times New Roman"/>
                <w:sz w:val="18"/>
                <w:szCs w:val="18"/>
                <w:shd w:val="clear" w:color="auto" w:fill="FFFFFF"/>
                <w:lang w:val="en-GB" w:eastAsia="en-GB"/>
              </w:rPr>
            </w:pPr>
            <w:r w:rsidRPr="00C54995">
              <w:rPr>
                <w:rFonts w:eastAsia="Times New Roman"/>
                <w:sz w:val="18"/>
                <w:szCs w:val="18"/>
                <w:shd w:val="clear" w:color="auto" w:fill="FFFFFF"/>
                <w:lang w:val="en-GB" w:eastAsia="en-GB"/>
              </w:rPr>
              <w:t>To identify ancestry- and tissue-specific causal genes associated with CAD we incorporated CAD GWAS data (outcome) from two distinct ancestral groups, East Asian and Europeans from the IEU open GWAS project catalogue with the GRNs. MR identified 42 and 37 genes, 138 and 93 genes, 38 and 35 genes from lung, blood and coronary artery-GRNs (East Asian and European), respectively (p-value &lt; 1 x 10-5; Figure 1; Supplementary figure 1-3; Supplementary table 1). 152 of the 291 genes had been previously significantly associated with CAD in the Cardiovascular Disease Knowledge Portal (Supplementary table 2).</w:t>
            </w:r>
          </w:p>
        </w:tc>
      </w:tr>
      <w:tr w:rsidR="00D8098C" w:rsidRPr="00B853C6" w14:paraId="376A6F82" w14:textId="43693FDC" w:rsidTr="00BB18FF">
        <w:tc>
          <w:tcPr>
            <w:tcW w:w="587" w:type="dxa"/>
            <w:shd w:val="clear" w:color="auto" w:fill="auto"/>
          </w:tcPr>
          <w:p w14:paraId="6B85F4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0CF2EB5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auto"/>
          </w:tcPr>
          <w:p w14:paraId="5E3BCE69"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 xml:space="preserve">Participants: Give the eligibility criteria, and the sources and methods of selection of participants. </w:t>
            </w:r>
            <w:r w:rsidRPr="00A1236D">
              <w:rPr>
                <w:rFonts w:eastAsia="Times New Roman"/>
                <w:color w:val="000000"/>
                <w:sz w:val="18"/>
                <w:szCs w:val="18"/>
              </w:rPr>
              <w:t>Report the sample size, and whether any power or sample size calculations were carried out prior to the main analysis</w:t>
            </w:r>
            <w:r w:rsidRPr="00A1236D">
              <w:rPr>
                <w:rFonts w:eastAsia="Times New Roman"/>
                <w:sz w:val="18"/>
                <w:szCs w:val="18"/>
                <w:lang w:val="en-GB" w:eastAsia="en-GB"/>
              </w:rPr>
              <w:t> </w:t>
            </w:r>
          </w:p>
        </w:tc>
        <w:tc>
          <w:tcPr>
            <w:tcW w:w="1387" w:type="dxa"/>
          </w:tcPr>
          <w:p w14:paraId="29ACC32C" w14:textId="5BB7340D" w:rsidR="00D8098C" w:rsidRPr="00A1236D" w:rsidRDefault="00612A6C" w:rsidP="00426603">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3</w:t>
            </w:r>
          </w:p>
        </w:tc>
        <w:tc>
          <w:tcPr>
            <w:tcW w:w="4000" w:type="dxa"/>
          </w:tcPr>
          <w:p w14:paraId="37C3B4C3" w14:textId="18964989" w:rsidR="00D8098C" w:rsidRDefault="00A00E94"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A00E94">
              <w:rPr>
                <w:rFonts w:eastAsia="Times New Roman"/>
                <w:sz w:val="18"/>
                <w:szCs w:val="18"/>
                <w:shd w:val="clear" w:color="auto" w:fill="FFFFFF"/>
                <w:lang w:val="en-GB" w:eastAsia="en-GB"/>
              </w:rPr>
              <w:t>To identify ancestry- and tissue-specific causal genes associated with CAD we incorporated CAD GWAS data (outcome) from two distinct ancestral groups, East Asian and Europeans from the IEU open GWAS project catalogue with the GRNs.</w:t>
            </w:r>
          </w:p>
        </w:tc>
      </w:tr>
      <w:tr w:rsidR="00EF4975" w:rsidRPr="00B853C6" w14:paraId="04B065C7" w14:textId="72F11B68" w:rsidTr="00BB18FF">
        <w:tc>
          <w:tcPr>
            <w:tcW w:w="587" w:type="dxa"/>
            <w:shd w:val="clear" w:color="auto" w:fill="EEEEEE"/>
          </w:tcPr>
          <w:p w14:paraId="09448E25" w14:textId="77777777" w:rsidR="00EF4975" w:rsidRPr="00F0337F" w:rsidRDefault="00EF4975" w:rsidP="00EF4975">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260DD299" w14:textId="77777777" w:rsidR="00EF4975" w:rsidRPr="00F0337F" w:rsidRDefault="00EF4975" w:rsidP="00EF4975">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702" w:type="dxa"/>
            <w:shd w:val="clear" w:color="auto" w:fill="EEEEEE"/>
          </w:tcPr>
          <w:p w14:paraId="7B54F10C" w14:textId="77777777" w:rsidR="00EF4975" w:rsidRPr="00A1236D" w:rsidRDefault="00EF4975" w:rsidP="00EF4975">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measurement, quality control and selection of genetic variants</w:t>
            </w:r>
          </w:p>
        </w:tc>
        <w:tc>
          <w:tcPr>
            <w:tcW w:w="1387" w:type="dxa"/>
            <w:shd w:val="clear" w:color="auto" w:fill="EEEEEE"/>
          </w:tcPr>
          <w:p w14:paraId="2CDB28F5" w14:textId="72D58753" w:rsidR="00EF4975" w:rsidRPr="00A1236D" w:rsidRDefault="00EF4975" w:rsidP="00EF4975">
            <w:pPr>
              <w:spacing w:beforeLines="40" w:before="96" w:afterLines="40" w:after="96" w:line="24" w:lineRule="atLeast"/>
              <w:rPr>
                <w:rFonts w:eastAsia="Times New Roman"/>
                <w:sz w:val="18"/>
                <w:szCs w:val="18"/>
                <w:lang w:val="en-GB" w:eastAsia="en-GB"/>
              </w:rPr>
            </w:pPr>
            <w:r>
              <w:rPr>
                <w:rFonts w:eastAsia="Times New Roman"/>
                <w:sz w:val="18"/>
                <w:szCs w:val="18"/>
                <w:shd w:val="clear" w:color="auto" w:fill="FFFFFF"/>
                <w:lang w:val="en-GB" w:eastAsia="en-GB"/>
              </w:rPr>
              <w:t>18</w:t>
            </w:r>
          </w:p>
        </w:tc>
        <w:tc>
          <w:tcPr>
            <w:tcW w:w="4000" w:type="dxa"/>
            <w:shd w:val="clear" w:color="auto" w:fill="EEEEEE"/>
          </w:tcPr>
          <w:p w14:paraId="26B556E6" w14:textId="7FD7412F" w:rsidR="00EF4975" w:rsidRDefault="00EF4975" w:rsidP="00EF4975">
            <w:pPr>
              <w:spacing w:beforeLines="40" w:before="96" w:afterLines="40" w:after="96" w:line="24" w:lineRule="atLeast"/>
              <w:rPr>
                <w:rFonts w:eastAsia="Times New Roman"/>
                <w:sz w:val="18"/>
                <w:szCs w:val="18"/>
                <w:lang w:val="en-GB" w:eastAsia="en-GB"/>
              </w:rPr>
            </w:pPr>
            <w:r w:rsidRPr="00D60C31">
              <w:rPr>
                <w:rFonts w:eastAsia="Times New Roman"/>
                <w:sz w:val="18"/>
                <w:szCs w:val="18"/>
                <w:shd w:val="clear" w:color="auto" w:fill="FFFFFF"/>
                <w:lang w:val="en-GB" w:eastAsia="en-GB"/>
              </w:rPr>
              <w:t xml:space="preserve">Two-sample mendelian randomisation was conducted using the R package </w:t>
            </w:r>
            <w:proofErr w:type="spellStart"/>
            <w:r w:rsidRPr="00D60C31">
              <w:rPr>
                <w:rFonts w:eastAsia="Times New Roman"/>
                <w:sz w:val="18"/>
                <w:szCs w:val="18"/>
                <w:shd w:val="clear" w:color="auto" w:fill="FFFFFF"/>
                <w:lang w:val="en-GB" w:eastAsia="en-GB"/>
              </w:rPr>
              <w:t>TwoSampleMR</w:t>
            </w:r>
            <w:proofErr w:type="spellEnd"/>
            <w:r w:rsidRPr="00D60C31">
              <w:rPr>
                <w:rFonts w:eastAsia="Times New Roman"/>
                <w:sz w:val="18"/>
                <w:szCs w:val="18"/>
                <w:shd w:val="clear" w:color="auto" w:fill="FFFFFF"/>
                <w:lang w:val="en-GB" w:eastAsia="en-GB"/>
              </w:rPr>
              <w:t>. We used fixed-effects, inverse-variance-weighted MR for proposed instruments that contain more than one variant and Wald ratio for proposed instruments with one variant. For proposed instruments with multiple variants, we also tested the heterogeneity across variant-level MR estimates, using the Cochrane Q method (</w:t>
            </w:r>
            <w:proofErr w:type="spellStart"/>
            <w:r w:rsidRPr="00D60C31">
              <w:rPr>
                <w:rFonts w:eastAsia="Times New Roman"/>
                <w:sz w:val="18"/>
                <w:szCs w:val="18"/>
                <w:shd w:val="clear" w:color="auto" w:fill="FFFFFF"/>
                <w:lang w:val="en-GB" w:eastAsia="en-GB"/>
              </w:rPr>
              <w:t>mr_heterogeneity</w:t>
            </w:r>
            <w:proofErr w:type="spellEnd"/>
            <w:r w:rsidRPr="00D60C31">
              <w:rPr>
                <w:rFonts w:eastAsia="Times New Roman"/>
                <w:sz w:val="18"/>
                <w:szCs w:val="18"/>
                <w:shd w:val="clear" w:color="auto" w:fill="FFFFFF"/>
                <w:lang w:val="en-GB" w:eastAsia="en-GB"/>
              </w:rPr>
              <w:t xml:space="preserve"> option in </w:t>
            </w:r>
            <w:proofErr w:type="spellStart"/>
            <w:r w:rsidRPr="00D60C31">
              <w:rPr>
                <w:rFonts w:eastAsia="Times New Roman"/>
                <w:sz w:val="18"/>
                <w:szCs w:val="18"/>
                <w:shd w:val="clear" w:color="auto" w:fill="FFFFFF"/>
                <w:lang w:val="en-GB" w:eastAsia="en-GB"/>
              </w:rPr>
              <w:t>TwoSampleMR</w:t>
            </w:r>
            <w:proofErr w:type="spellEnd"/>
            <w:r w:rsidRPr="00D60C31">
              <w:rPr>
                <w:rFonts w:eastAsia="Times New Roman"/>
                <w:sz w:val="18"/>
                <w:szCs w:val="18"/>
                <w:shd w:val="clear" w:color="auto" w:fill="FFFFFF"/>
                <w:lang w:val="en-GB" w:eastAsia="en-GB"/>
              </w:rPr>
              <w:t xml:space="preserve"> package). We defined significant MR results using a P value threshold of p &lt; 1 x 10-5.</w:t>
            </w:r>
          </w:p>
        </w:tc>
      </w:tr>
      <w:tr w:rsidR="00D8098C" w:rsidRPr="00B853C6" w14:paraId="215DDE8E" w14:textId="5C8C984B" w:rsidTr="00BB18FF">
        <w:tc>
          <w:tcPr>
            <w:tcW w:w="587" w:type="dxa"/>
            <w:shd w:val="clear" w:color="auto" w:fill="auto"/>
          </w:tcPr>
          <w:p w14:paraId="7E3D460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0FB55AD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702" w:type="dxa"/>
            <w:shd w:val="clear" w:color="auto" w:fill="auto"/>
          </w:tcPr>
          <w:p w14:paraId="3B6B6065"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For each exposure, outcome, and other relevant variables, describe methods of assessment and diagnostic criteria for diseases</w:t>
            </w:r>
          </w:p>
        </w:tc>
        <w:tc>
          <w:tcPr>
            <w:tcW w:w="1387" w:type="dxa"/>
          </w:tcPr>
          <w:p w14:paraId="37FB656C" w14:textId="340DD080" w:rsidR="00D8098C" w:rsidRPr="00A1236D" w:rsidRDefault="00F978D3" w:rsidP="00426603">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18</w:t>
            </w:r>
          </w:p>
        </w:tc>
        <w:tc>
          <w:tcPr>
            <w:tcW w:w="4000" w:type="dxa"/>
          </w:tcPr>
          <w:p w14:paraId="18BB4B57" w14:textId="727518F4" w:rsidR="00E1269E" w:rsidRDefault="00F978D3" w:rsidP="00E1269E">
            <w:pPr>
              <w:spacing w:beforeLines="40" w:before="96" w:afterLines="40" w:after="96" w:line="24" w:lineRule="atLeast"/>
              <w:textAlignment w:val="baseline"/>
              <w:rPr>
                <w:rFonts w:eastAsia="Times New Roman"/>
                <w:sz w:val="18"/>
                <w:szCs w:val="18"/>
                <w:shd w:val="clear" w:color="auto" w:fill="FFFFFF"/>
                <w:lang w:val="en-GB" w:eastAsia="en-GB"/>
              </w:rPr>
            </w:pPr>
            <w:r w:rsidRPr="00D60C31">
              <w:rPr>
                <w:rFonts w:eastAsia="Times New Roman"/>
                <w:sz w:val="18"/>
                <w:szCs w:val="18"/>
                <w:shd w:val="clear" w:color="auto" w:fill="FFFFFF"/>
                <w:lang w:val="en-GB" w:eastAsia="en-GB"/>
              </w:rPr>
              <w:t>Causal genes were checked for overlaps within the Cardiovascular Disease Knowledge Portal, which aggregates and analyses genetic association results, epigenomic annotations, and results of computational prediction methods to provide data, visualizations, and tools in an open-access portal</w:t>
            </w:r>
          </w:p>
        </w:tc>
      </w:tr>
      <w:tr w:rsidR="00D8098C" w:rsidRPr="00B853C6" w14:paraId="69A6C8B1" w14:textId="39D94CE4" w:rsidTr="00BB18FF">
        <w:tc>
          <w:tcPr>
            <w:tcW w:w="587" w:type="dxa"/>
            <w:shd w:val="clear" w:color="auto" w:fill="EEEEEE"/>
          </w:tcPr>
          <w:p w14:paraId="292FBB9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273C46B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702" w:type="dxa"/>
            <w:shd w:val="clear" w:color="auto" w:fill="EEEEEE"/>
          </w:tcPr>
          <w:p w14:paraId="4E713FBB" w14:textId="77777777" w:rsidR="00D8098C" w:rsidRPr="00A1236D" w:rsidRDefault="00D8098C" w:rsidP="00426603">
            <w:pPr>
              <w:spacing w:beforeLines="40" w:before="96" w:afterLines="40" w:after="96" w:line="24" w:lineRule="atLeast"/>
              <w:textAlignment w:val="baseline"/>
              <w:rPr>
                <w:rFonts w:eastAsia="Cambria"/>
                <w:sz w:val="18"/>
                <w:szCs w:val="18"/>
                <w:lang w:val="en-GB" w:eastAsia="en-US"/>
              </w:rPr>
            </w:pPr>
            <w:r w:rsidRPr="00A1236D">
              <w:rPr>
                <w:rFonts w:eastAsia="Times New Roman"/>
                <w:sz w:val="18"/>
                <w:szCs w:val="18"/>
                <w:shd w:val="clear" w:color="auto" w:fill="FFFFFF"/>
                <w:lang w:val="en-GB" w:eastAsia="en-GB"/>
              </w:rPr>
              <w:t>Provide details of ethics committee approval and participant informed consent, if relevant</w:t>
            </w:r>
          </w:p>
        </w:tc>
        <w:tc>
          <w:tcPr>
            <w:tcW w:w="1387" w:type="dxa"/>
            <w:shd w:val="clear" w:color="auto" w:fill="EEEEEE"/>
          </w:tcPr>
          <w:p w14:paraId="2754FA07" w14:textId="2AC72D3C" w:rsidR="00D8098C" w:rsidRPr="00A1236D" w:rsidRDefault="00BB76CC" w:rsidP="00426603">
            <w:pPr>
              <w:spacing w:beforeLines="40" w:before="96" w:afterLines="40" w:after="96" w:line="24" w:lineRule="atLeast"/>
              <w:textAlignment w:val="baseline"/>
              <w:rPr>
                <w:rFonts w:eastAsia="Times New Roman"/>
                <w:sz w:val="18"/>
                <w:szCs w:val="18"/>
                <w:shd w:val="clear" w:color="auto" w:fill="FFFFFF"/>
                <w:lang w:val="en-GB" w:eastAsia="en-GB"/>
              </w:rPr>
            </w:pPr>
            <w:r>
              <w:rPr>
                <w:rFonts w:eastAsia="Times New Roman"/>
                <w:sz w:val="18"/>
                <w:szCs w:val="18"/>
                <w:shd w:val="clear" w:color="auto" w:fill="FFFFFF"/>
                <w:lang w:val="en-GB" w:eastAsia="en-GB"/>
              </w:rPr>
              <w:t>15</w:t>
            </w:r>
          </w:p>
        </w:tc>
        <w:tc>
          <w:tcPr>
            <w:tcW w:w="4000" w:type="dxa"/>
            <w:shd w:val="clear" w:color="auto" w:fill="EEEEEE"/>
          </w:tcPr>
          <w:p w14:paraId="6067A95B" w14:textId="0806F8B9" w:rsidR="00D8098C" w:rsidRDefault="000267E1" w:rsidP="00426603">
            <w:pPr>
              <w:spacing w:beforeLines="40" w:before="96" w:afterLines="40" w:after="96" w:line="24" w:lineRule="atLeast"/>
              <w:textAlignment w:val="baseline"/>
              <w:rPr>
                <w:rFonts w:eastAsia="Times New Roman"/>
                <w:sz w:val="18"/>
                <w:szCs w:val="18"/>
                <w:shd w:val="clear" w:color="auto" w:fill="FFFFFF"/>
                <w:lang w:val="en-GB" w:eastAsia="en-GB"/>
              </w:rPr>
            </w:pPr>
            <w:r w:rsidRPr="000267E1">
              <w:rPr>
                <w:rFonts w:eastAsia="Times New Roman"/>
                <w:sz w:val="18"/>
                <w:szCs w:val="18"/>
                <w:shd w:val="clear" w:color="auto" w:fill="FFFFFF"/>
                <w:lang w:val="en-GB" w:eastAsia="en-GB"/>
              </w:rPr>
              <w:t>This project was performed under approval from the University of Auckland Human Participants Ethics Committee (project number UAHPEC-020905; Decoding SNPs in context).</w:t>
            </w:r>
          </w:p>
        </w:tc>
      </w:tr>
      <w:tr w:rsidR="00D8098C" w:rsidRPr="00B853C6" w14:paraId="23EA53EC" w14:textId="1D3E4E77" w:rsidTr="00BB18FF">
        <w:tc>
          <w:tcPr>
            <w:tcW w:w="587" w:type="dxa"/>
            <w:shd w:val="clear" w:color="auto" w:fill="auto"/>
          </w:tcPr>
          <w:p w14:paraId="3E6E0D6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5</w:t>
            </w:r>
          </w:p>
        </w:tc>
        <w:tc>
          <w:tcPr>
            <w:tcW w:w="1814" w:type="dxa"/>
            <w:shd w:val="clear" w:color="auto" w:fill="auto"/>
          </w:tcPr>
          <w:p w14:paraId="1F0455B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Assumptions</w:t>
            </w:r>
          </w:p>
          <w:p w14:paraId="0458797D" w14:textId="77777777" w:rsidR="00D8098C" w:rsidRPr="00F0337F" w:rsidRDefault="00D8098C" w:rsidP="00426603">
            <w:pPr>
              <w:spacing w:beforeLines="40" w:before="96" w:afterLines="40" w:after="96" w:line="24" w:lineRule="atLeast"/>
              <w:jc w:val="center"/>
              <w:rPr>
                <w:rFonts w:eastAsia="Cambria"/>
                <w:sz w:val="18"/>
                <w:szCs w:val="18"/>
                <w:lang w:val="en-GB" w:eastAsia="en-US"/>
              </w:rPr>
            </w:pPr>
          </w:p>
        </w:tc>
        <w:tc>
          <w:tcPr>
            <w:tcW w:w="6702" w:type="dxa"/>
            <w:shd w:val="clear" w:color="auto" w:fill="auto"/>
          </w:tcPr>
          <w:p w14:paraId="5139727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1387" w:type="dxa"/>
          </w:tcPr>
          <w:p w14:paraId="6A2AE76D" w14:textId="09101E90" w:rsidR="00D8098C" w:rsidRPr="00A1236D" w:rsidRDefault="00FE074B"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3</w:t>
            </w:r>
          </w:p>
        </w:tc>
        <w:tc>
          <w:tcPr>
            <w:tcW w:w="4000" w:type="dxa"/>
          </w:tcPr>
          <w:p w14:paraId="7A54DE1B" w14:textId="78D21B17" w:rsidR="00D8098C" w:rsidRDefault="00B675A2" w:rsidP="00426603">
            <w:pPr>
              <w:spacing w:beforeLines="40" w:before="96" w:afterLines="40" w:after="96" w:line="24" w:lineRule="atLeast"/>
              <w:rPr>
                <w:rFonts w:eastAsia="Times New Roman"/>
                <w:sz w:val="18"/>
                <w:szCs w:val="18"/>
                <w:lang w:val="en-GB" w:eastAsia="en-GB"/>
              </w:rPr>
            </w:pPr>
            <w:r w:rsidRPr="00B675A2">
              <w:rPr>
                <w:rFonts w:eastAsia="Times New Roman"/>
                <w:sz w:val="18"/>
                <w:szCs w:val="18"/>
                <w:lang w:val="en-GB" w:eastAsia="en-GB"/>
              </w:rPr>
              <w:t>Briefly, the GRNs were generated by assessing all known human SNPs for spatial interactions with genes from tissue/cell-specific chromatin conformation (</w:t>
            </w:r>
            <w:proofErr w:type="spellStart"/>
            <w:r w:rsidRPr="00B675A2">
              <w:rPr>
                <w:rFonts w:eastAsia="Times New Roman"/>
                <w:sz w:val="18"/>
                <w:szCs w:val="18"/>
                <w:lang w:val="en-GB" w:eastAsia="en-GB"/>
              </w:rPr>
              <w:t>ie</w:t>
            </w:r>
            <w:proofErr w:type="spellEnd"/>
            <w:r w:rsidRPr="00B675A2">
              <w:rPr>
                <w:rFonts w:eastAsia="Times New Roman"/>
                <w:sz w:val="18"/>
                <w:szCs w:val="18"/>
                <w:lang w:val="en-GB" w:eastAsia="en-GB"/>
              </w:rPr>
              <w:t xml:space="preserve"> Hi-C) data, then parsing these SNP-gene pairs through GTEx for eQTL activity within the same tissues. In order to be included in the MR , an eQTL variant must (i) exhibit strong associations with the exposure, (ii) be associated with the outcome through the tested exposure only, and (iii) have no associations with any potential confounders that affect the outcome. Genetic variants meeting those assumptions are termed instrumental variables (IVs). Therefore, we </w:t>
            </w:r>
            <w:r w:rsidRPr="00B675A2">
              <w:rPr>
                <w:rFonts w:eastAsia="Times New Roman"/>
                <w:sz w:val="18"/>
                <w:szCs w:val="18"/>
                <w:lang w:val="en-GB" w:eastAsia="en-GB"/>
              </w:rPr>
              <w:lastRenderedPageBreak/>
              <w:t>filtered each GRN for eQTLs with a p &lt; 1 x 10-5 and performed LD clumping (r2 &lt; 0.001, 10Mb away with a European population reference). The resulting spatial-eQTLs (sceQTLs) were used as IVs for MR.</w:t>
            </w:r>
          </w:p>
        </w:tc>
      </w:tr>
      <w:tr w:rsidR="00D8098C" w:rsidRPr="00B853C6" w14:paraId="6209F8C8" w14:textId="78A53B40" w:rsidTr="00BB18FF">
        <w:tc>
          <w:tcPr>
            <w:tcW w:w="587" w:type="dxa"/>
            <w:shd w:val="clear" w:color="auto" w:fill="EEEEEE"/>
          </w:tcPr>
          <w:p w14:paraId="6FA239C8"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6</w:t>
            </w:r>
          </w:p>
        </w:tc>
        <w:tc>
          <w:tcPr>
            <w:tcW w:w="1814" w:type="dxa"/>
            <w:shd w:val="clear" w:color="auto" w:fill="EEEEEE"/>
          </w:tcPr>
          <w:p w14:paraId="3D8F9E93"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Statistical methods: main analysis</w:t>
            </w:r>
          </w:p>
        </w:tc>
        <w:tc>
          <w:tcPr>
            <w:tcW w:w="6702" w:type="dxa"/>
            <w:shd w:val="clear" w:color="auto" w:fill="EEEEEE"/>
          </w:tcPr>
          <w:p w14:paraId="49C33D0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statistical methods and statistics used</w:t>
            </w:r>
          </w:p>
        </w:tc>
        <w:tc>
          <w:tcPr>
            <w:tcW w:w="1387" w:type="dxa"/>
            <w:shd w:val="clear" w:color="auto" w:fill="EEEEEE"/>
          </w:tcPr>
          <w:p w14:paraId="0D1191B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shd w:val="clear" w:color="auto" w:fill="EEEEEE"/>
          </w:tcPr>
          <w:p w14:paraId="75DF0C4B" w14:textId="22BA93AE"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4346E621" w14:textId="11B8B572" w:rsidTr="00BB18FF">
        <w:tc>
          <w:tcPr>
            <w:tcW w:w="587" w:type="dxa"/>
            <w:shd w:val="clear" w:color="auto" w:fill="auto"/>
          </w:tcPr>
          <w:p w14:paraId="339A016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3635743C"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auto"/>
          </w:tcPr>
          <w:p w14:paraId="3BB90022"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7748CD">
              <w:rPr>
                <w:rFonts w:eastAsia="Times New Roman"/>
                <w:sz w:val="18"/>
                <w:szCs w:val="18"/>
                <w:lang w:val="en-GB" w:eastAsia="en-GB"/>
              </w:rPr>
              <w:t>Describe how quantitative variables were handled in the analyses (i.e., scale, units, model)</w:t>
            </w:r>
          </w:p>
        </w:tc>
        <w:tc>
          <w:tcPr>
            <w:tcW w:w="1387" w:type="dxa"/>
          </w:tcPr>
          <w:p w14:paraId="280CBEE6" w14:textId="5BC3FA99" w:rsidR="00201D06" w:rsidRDefault="00201D06"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Throughout</w:t>
            </w:r>
          </w:p>
          <w:p w14:paraId="22720A53" w14:textId="4B87DD6F" w:rsidR="00D8098C" w:rsidRPr="00A1236D" w:rsidRDefault="00201D06"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6</w:t>
            </w:r>
          </w:p>
        </w:tc>
        <w:tc>
          <w:tcPr>
            <w:tcW w:w="4000" w:type="dxa"/>
          </w:tcPr>
          <w:p w14:paraId="76A7E118" w14:textId="77777777" w:rsidR="00201D06" w:rsidRDefault="007748CD" w:rsidP="00426603">
            <w:pPr>
              <w:spacing w:beforeLines="40" w:before="96" w:afterLines="40" w:after="96" w:line="24" w:lineRule="atLeast"/>
              <w:rPr>
                <w:rFonts w:eastAsia="Times New Roman"/>
                <w:sz w:val="18"/>
                <w:szCs w:val="18"/>
                <w:lang w:val="en-GB" w:eastAsia="en-GB"/>
              </w:rPr>
            </w:pPr>
            <w:r w:rsidRPr="007748CD">
              <w:rPr>
                <w:rFonts w:eastAsia="Times New Roman"/>
                <w:sz w:val="18"/>
                <w:szCs w:val="18"/>
                <w:lang w:val="en-GB" w:eastAsia="en-GB"/>
              </w:rPr>
              <w:t>All results correspond to an odds ratio (OR).</w:t>
            </w:r>
          </w:p>
          <w:p w14:paraId="2A2029EC" w14:textId="21735A0B" w:rsidR="007748CD" w:rsidRDefault="00201D06" w:rsidP="00426603">
            <w:pPr>
              <w:spacing w:beforeLines="40" w:before="96" w:afterLines="40" w:after="96" w:line="24" w:lineRule="atLeast"/>
              <w:rPr>
                <w:rFonts w:eastAsia="Times New Roman"/>
                <w:sz w:val="18"/>
                <w:szCs w:val="18"/>
                <w:lang w:val="en-GB" w:eastAsia="en-GB"/>
              </w:rPr>
            </w:pPr>
            <w:r w:rsidRPr="00201D06">
              <w:rPr>
                <w:rFonts w:eastAsia="Times New Roman"/>
                <w:sz w:val="18"/>
                <w:szCs w:val="18"/>
                <w:lang w:val="en-GB" w:eastAsia="en-GB"/>
              </w:rPr>
              <w:t>The OR of causal CAD genes per 1-SD change in gene expression in the three tested tissues.</w:t>
            </w:r>
          </w:p>
          <w:p w14:paraId="76159846" w14:textId="3FD178DD"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642A4D4B" w14:textId="4880F3BA" w:rsidTr="00BB18FF">
        <w:tc>
          <w:tcPr>
            <w:tcW w:w="587" w:type="dxa"/>
            <w:shd w:val="clear" w:color="auto" w:fill="EEEEEE"/>
          </w:tcPr>
          <w:p w14:paraId="11F7484C"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569D49F3"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EEEEEE"/>
          </w:tcPr>
          <w:p w14:paraId="6B2ACDE9"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how genetic variants were handled in the analyses and, if applicable, how their weights were selected</w:t>
            </w:r>
          </w:p>
        </w:tc>
        <w:tc>
          <w:tcPr>
            <w:tcW w:w="1387" w:type="dxa"/>
            <w:shd w:val="clear" w:color="auto" w:fill="EEEEEE"/>
          </w:tcPr>
          <w:p w14:paraId="0DAE64B0" w14:textId="14E07FCE" w:rsidR="00D8098C" w:rsidRPr="00A1236D" w:rsidRDefault="00A4569B"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Methods</w:t>
            </w:r>
          </w:p>
        </w:tc>
        <w:tc>
          <w:tcPr>
            <w:tcW w:w="4000" w:type="dxa"/>
            <w:shd w:val="clear" w:color="auto" w:fill="EEEEEE"/>
          </w:tcPr>
          <w:p w14:paraId="72F8A07B" w14:textId="052FEF8A" w:rsidR="00852411" w:rsidRDefault="006A51EF" w:rsidP="007748CD">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There is an extensive description of how variants were handled for both the MR and GRN generation</w:t>
            </w:r>
            <w:r w:rsidR="00852411" w:rsidRPr="00852411">
              <w:rPr>
                <w:rFonts w:eastAsia="Times New Roman"/>
                <w:sz w:val="18"/>
                <w:szCs w:val="18"/>
                <w:lang w:val="en-GB" w:eastAsia="en-GB"/>
              </w:rPr>
              <w:t>.</w:t>
            </w:r>
          </w:p>
          <w:p w14:paraId="1612F89F" w14:textId="64139B6F" w:rsidR="00852411" w:rsidRDefault="00852411" w:rsidP="007748CD">
            <w:pPr>
              <w:spacing w:beforeLines="40" w:before="96" w:afterLines="40" w:after="96" w:line="24" w:lineRule="atLeast"/>
              <w:rPr>
                <w:rFonts w:eastAsia="Times New Roman"/>
                <w:sz w:val="18"/>
                <w:szCs w:val="18"/>
                <w:lang w:val="en-GB" w:eastAsia="en-GB"/>
              </w:rPr>
            </w:pPr>
          </w:p>
        </w:tc>
      </w:tr>
      <w:tr w:rsidR="00D8098C" w:rsidRPr="00B853C6" w14:paraId="70378831" w14:textId="0868B0A4" w:rsidTr="00BB18FF">
        <w:tc>
          <w:tcPr>
            <w:tcW w:w="587" w:type="dxa"/>
            <w:shd w:val="clear" w:color="auto" w:fill="auto"/>
          </w:tcPr>
          <w:p w14:paraId="45E414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59F665E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702" w:type="dxa"/>
            <w:shd w:val="clear" w:color="auto" w:fill="auto"/>
          </w:tcPr>
          <w:p w14:paraId="5CB03D9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1387" w:type="dxa"/>
          </w:tcPr>
          <w:p w14:paraId="1275A0CB" w14:textId="77777777" w:rsidR="00D8098C" w:rsidRDefault="00931397"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3</w:t>
            </w:r>
          </w:p>
          <w:p w14:paraId="7B7E7C35" w14:textId="25B68430" w:rsidR="00543488" w:rsidRPr="00A1236D" w:rsidRDefault="00543488" w:rsidP="00426603">
            <w:pPr>
              <w:spacing w:beforeLines="40" w:before="96" w:afterLines="40" w:after="96" w:line="24" w:lineRule="atLeast"/>
              <w:rPr>
                <w:rFonts w:eastAsia="Times New Roman"/>
                <w:sz w:val="18"/>
                <w:szCs w:val="18"/>
                <w:lang w:val="en-GB" w:eastAsia="en-GB"/>
              </w:rPr>
            </w:pPr>
          </w:p>
        </w:tc>
        <w:tc>
          <w:tcPr>
            <w:tcW w:w="4000" w:type="dxa"/>
          </w:tcPr>
          <w:p w14:paraId="334D44EB" w14:textId="3616A938" w:rsidR="00543488" w:rsidRDefault="00B737D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w:t>
            </w:r>
            <w:r w:rsidR="00F52A7D" w:rsidRPr="00F52A7D">
              <w:rPr>
                <w:rFonts w:eastAsia="Times New Roman"/>
                <w:sz w:val="18"/>
                <w:szCs w:val="18"/>
                <w:lang w:val="en-GB" w:eastAsia="en-GB"/>
              </w:rPr>
              <w:t>all MR estimates derived from these genes are based on the Wald ratio method38. MR estimates derived on the genes with multiple sceQTLs are based on the fixed-effects, inverse-variance-weighted (IVW-</w:t>
            </w:r>
            <w:proofErr w:type="spellStart"/>
            <w:r w:rsidR="00F52A7D" w:rsidRPr="00F52A7D">
              <w:rPr>
                <w:rFonts w:eastAsia="Times New Roman"/>
                <w:sz w:val="18"/>
                <w:szCs w:val="18"/>
                <w:lang w:val="en-GB" w:eastAsia="en-GB"/>
              </w:rPr>
              <w:t>fe</w:t>
            </w:r>
            <w:proofErr w:type="spellEnd"/>
            <w:r w:rsidR="00F52A7D" w:rsidRPr="00F52A7D">
              <w:rPr>
                <w:rFonts w:eastAsia="Times New Roman"/>
                <w:sz w:val="18"/>
                <w:szCs w:val="18"/>
                <w:lang w:val="en-GB" w:eastAsia="en-GB"/>
              </w:rPr>
              <w:t>) method. No causal genes were identified using the IVW-fe method</w:t>
            </w:r>
            <w:r w:rsidR="007A0803">
              <w:rPr>
                <w:rFonts w:eastAsia="Times New Roman"/>
                <w:sz w:val="18"/>
                <w:szCs w:val="18"/>
                <w:lang w:val="en-GB" w:eastAsia="en-GB"/>
              </w:rPr>
              <w:t>.</w:t>
            </w:r>
          </w:p>
        </w:tc>
      </w:tr>
      <w:tr w:rsidR="00D8098C" w:rsidRPr="00B853C6" w14:paraId="0D8F3A7E" w14:textId="14623463" w:rsidTr="00BB18FF">
        <w:tc>
          <w:tcPr>
            <w:tcW w:w="587" w:type="dxa"/>
            <w:shd w:val="clear" w:color="auto" w:fill="EEEEEE"/>
          </w:tcPr>
          <w:p w14:paraId="1D70C4C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0A3AAFD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702" w:type="dxa"/>
            <w:shd w:val="clear" w:color="auto" w:fill="EEEEEE"/>
          </w:tcPr>
          <w:p w14:paraId="0878638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Explain how missing data were addressed</w:t>
            </w:r>
          </w:p>
        </w:tc>
        <w:tc>
          <w:tcPr>
            <w:tcW w:w="1387" w:type="dxa"/>
            <w:shd w:val="clear" w:color="auto" w:fill="EEEEEE"/>
          </w:tcPr>
          <w:p w14:paraId="297C3632" w14:textId="68138A13" w:rsidR="00D8098C" w:rsidRPr="00A1236D" w:rsidRDefault="00F52A7D"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c>
          <w:tcPr>
            <w:tcW w:w="4000" w:type="dxa"/>
            <w:shd w:val="clear" w:color="auto" w:fill="EEEEEE"/>
          </w:tcPr>
          <w:p w14:paraId="16808665" w14:textId="50A4FC74" w:rsidR="00D8098C" w:rsidRDefault="00D8098C" w:rsidP="00426603">
            <w:pPr>
              <w:spacing w:beforeLines="40" w:before="96" w:afterLines="40" w:after="96" w:line="24" w:lineRule="atLeast"/>
              <w:rPr>
                <w:rFonts w:eastAsia="Times New Roman"/>
                <w:sz w:val="18"/>
                <w:szCs w:val="18"/>
                <w:lang w:val="en-GB" w:eastAsia="en-GB"/>
              </w:rPr>
            </w:pPr>
          </w:p>
        </w:tc>
      </w:tr>
      <w:tr w:rsidR="00D8098C" w:rsidRPr="00B853C6" w14:paraId="77F037B8" w14:textId="6696FA54" w:rsidTr="00BB18FF">
        <w:tc>
          <w:tcPr>
            <w:tcW w:w="587" w:type="dxa"/>
            <w:shd w:val="clear" w:color="auto" w:fill="auto"/>
          </w:tcPr>
          <w:p w14:paraId="4AC39E5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4D9E035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702" w:type="dxa"/>
            <w:shd w:val="clear" w:color="auto" w:fill="auto"/>
          </w:tcPr>
          <w:p w14:paraId="41F1E52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applicable, indicate how multiple testing was addressed</w:t>
            </w:r>
          </w:p>
        </w:tc>
        <w:tc>
          <w:tcPr>
            <w:tcW w:w="1387" w:type="dxa"/>
          </w:tcPr>
          <w:p w14:paraId="6B5C4982" w14:textId="10B1C329" w:rsidR="00D8098C" w:rsidRPr="00A1236D" w:rsidRDefault="00B737D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3</w:t>
            </w:r>
          </w:p>
        </w:tc>
        <w:tc>
          <w:tcPr>
            <w:tcW w:w="4000" w:type="dxa"/>
          </w:tcPr>
          <w:p w14:paraId="490E44D4" w14:textId="324DE888" w:rsidR="00D8098C" w:rsidRDefault="00B737D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w:t>
            </w:r>
            <w:r w:rsidRPr="00F52A7D">
              <w:rPr>
                <w:rFonts w:eastAsia="Times New Roman"/>
                <w:sz w:val="18"/>
                <w:szCs w:val="18"/>
                <w:lang w:val="en-GB" w:eastAsia="en-GB"/>
              </w:rPr>
              <w:t>all MR estimates derived from these genes are based on the Wald ratio method38. MR estimates derived on the genes with multiple sceQTLs are based on the fixed-effects, inverse-variance-weighted (IVW-</w:t>
            </w:r>
            <w:proofErr w:type="spellStart"/>
            <w:r w:rsidRPr="00F52A7D">
              <w:rPr>
                <w:rFonts w:eastAsia="Times New Roman"/>
                <w:sz w:val="18"/>
                <w:szCs w:val="18"/>
                <w:lang w:val="en-GB" w:eastAsia="en-GB"/>
              </w:rPr>
              <w:t>fe</w:t>
            </w:r>
            <w:proofErr w:type="spellEnd"/>
            <w:r w:rsidRPr="00F52A7D">
              <w:rPr>
                <w:rFonts w:eastAsia="Times New Roman"/>
                <w:sz w:val="18"/>
                <w:szCs w:val="18"/>
                <w:lang w:val="en-GB" w:eastAsia="en-GB"/>
              </w:rPr>
              <w:t>) method. No causal genes were identified using the IVW-fe method.</w:t>
            </w:r>
          </w:p>
        </w:tc>
      </w:tr>
      <w:tr w:rsidR="00D8098C" w:rsidRPr="00B853C6" w14:paraId="585043CE" w14:textId="4922F612" w:rsidTr="00BB18FF">
        <w:tc>
          <w:tcPr>
            <w:tcW w:w="587" w:type="dxa"/>
            <w:shd w:val="clear" w:color="auto" w:fill="EEEEEE"/>
          </w:tcPr>
          <w:p w14:paraId="55967D0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7</w:t>
            </w:r>
          </w:p>
        </w:tc>
        <w:tc>
          <w:tcPr>
            <w:tcW w:w="1814" w:type="dxa"/>
            <w:shd w:val="clear" w:color="auto" w:fill="EEEEEE"/>
          </w:tcPr>
          <w:p w14:paraId="0947B164"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702" w:type="dxa"/>
            <w:shd w:val="clear" w:color="auto" w:fill="EEEEEE"/>
          </w:tcPr>
          <w:p w14:paraId="1E6D0B1E" w14:textId="77777777" w:rsidR="00D8098C" w:rsidRPr="00CA21F1" w:rsidRDefault="00D8098C" w:rsidP="00426603">
            <w:pPr>
              <w:tabs>
                <w:tab w:val="left" w:pos="1620"/>
              </w:tabs>
              <w:spacing w:beforeLines="40" w:before="96" w:afterLines="40" w:after="96" w:line="24" w:lineRule="atLeast"/>
              <w:rPr>
                <w:rFonts w:eastAsia="Cambria"/>
                <w:sz w:val="18"/>
                <w:szCs w:val="18"/>
                <w:highlight w:val="yellow"/>
                <w:lang w:val="en-GB" w:eastAsia="en-US"/>
              </w:rPr>
            </w:pPr>
            <w:r w:rsidRPr="00156675">
              <w:rPr>
                <w:rFonts w:eastAsia="Times New Roman"/>
                <w:sz w:val="18"/>
                <w:szCs w:val="18"/>
                <w:lang w:val="en-GB" w:eastAsia="en-GB"/>
              </w:rPr>
              <w:t>Describe any methods or prior knowledge used to assess the assumptions or justify their validity</w:t>
            </w:r>
            <w:r w:rsidRPr="00156675">
              <w:rPr>
                <w:rFonts w:eastAsia="Cambria"/>
                <w:sz w:val="18"/>
                <w:szCs w:val="18"/>
                <w:lang w:val="en-GB" w:eastAsia="en-US"/>
              </w:rPr>
              <w:tab/>
            </w:r>
          </w:p>
        </w:tc>
        <w:tc>
          <w:tcPr>
            <w:tcW w:w="1387" w:type="dxa"/>
            <w:shd w:val="clear" w:color="auto" w:fill="EEEEEE"/>
          </w:tcPr>
          <w:p w14:paraId="61C50F74" w14:textId="77163E1A" w:rsidR="00D8098C" w:rsidRPr="00A1236D" w:rsidRDefault="00B63949" w:rsidP="00426603">
            <w:pPr>
              <w:tabs>
                <w:tab w:val="left" w:pos="162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18</w:t>
            </w:r>
          </w:p>
        </w:tc>
        <w:tc>
          <w:tcPr>
            <w:tcW w:w="4000" w:type="dxa"/>
            <w:shd w:val="clear" w:color="auto" w:fill="EEEEEE"/>
          </w:tcPr>
          <w:p w14:paraId="5D46DB2B" w14:textId="26EAF675" w:rsidR="00D8098C" w:rsidRDefault="00B63949" w:rsidP="00426603">
            <w:pPr>
              <w:tabs>
                <w:tab w:val="left" w:pos="1620"/>
              </w:tabs>
              <w:spacing w:beforeLines="40" w:before="96" w:afterLines="40" w:after="96" w:line="24" w:lineRule="atLeast"/>
              <w:rPr>
                <w:rFonts w:eastAsia="Times New Roman"/>
                <w:sz w:val="18"/>
                <w:szCs w:val="18"/>
                <w:lang w:val="en-GB" w:eastAsia="en-GB"/>
              </w:rPr>
            </w:pPr>
            <w:r w:rsidRPr="00B63949">
              <w:rPr>
                <w:rFonts w:eastAsia="Times New Roman"/>
                <w:sz w:val="18"/>
                <w:szCs w:val="18"/>
                <w:lang w:val="en-GB" w:eastAsia="en-GB"/>
              </w:rPr>
              <w:t>Causal genes were checked for overlaps within the Cardiovascular Disease Knowledge Portal, which aggregates and analyses genetic association results, epigenomic annotations, and results of computational prediction methods to provide data, visualizations, and tools in an open-access portal.</w:t>
            </w:r>
          </w:p>
        </w:tc>
      </w:tr>
      <w:tr w:rsidR="00D8098C" w:rsidRPr="00B853C6" w14:paraId="383932D9" w14:textId="2C1AFE56" w:rsidTr="00BB18FF">
        <w:tc>
          <w:tcPr>
            <w:tcW w:w="587" w:type="dxa"/>
            <w:shd w:val="clear" w:color="auto" w:fill="auto"/>
          </w:tcPr>
          <w:p w14:paraId="1A4621B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8</w:t>
            </w:r>
          </w:p>
        </w:tc>
        <w:tc>
          <w:tcPr>
            <w:tcW w:w="1814" w:type="dxa"/>
            <w:shd w:val="clear" w:color="auto" w:fill="auto"/>
          </w:tcPr>
          <w:p w14:paraId="0F88F25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Sensitivity analyses and additional analyses</w:t>
            </w:r>
          </w:p>
        </w:tc>
        <w:tc>
          <w:tcPr>
            <w:tcW w:w="6702" w:type="dxa"/>
            <w:shd w:val="clear" w:color="auto" w:fill="auto"/>
          </w:tcPr>
          <w:p w14:paraId="13C6445C" w14:textId="77777777" w:rsidR="00D8098C" w:rsidRPr="00CA21F1" w:rsidRDefault="00D8098C" w:rsidP="00426603">
            <w:pPr>
              <w:spacing w:beforeLines="40" w:before="96" w:afterLines="40" w:after="96" w:line="24" w:lineRule="atLeast"/>
              <w:rPr>
                <w:rFonts w:eastAsia="Cambria"/>
                <w:sz w:val="18"/>
                <w:szCs w:val="18"/>
                <w:highlight w:val="yellow"/>
                <w:lang w:val="en-GB" w:eastAsia="en-US"/>
              </w:rPr>
            </w:pPr>
            <w:r w:rsidRPr="00156675">
              <w:rPr>
                <w:rFonts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1387" w:type="dxa"/>
          </w:tcPr>
          <w:p w14:paraId="4B9B6FF5" w14:textId="65F9F8E8" w:rsidR="00D8098C" w:rsidRPr="00A1236D" w:rsidRDefault="007A080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18</w:t>
            </w:r>
          </w:p>
        </w:tc>
        <w:tc>
          <w:tcPr>
            <w:tcW w:w="4000" w:type="dxa"/>
          </w:tcPr>
          <w:p w14:paraId="229BFDFD" w14:textId="4D673335" w:rsidR="00D8098C" w:rsidRDefault="007A0803" w:rsidP="00426603">
            <w:pPr>
              <w:spacing w:beforeLines="40" w:before="96" w:afterLines="40" w:after="96" w:line="24" w:lineRule="atLeast"/>
              <w:rPr>
                <w:rFonts w:eastAsia="Times New Roman"/>
                <w:sz w:val="18"/>
                <w:szCs w:val="18"/>
                <w:lang w:val="en-GB" w:eastAsia="en-GB"/>
              </w:rPr>
            </w:pPr>
            <w:r w:rsidRPr="00543488">
              <w:rPr>
                <w:rFonts w:eastAsia="Times New Roman"/>
                <w:sz w:val="18"/>
                <w:szCs w:val="18"/>
                <w:lang w:val="en-GB" w:eastAsia="en-GB"/>
              </w:rPr>
              <w:t>For proposed instruments with multiple variants, we also tested the heterogeneity across variant-level MR estimates, using the Cochrane Q method (</w:t>
            </w:r>
            <w:proofErr w:type="spellStart"/>
            <w:r w:rsidRPr="00543488">
              <w:rPr>
                <w:rFonts w:eastAsia="Times New Roman"/>
                <w:sz w:val="18"/>
                <w:szCs w:val="18"/>
                <w:lang w:val="en-GB" w:eastAsia="en-GB"/>
              </w:rPr>
              <w:t>mr_heterogeneity</w:t>
            </w:r>
            <w:proofErr w:type="spellEnd"/>
            <w:r w:rsidRPr="00543488">
              <w:rPr>
                <w:rFonts w:eastAsia="Times New Roman"/>
                <w:sz w:val="18"/>
                <w:szCs w:val="18"/>
                <w:lang w:val="en-GB" w:eastAsia="en-GB"/>
              </w:rPr>
              <w:t xml:space="preserve"> option in </w:t>
            </w:r>
            <w:proofErr w:type="spellStart"/>
            <w:r w:rsidRPr="00543488">
              <w:rPr>
                <w:rFonts w:eastAsia="Times New Roman"/>
                <w:sz w:val="18"/>
                <w:szCs w:val="18"/>
                <w:lang w:val="en-GB" w:eastAsia="en-GB"/>
              </w:rPr>
              <w:t>TwoSampleMR</w:t>
            </w:r>
            <w:proofErr w:type="spellEnd"/>
            <w:r w:rsidRPr="00543488">
              <w:rPr>
                <w:rFonts w:eastAsia="Times New Roman"/>
                <w:sz w:val="18"/>
                <w:szCs w:val="18"/>
                <w:lang w:val="en-GB" w:eastAsia="en-GB"/>
              </w:rPr>
              <w:t xml:space="preserve"> package).</w:t>
            </w:r>
            <w:proofErr w:type="spellStart"/>
            <w:r w:rsidR="00156675">
              <w:rPr>
                <w:rFonts w:eastAsia="Times New Roman"/>
                <w:sz w:val="18"/>
                <w:szCs w:val="18"/>
                <w:lang w:val="en-GB" w:eastAsia="en-GB"/>
              </w:rPr>
              <w:t>ee</w:t>
            </w:r>
            <w:proofErr w:type="spellEnd"/>
            <w:r w:rsidR="00156675">
              <w:rPr>
                <w:rFonts w:eastAsia="Times New Roman"/>
                <w:sz w:val="18"/>
                <w:szCs w:val="18"/>
                <w:lang w:val="en-GB" w:eastAsia="en-GB"/>
              </w:rPr>
              <w:t xml:space="preserve"> above</w:t>
            </w:r>
          </w:p>
        </w:tc>
      </w:tr>
      <w:tr w:rsidR="00D8098C" w:rsidRPr="00B853C6" w14:paraId="55C7A410" w14:textId="0BAB653A" w:rsidTr="00BB18FF">
        <w:tc>
          <w:tcPr>
            <w:tcW w:w="587" w:type="dxa"/>
            <w:shd w:val="clear" w:color="auto" w:fill="EEEEEE"/>
          </w:tcPr>
          <w:p w14:paraId="056075DE"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9</w:t>
            </w:r>
          </w:p>
        </w:tc>
        <w:tc>
          <w:tcPr>
            <w:tcW w:w="1814" w:type="dxa"/>
            <w:shd w:val="clear" w:color="auto" w:fill="EEEEEE"/>
          </w:tcPr>
          <w:p w14:paraId="6096809E"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Software and pre-registration</w:t>
            </w:r>
          </w:p>
        </w:tc>
        <w:tc>
          <w:tcPr>
            <w:tcW w:w="6702" w:type="dxa"/>
            <w:shd w:val="clear" w:color="auto" w:fill="EEEEEE"/>
          </w:tcPr>
          <w:p w14:paraId="08D1055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shd w:val="clear" w:color="auto" w:fill="EEEEEE"/>
          </w:tcPr>
          <w:p w14:paraId="721E714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shd w:val="clear" w:color="auto" w:fill="EEEEEE"/>
          </w:tcPr>
          <w:p w14:paraId="495710C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EA9EBD1" w14:textId="4D05FA5B" w:rsidTr="00BB18FF">
        <w:tc>
          <w:tcPr>
            <w:tcW w:w="587" w:type="dxa"/>
            <w:shd w:val="clear" w:color="auto" w:fill="auto"/>
          </w:tcPr>
          <w:p w14:paraId="66EDED80"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50BD32B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auto"/>
          </w:tcPr>
          <w:p w14:paraId="054FBA47"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Name statistical software and package(s), including version and settings used </w:t>
            </w:r>
          </w:p>
        </w:tc>
        <w:tc>
          <w:tcPr>
            <w:tcW w:w="1387" w:type="dxa"/>
          </w:tcPr>
          <w:p w14:paraId="305BB821" w14:textId="694EC594" w:rsidR="00D8098C" w:rsidRPr="00A1236D" w:rsidRDefault="003A1D2E"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18</w:t>
            </w:r>
          </w:p>
        </w:tc>
        <w:tc>
          <w:tcPr>
            <w:tcW w:w="4000" w:type="dxa"/>
          </w:tcPr>
          <w:p w14:paraId="49E72E4E" w14:textId="77777777" w:rsidR="00D8098C" w:rsidRDefault="00046BAE" w:rsidP="00426603">
            <w:pPr>
              <w:spacing w:beforeLines="40" w:before="96" w:afterLines="40" w:after="96" w:line="24" w:lineRule="atLeast"/>
              <w:rPr>
                <w:rFonts w:eastAsia="Times New Roman"/>
                <w:sz w:val="18"/>
                <w:szCs w:val="18"/>
                <w:lang w:val="en-GB" w:eastAsia="en-GB"/>
              </w:rPr>
            </w:pPr>
            <w:r w:rsidRPr="00046BAE">
              <w:rPr>
                <w:rFonts w:eastAsia="Times New Roman"/>
                <w:sz w:val="18"/>
                <w:szCs w:val="18"/>
                <w:lang w:val="en-GB" w:eastAsia="en-GB"/>
              </w:rPr>
              <w:t>the `clumping` function within the ‘</w:t>
            </w:r>
            <w:proofErr w:type="spellStart"/>
            <w:r w:rsidRPr="00046BAE">
              <w:rPr>
                <w:rFonts w:eastAsia="Times New Roman"/>
                <w:sz w:val="18"/>
                <w:szCs w:val="18"/>
                <w:lang w:val="en-GB" w:eastAsia="en-GB"/>
              </w:rPr>
              <w:t>TwoSampleMR</w:t>
            </w:r>
            <w:proofErr w:type="spellEnd"/>
            <w:r w:rsidRPr="00046BAE">
              <w:rPr>
                <w:rFonts w:eastAsia="Times New Roman"/>
                <w:sz w:val="18"/>
                <w:szCs w:val="18"/>
                <w:lang w:val="en-GB" w:eastAsia="en-GB"/>
              </w:rPr>
              <w:t>’ package, this was achieved using PLINK (v1.90b6.21)</w:t>
            </w:r>
          </w:p>
          <w:p w14:paraId="79626260" w14:textId="6526675A" w:rsidR="00046BAE" w:rsidRDefault="00CF54FD" w:rsidP="00426603">
            <w:pPr>
              <w:spacing w:beforeLines="40" w:before="96" w:afterLines="40" w:after="96" w:line="24" w:lineRule="atLeast"/>
              <w:rPr>
                <w:rFonts w:eastAsia="Times New Roman"/>
                <w:sz w:val="18"/>
                <w:szCs w:val="18"/>
                <w:lang w:val="en-GB" w:eastAsia="en-GB"/>
              </w:rPr>
            </w:pPr>
            <w:r w:rsidRPr="00CF54FD">
              <w:rPr>
                <w:rFonts w:eastAsia="Times New Roman"/>
                <w:sz w:val="18"/>
                <w:szCs w:val="18"/>
                <w:lang w:val="en-GB" w:eastAsia="en-GB"/>
              </w:rPr>
              <w:t xml:space="preserve">Two-sample mendelian randomisation was conducted using the R package </w:t>
            </w:r>
            <w:proofErr w:type="spellStart"/>
            <w:r w:rsidRPr="00CF54FD">
              <w:rPr>
                <w:rFonts w:eastAsia="Times New Roman"/>
                <w:sz w:val="18"/>
                <w:szCs w:val="18"/>
                <w:lang w:val="en-GB" w:eastAsia="en-GB"/>
              </w:rPr>
              <w:t>TwoSampleMR</w:t>
            </w:r>
            <w:proofErr w:type="spellEnd"/>
          </w:p>
        </w:tc>
      </w:tr>
      <w:tr w:rsidR="00D8098C" w:rsidRPr="00B853C6" w14:paraId="6A631D93" w14:textId="2BD5AA8E" w:rsidTr="00BB18FF">
        <w:tc>
          <w:tcPr>
            <w:tcW w:w="587" w:type="dxa"/>
            <w:tcBorders>
              <w:bottom w:val="single" w:sz="6" w:space="0" w:color="7F7F7F"/>
            </w:tcBorders>
            <w:shd w:val="clear" w:color="auto" w:fill="EEEEEE"/>
          </w:tcPr>
          <w:p w14:paraId="37C8895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tcBorders>
              <w:bottom w:val="single" w:sz="6" w:space="0" w:color="7F7F7F"/>
            </w:tcBorders>
            <w:shd w:val="clear" w:color="auto" w:fill="EEEEEE"/>
          </w:tcPr>
          <w:p w14:paraId="2349B55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tcBorders>
              <w:bottom w:val="single" w:sz="6" w:space="0" w:color="7F7F7F"/>
            </w:tcBorders>
            <w:shd w:val="clear" w:color="auto" w:fill="EEEEEE"/>
          </w:tcPr>
          <w:p w14:paraId="5DBE58D7"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State whether the study protocol and details were pre-registered (as well as when and where)</w:t>
            </w:r>
          </w:p>
        </w:tc>
        <w:tc>
          <w:tcPr>
            <w:tcW w:w="1387" w:type="dxa"/>
            <w:tcBorders>
              <w:bottom w:val="single" w:sz="6" w:space="0" w:color="7F7F7F"/>
            </w:tcBorders>
            <w:shd w:val="clear" w:color="auto" w:fill="EEEEEE"/>
          </w:tcPr>
          <w:p w14:paraId="2325504F" w14:textId="196DD6CA"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tcBorders>
              <w:bottom w:val="single" w:sz="6" w:space="0" w:color="7F7F7F"/>
            </w:tcBorders>
            <w:shd w:val="clear" w:color="auto" w:fill="EEEEEE"/>
          </w:tcPr>
          <w:p w14:paraId="3EFCD231" w14:textId="4427DBE2" w:rsidR="00D8098C" w:rsidRDefault="00E52EB4"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This was not done</w:t>
            </w:r>
          </w:p>
        </w:tc>
      </w:tr>
      <w:tr w:rsidR="00D8098C" w:rsidRPr="00B853C6" w14:paraId="040F15E5" w14:textId="3B11C618" w:rsidTr="00BB18FF">
        <w:tc>
          <w:tcPr>
            <w:tcW w:w="587" w:type="dxa"/>
            <w:tcBorders>
              <w:top w:val="single" w:sz="6" w:space="0" w:color="7F7F7F"/>
            </w:tcBorders>
            <w:shd w:val="clear" w:color="auto" w:fill="auto"/>
          </w:tcPr>
          <w:p w14:paraId="777278B3"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14" w:type="dxa"/>
            <w:tcBorders>
              <w:top w:val="single" w:sz="6" w:space="0" w:color="7F7F7F"/>
            </w:tcBorders>
            <w:shd w:val="clear" w:color="auto" w:fill="auto"/>
          </w:tcPr>
          <w:p w14:paraId="7D8D653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RESULTS</w:t>
            </w:r>
          </w:p>
        </w:tc>
        <w:tc>
          <w:tcPr>
            <w:tcW w:w="6702" w:type="dxa"/>
            <w:tcBorders>
              <w:top w:val="single" w:sz="6" w:space="0" w:color="7F7F7F"/>
            </w:tcBorders>
            <w:shd w:val="clear" w:color="auto" w:fill="auto"/>
          </w:tcPr>
          <w:p w14:paraId="3471928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tcBorders>
              <w:top w:val="single" w:sz="6" w:space="0" w:color="7F7F7F"/>
            </w:tcBorders>
          </w:tcPr>
          <w:p w14:paraId="0E355A6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tcBorders>
              <w:top w:val="single" w:sz="6" w:space="0" w:color="7F7F7F"/>
            </w:tcBorders>
          </w:tcPr>
          <w:p w14:paraId="33E956D1"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7F47EED" w14:textId="4A481C08" w:rsidTr="00BB18FF">
        <w:tc>
          <w:tcPr>
            <w:tcW w:w="587" w:type="dxa"/>
            <w:shd w:val="clear" w:color="auto" w:fill="EEEEEE"/>
          </w:tcPr>
          <w:p w14:paraId="51C7A54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10</w:t>
            </w:r>
          </w:p>
        </w:tc>
        <w:tc>
          <w:tcPr>
            <w:tcW w:w="1814" w:type="dxa"/>
            <w:shd w:val="clear" w:color="auto" w:fill="EEEEEE"/>
          </w:tcPr>
          <w:p w14:paraId="731D0370"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Descriptive data</w:t>
            </w:r>
          </w:p>
        </w:tc>
        <w:tc>
          <w:tcPr>
            <w:tcW w:w="6702" w:type="dxa"/>
            <w:shd w:val="clear" w:color="auto" w:fill="EEEEEE"/>
          </w:tcPr>
          <w:p w14:paraId="3B19CDA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shd w:val="clear" w:color="auto" w:fill="EEEEEE"/>
          </w:tcPr>
          <w:p w14:paraId="1091FF5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shd w:val="clear" w:color="auto" w:fill="EEEEEE"/>
          </w:tcPr>
          <w:p w14:paraId="4B684E79"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CA228D1" w14:textId="316B6A36" w:rsidTr="00BB18FF">
        <w:tc>
          <w:tcPr>
            <w:tcW w:w="587" w:type="dxa"/>
            <w:shd w:val="clear" w:color="auto" w:fill="auto"/>
          </w:tcPr>
          <w:p w14:paraId="29B6277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4C1499C8"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auto"/>
          </w:tcPr>
          <w:p w14:paraId="4D5C652C" w14:textId="6B5065AC" w:rsidR="00D8098C" w:rsidRPr="00A1236D" w:rsidRDefault="00D8098C" w:rsidP="00426603">
            <w:pPr>
              <w:spacing w:beforeLines="40" w:before="96" w:afterLines="40" w:after="96" w:line="24" w:lineRule="atLeast"/>
              <w:rPr>
                <w:rFonts w:eastAsia="Cambria"/>
                <w:sz w:val="18"/>
                <w:szCs w:val="18"/>
                <w:lang w:val="en-GB" w:eastAsia="en-US"/>
              </w:rPr>
            </w:pPr>
            <w:r w:rsidRPr="00A25E28">
              <w:rPr>
                <w:rFonts w:eastAsia="Times New Roman"/>
                <w:sz w:val="18"/>
                <w:szCs w:val="18"/>
                <w:lang w:val="en-GB" w:eastAsia="en-GB"/>
              </w:rPr>
              <w:t>Report the numbers of individuals at each stage of included studies and reasons for ex</w:t>
            </w:r>
            <w:r w:rsidR="000A4CE8" w:rsidRPr="00A25E28">
              <w:rPr>
                <w:rFonts w:eastAsia="Times New Roman"/>
                <w:sz w:val="18"/>
                <w:szCs w:val="18"/>
                <w:lang w:val="en-GB" w:eastAsia="en-GB"/>
              </w:rPr>
              <w:t xml:space="preserve">clusion. Consider use of a flow </w:t>
            </w:r>
            <w:r w:rsidRPr="00A25E28">
              <w:rPr>
                <w:rFonts w:eastAsia="Times New Roman"/>
                <w:sz w:val="18"/>
                <w:szCs w:val="18"/>
                <w:lang w:val="en-GB" w:eastAsia="en-GB"/>
              </w:rPr>
              <w:t>diagram</w:t>
            </w:r>
          </w:p>
        </w:tc>
        <w:tc>
          <w:tcPr>
            <w:tcW w:w="1387" w:type="dxa"/>
          </w:tcPr>
          <w:p w14:paraId="7AF8CC23" w14:textId="71216B68" w:rsidR="00D8098C" w:rsidRPr="00A1236D" w:rsidRDefault="0081408C"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3</w:t>
            </w:r>
          </w:p>
        </w:tc>
        <w:tc>
          <w:tcPr>
            <w:tcW w:w="4000" w:type="dxa"/>
          </w:tcPr>
          <w:p w14:paraId="00D65497" w14:textId="1DC52D03" w:rsidR="00D8098C" w:rsidRDefault="00EE6B2E" w:rsidP="00426603">
            <w:pPr>
              <w:spacing w:beforeLines="40" w:before="96" w:afterLines="40" w:after="96" w:line="24" w:lineRule="atLeast"/>
              <w:rPr>
                <w:rFonts w:eastAsia="Times New Roman"/>
                <w:sz w:val="18"/>
                <w:szCs w:val="18"/>
                <w:lang w:val="en-GB" w:eastAsia="en-GB"/>
              </w:rPr>
            </w:pPr>
            <w:r w:rsidRPr="00EE6B2E">
              <w:rPr>
                <w:rFonts w:eastAsia="Times New Roman"/>
                <w:sz w:val="18"/>
                <w:szCs w:val="18"/>
                <w:lang w:val="en-GB" w:eastAsia="en-GB"/>
              </w:rPr>
              <w:t xml:space="preserve">To identify ancestry- and tissue-specific causal genes associated with CAD we incorporated CAD GWAS data (outcome) from two distinct ancestral groups, East Asian (9,413:203040  </w:t>
            </w:r>
            <w:proofErr w:type="spellStart"/>
            <w:r w:rsidRPr="00EE6B2E">
              <w:rPr>
                <w:rFonts w:eastAsia="Times New Roman"/>
                <w:sz w:val="18"/>
                <w:szCs w:val="18"/>
                <w:lang w:val="en-GB" w:eastAsia="en-GB"/>
              </w:rPr>
              <w:t>case:control</w:t>
            </w:r>
            <w:proofErr w:type="spellEnd"/>
            <w:r w:rsidRPr="00EE6B2E">
              <w:rPr>
                <w:rFonts w:eastAsia="Times New Roman"/>
                <w:sz w:val="18"/>
                <w:szCs w:val="18"/>
                <w:lang w:val="en-GB" w:eastAsia="en-GB"/>
              </w:rPr>
              <w:t xml:space="preserve">; Japanese individuals) and Europeans (190,493:582,775 </w:t>
            </w:r>
            <w:proofErr w:type="spellStart"/>
            <w:r w:rsidRPr="00EE6B2E">
              <w:rPr>
                <w:rFonts w:eastAsia="Times New Roman"/>
                <w:sz w:val="18"/>
                <w:szCs w:val="18"/>
                <w:lang w:val="en-GB" w:eastAsia="en-GB"/>
              </w:rPr>
              <w:t>case:control</w:t>
            </w:r>
            <w:proofErr w:type="spellEnd"/>
            <w:r w:rsidRPr="00EE6B2E">
              <w:rPr>
                <w:rFonts w:eastAsia="Times New Roman"/>
                <w:sz w:val="18"/>
                <w:szCs w:val="18"/>
                <w:lang w:val="en-GB" w:eastAsia="en-GB"/>
              </w:rPr>
              <w:t>)</w:t>
            </w:r>
          </w:p>
        </w:tc>
      </w:tr>
      <w:tr w:rsidR="00D8098C" w:rsidRPr="00B853C6" w14:paraId="0765C344" w14:textId="3B2EDCCF" w:rsidTr="00BB18FF">
        <w:tc>
          <w:tcPr>
            <w:tcW w:w="587" w:type="dxa"/>
            <w:shd w:val="clear" w:color="auto" w:fill="EEEEEE"/>
          </w:tcPr>
          <w:p w14:paraId="2404BFF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6545C2F1"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EEEEEE"/>
          </w:tcPr>
          <w:p w14:paraId="405491AF" w14:textId="3F437E24" w:rsidR="00D8098C" w:rsidRPr="00A1236D" w:rsidRDefault="00D8098C" w:rsidP="009E033F">
            <w:pPr>
              <w:spacing w:beforeLines="40" w:before="96" w:afterLines="40" w:after="96" w:line="24" w:lineRule="atLeast"/>
              <w:rPr>
                <w:rFonts w:eastAsia="Times New Roman"/>
                <w:sz w:val="18"/>
                <w:szCs w:val="18"/>
                <w:lang w:val="en-GB" w:eastAsia="en-GB"/>
              </w:rPr>
            </w:pPr>
            <w:r w:rsidRPr="00A25E28">
              <w:rPr>
                <w:rFonts w:eastAsia="Times New Roman"/>
                <w:sz w:val="18"/>
                <w:szCs w:val="18"/>
                <w:lang w:val="en-GB" w:eastAsia="en-GB"/>
              </w:rPr>
              <w:t>Report summary statistics for phenotypic exposure(s), outcome(s)</w:t>
            </w:r>
            <w:r w:rsidR="000A4CE8" w:rsidRPr="00A25E28">
              <w:rPr>
                <w:rFonts w:eastAsia="Times New Roman"/>
                <w:sz w:val="18"/>
                <w:szCs w:val="18"/>
                <w:lang w:val="en-GB" w:eastAsia="en-GB"/>
              </w:rPr>
              <w:t>,</w:t>
            </w:r>
            <w:r w:rsidRPr="00A25E28">
              <w:rPr>
                <w:rFonts w:eastAsia="Times New Roman"/>
                <w:sz w:val="18"/>
                <w:szCs w:val="18"/>
                <w:lang w:val="en-GB" w:eastAsia="en-GB"/>
              </w:rPr>
              <w:t xml:space="preserve"> and other relevant variables (e.g. means, </w:t>
            </w:r>
            <w:r w:rsidR="009E033F" w:rsidRPr="00A25E28">
              <w:rPr>
                <w:rFonts w:eastAsia="Times New Roman"/>
                <w:sz w:val="18"/>
                <w:szCs w:val="18"/>
                <w:lang w:val="en-GB" w:eastAsia="en-GB"/>
              </w:rPr>
              <w:t>SDs</w:t>
            </w:r>
            <w:r w:rsidRPr="00A25E28">
              <w:rPr>
                <w:rFonts w:eastAsia="Times New Roman"/>
                <w:sz w:val="18"/>
                <w:szCs w:val="18"/>
                <w:lang w:val="en-GB" w:eastAsia="en-GB"/>
              </w:rPr>
              <w:t>, proportions)</w:t>
            </w:r>
          </w:p>
        </w:tc>
        <w:tc>
          <w:tcPr>
            <w:tcW w:w="1387" w:type="dxa"/>
            <w:shd w:val="clear" w:color="auto" w:fill="EEEEEE"/>
          </w:tcPr>
          <w:p w14:paraId="03BBA613" w14:textId="4AD1DE62" w:rsidR="00D8098C" w:rsidRPr="00A1236D" w:rsidRDefault="00786C61"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5</w:t>
            </w:r>
          </w:p>
        </w:tc>
        <w:tc>
          <w:tcPr>
            <w:tcW w:w="4000" w:type="dxa"/>
            <w:shd w:val="clear" w:color="auto" w:fill="EEEEEE"/>
          </w:tcPr>
          <w:p w14:paraId="0FD9D468" w14:textId="57D16B6C" w:rsidR="00D8098C" w:rsidRDefault="00A864B4" w:rsidP="00426603">
            <w:pPr>
              <w:spacing w:beforeLines="40" w:before="96" w:afterLines="40" w:after="96" w:line="24" w:lineRule="atLeast"/>
              <w:rPr>
                <w:rFonts w:eastAsia="Times New Roman"/>
                <w:sz w:val="18"/>
                <w:szCs w:val="18"/>
                <w:lang w:val="en-GB" w:eastAsia="en-GB"/>
              </w:rPr>
            </w:pPr>
            <w:r w:rsidRPr="00A864B4">
              <w:rPr>
                <w:rFonts w:eastAsia="Times New Roman"/>
                <w:sz w:val="18"/>
                <w:szCs w:val="18"/>
                <w:lang w:val="en-GB" w:eastAsia="en-GB"/>
              </w:rPr>
              <w:t>We previously produced a lung gene regulatory network (GRN) consisting of 908,356 spatial eQTLs (731,067 SNPs [MAF ≥ 0.05] and 15,532 genes) that were identified within lung tissue (</w:t>
            </w:r>
            <w:proofErr w:type="spellStart"/>
            <w:r w:rsidRPr="00A864B4">
              <w:rPr>
                <w:rFonts w:eastAsia="Times New Roman"/>
                <w:sz w:val="18"/>
                <w:szCs w:val="18"/>
                <w:lang w:val="en-GB" w:eastAsia="en-GB"/>
              </w:rPr>
              <w:t>GTEx</w:t>
            </w:r>
            <w:proofErr w:type="spellEnd"/>
            <w:r w:rsidRPr="00A864B4">
              <w:rPr>
                <w:rFonts w:eastAsia="Times New Roman"/>
                <w:sz w:val="18"/>
                <w:szCs w:val="18"/>
                <w:lang w:val="en-GB" w:eastAsia="en-GB"/>
              </w:rPr>
              <w:t>). The whole blood GRN previously generated consisted of 1,634,655 eQTLs (720,675 SNPs [MAF ≥ 0.05] and 14,556 genes). The coronary artery GRN consisted of 490,215 eQTLs (144,399 SNPs [MAF ≥ 0.05] and 6,542 genes). To identify the independent tissue-specific eQTLs as instrumental variables, we filtered each GRN for eQTLs with a p &lt; 1 x 10-5 and performed LD clumping. Using the `clumping` function within the ‘</w:t>
            </w:r>
            <w:proofErr w:type="spellStart"/>
            <w:r w:rsidRPr="00A864B4">
              <w:rPr>
                <w:rFonts w:eastAsia="Times New Roman"/>
                <w:sz w:val="18"/>
                <w:szCs w:val="18"/>
                <w:lang w:val="en-GB" w:eastAsia="en-GB"/>
              </w:rPr>
              <w:t>TwoSampleMR</w:t>
            </w:r>
            <w:proofErr w:type="spellEnd"/>
            <w:r w:rsidRPr="00A864B4">
              <w:rPr>
                <w:rFonts w:eastAsia="Times New Roman"/>
                <w:sz w:val="18"/>
                <w:szCs w:val="18"/>
                <w:lang w:val="en-GB" w:eastAsia="en-GB"/>
              </w:rPr>
              <w:t xml:space="preserve">’ package, this was achieved using PLINK (v1.90b6.21) with an r2 &lt; 0.001, 10Mb away with a European </w:t>
            </w:r>
            <w:r w:rsidRPr="00A864B4">
              <w:rPr>
                <w:rFonts w:eastAsia="Times New Roman"/>
                <w:sz w:val="18"/>
                <w:szCs w:val="18"/>
                <w:lang w:val="en-GB" w:eastAsia="en-GB"/>
              </w:rPr>
              <w:lastRenderedPageBreak/>
              <w:t>population reference. The remaining SNPs were used as genetic instruments for testing causal GRN genes associated with coronary artery disease.</w:t>
            </w:r>
          </w:p>
        </w:tc>
      </w:tr>
      <w:tr w:rsidR="00D8098C" w:rsidRPr="00B853C6" w14:paraId="48F10342" w14:textId="398F2C24" w:rsidTr="00BB18FF">
        <w:tc>
          <w:tcPr>
            <w:tcW w:w="587" w:type="dxa"/>
            <w:shd w:val="clear" w:color="auto" w:fill="auto"/>
          </w:tcPr>
          <w:p w14:paraId="6600AF4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435099F2"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702" w:type="dxa"/>
            <w:shd w:val="clear" w:color="auto" w:fill="auto"/>
          </w:tcPr>
          <w:p w14:paraId="062EB56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the data sources include meta-analyses of previous studies, provide the assessments of heterogeneity across these studies</w:t>
            </w:r>
          </w:p>
        </w:tc>
        <w:tc>
          <w:tcPr>
            <w:tcW w:w="1387" w:type="dxa"/>
          </w:tcPr>
          <w:p w14:paraId="10F6EF39"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tcPr>
          <w:p w14:paraId="449D40FD" w14:textId="2B91424A" w:rsidR="00D8098C" w:rsidRDefault="00E90B3A"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D8098C" w:rsidRPr="00B853C6" w14:paraId="51930A8C" w14:textId="221D5A9E" w:rsidTr="00BB18FF">
        <w:tc>
          <w:tcPr>
            <w:tcW w:w="587" w:type="dxa"/>
            <w:shd w:val="clear" w:color="auto" w:fill="EEEEEE"/>
          </w:tcPr>
          <w:p w14:paraId="6116DD9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453F787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702" w:type="dxa"/>
            <w:shd w:val="clear" w:color="auto" w:fill="EEEEEE"/>
          </w:tcPr>
          <w:p w14:paraId="2EFD572E" w14:textId="5230C0F8" w:rsidR="00D8098C" w:rsidRPr="00185D63" w:rsidRDefault="00D8098C" w:rsidP="00426603">
            <w:pPr>
              <w:spacing w:beforeLines="40" w:before="96" w:afterLines="40" w:after="96" w:line="24" w:lineRule="atLeast"/>
              <w:rPr>
                <w:rFonts w:eastAsia="Times New Roman"/>
                <w:sz w:val="18"/>
                <w:szCs w:val="18"/>
                <w:lang w:val="en-GB" w:eastAsia="en-GB"/>
              </w:rPr>
            </w:pPr>
            <w:r w:rsidRPr="00185D63">
              <w:rPr>
                <w:rFonts w:eastAsia="Times New Roman"/>
                <w:sz w:val="18"/>
                <w:szCs w:val="18"/>
                <w:lang w:val="en-GB" w:eastAsia="en-GB"/>
              </w:rPr>
              <w:t xml:space="preserve">For </w:t>
            </w:r>
            <w:r w:rsidRPr="00185D63">
              <w:rPr>
                <w:rFonts w:eastAsia="Times New Roman"/>
                <w:iCs/>
                <w:sz w:val="18"/>
                <w:szCs w:val="18"/>
                <w:lang w:val="en-GB" w:eastAsia="en-GB"/>
              </w:rPr>
              <w:t>two-sample</w:t>
            </w:r>
            <w:r w:rsidRPr="00185D63">
              <w:rPr>
                <w:rFonts w:eastAsia="Times New Roman"/>
                <w:sz w:val="18"/>
                <w:szCs w:val="18"/>
                <w:lang w:val="en-GB" w:eastAsia="en-GB"/>
              </w:rPr>
              <w:t xml:space="preserve"> </w:t>
            </w:r>
            <w:r w:rsidR="009E033F" w:rsidRPr="00185D63">
              <w:rPr>
                <w:rFonts w:eastAsia="Times New Roman"/>
                <w:sz w:val="18"/>
                <w:szCs w:val="18"/>
                <w:lang w:val="en-GB" w:eastAsia="en-GB"/>
              </w:rPr>
              <w:t>MR</w:t>
            </w:r>
            <w:r w:rsidRPr="00185D63">
              <w:rPr>
                <w:rFonts w:eastAsia="Times New Roman"/>
                <w:sz w:val="18"/>
                <w:szCs w:val="18"/>
                <w:lang w:val="en-GB" w:eastAsia="en-GB"/>
              </w:rPr>
              <w:t>:</w:t>
            </w:r>
          </w:p>
          <w:p w14:paraId="48065368"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185D63">
              <w:rPr>
                <w:rFonts w:eastAsia="Times New Roman"/>
                <w:sz w:val="18"/>
                <w:szCs w:val="18"/>
                <w:lang w:val="en-GB" w:eastAsia="en-GB"/>
              </w:rPr>
              <w:t xml:space="preserve">   i.  Provide justification of the similarity of the genetic variant-exposure associations between the exposure and outcome samples</w:t>
            </w:r>
          </w:p>
          <w:p w14:paraId="35BA928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   ii.  Provide information on the number of individuals who overlap between the exposure and outcome studies</w:t>
            </w:r>
          </w:p>
        </w:tc>
        <w:tc>
          <w:tcPr>
            <w:tcW w:w="1387" w:type="dxa"/>
            <w:shd w:val="clear" w:color="auto" w:fill="EEEEEE"/>
          </w:tcPr>
          <w:p w14:paraId="10AD5273" w14:textId="77777777" w:rsidR="00D8098C" w:rsidRDefault="00185D6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4</w:t>
            </w:r>
          </w:p>
          <w:p w14:paraId="22FB79AF" w14:textId="77777777" w:rsidR="004D0487" w:rsidRDefault="004D0487" w:rsidP="00426603">
            <w:pPr>
              <w:spacing w:beforeLines="40" w:before="96" w:afterLines="40" w:after="96" w:line="24" w:lineRule="atLeast"/>
              <w:rPr>
                <w:rFonts w:eastAsia="Times New Roman"/>
                <w:sz w:val="18"/>
                <w:szCs w:val="18"/>
                <w:lang w:val="en-GB" w:eastAsia="en-GB"/>
              </w:rPr>
            </w:pPr>
          </w:p>
          <w:p w14:paraId="5F4D3D87" w14:textId="77777777" w:rsidR="004D0487" w:rsidRDefault="004D0487" w:rsidP="00426603">
            <w:pPr>
              <w:spacing w:beforeLines="40" w:before="96" w:afterLines="40" w:after="96" w:line="24" w:lineRule="atLeast"/>
              <w:rPr>
                <w:rFonts w:eastAsia="Times New Roman"/>
                <w:sz w:val="18"/>
                <w:szCs w:val="18"/>
                <w:lang w:val="en-GB" w:eastAsia="en-GB"/>
              </w:rPr>
            </w:pPr>
          </w:p>
          <w:p w14:paraId="4948EE3D" w14:textId="3E4E5C74" w:rsidR="00861632" w:rsidRPr="00A1236D" w:rsidRDefault="00861632"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19</w:t>
            </w:r>
          </w:p>
        </w:tc>
        <w:tc>
          <w:tcPr>
            <w:tcW w:w="4000" w:type="dxa"/>
            <w:shd w:val="clear" w:color="auto" w:fill="EEEEEE"/>
          </w:tcPr>
          <w:p w14:paraId="59E0792F" w14:textId="5D959C05" w:rsidR="004D0487" w:rsidRDefault="004D0487" w:rsidP="00426603">
            <w:pPr>
              <w:spacing w:beforeLines="40" w:before="96" w:afterLines="40" w:after="96" w:line="24" w:lineRule="atLeast"/>
              <w:rPr>
                <w:rFonts w:eastAsia="Times New Roman"/>
                <w:sz w:val="18"/>
                <w:szCs w:val="18"/>
                <w:lang w:val="en-GB" w:eastAsia="en-GB"/>
              </w:rPr>
            </w:pPr>
            <w:r w:rsidRPr="004D0487">
              <w:rPr>
                <w:rFonts w:eastAsia="Times New Roman"/>
                <w:sz w:val="18"/>
                <w:szCs w:val="18"/>
                <w:lang w:val="en-GB" w:eastAsia="en-GB"/>
              </w:rPr>
              <w:t xml:space="preserve">There is no </w:t>
            </w:r>
            <w:proofErr w:type="spellStart"/>
            <w:r w:rsidRPr="004D0487">
              <w:rPr>
                <w:rFonts w:eastAsia="Times New Roman"/>
                <w:sz w:val="18"/>
                <w:szCs w:val="18"/>
                <w:lang w:val="en-GB" w:eastAsia="en-GB"/>
              </w:rPr>
              <w:t>overalp</w:t>
            </w:r>
            <w:proofErr w:type="spellEnd"/>
            <w:r w:rsidRPr="004D0487">
              <w:rPr>
                <w:rFonts w:eastAsia="Times New Roman"/>
                <w:sz w:val="18"/>
                <w:szCs w:val="18"/>
                <w:lang w:val="en-GB" w:eastAsia="en-GB"/>
              </w:rPr>
              <w:t xml:space="preserve"> between the individuals the GWAS8939   or GTEx study (GTEx v 8.0), as they were independent, and have not been merged. </w:t>
            </w:r>
          </w:p>
          <w:p w14:paraId="20DF25A9" w14:textId="21B93985" w:rsidR="009B20F3" w:rsidRDefault="009B20F3" w:rsidP="00426603">
            <w:pPr>
              <w:spacing w:beforeLines="40" w:before="96" w:afterLines="40" w:after="96" w:line="24" w:lineRule="atLeast"/>
              <w:rPr>
                <w:rFonts w:eastAsia="Times New Roman"/>
                <w:sz w:val="18"/>
                <w:szCs w:val="18"/>
                <w:lang w:val="en-GB" w:eastAsia="en-GB"/>
              </w:rPr>
            </w:pPr>
            <w:r w:rsidRPr="009B20F3">
              <w:rPr>
                <w:rFonts w:eastAsia="Times New Roman"/>
                <w:sz w:val="18"/>
                <w:szCs w:val="18"/>
                <w:lang w:val="en-GB" w:eastAsia="en-GB"/>
              </w:rPr>
              <w:t xml:space="preserve">The GWAS studies included in this analysis were all conducted </w:t>
            </w:r>
            <w:r w:rsidR="008E5E1E">
              <w:rPr>
                <w:rFonts w:eastAsia="Times New Roman"/>
                <w:sz w:val="18"/>
                <w:szCs w:val="18"/>
                <w:lang w:val="en-GB" w:eastAsia="en-GB"/>
              </w:rPr>
              <w:t>indep</w:t>
            </w:r>
            <w:r w:rsidR="00700726">
              <w:rPr>
                <w:rFonts w:eastAsia="Times New Roman"/>
                <w:sz w:val="18"/>
                <w:szCs w:val="18"/>
                <w:lang w:val="en-GB" w:eastAsia="en-GB"/>
              </w:rPr>
              <w:t xml:space="preserve">endently of this study an GTEx. There is no </w:t>
            </w:r>
            <w:proofErr w:type="spellStart"/>
            <w:r w:rsidR="00700726">
              <w:rPr>
                <w:rFonts w:eastAsia="Times New Roman"/>
                <w:sz w:val="18"/>
                <w:szCs w:val="18"/>
                <w:lang w:val="en-GB" w:eastAsia="en-GB"/>
              </w:rPr>
              <w:t>overalp</w:t>
            </w:r>
            <w:proofErr w:type="spellEnd"/>
            <w:r w:rsidR="00700726">
              <w:rPr>
                <w:rFonts w:eastAsia="Times New Roman"/>
                <w:sz w:val="18"/>
                <w:szCs w:val="18"/>
                <w:lang w:val="en-GB" w:eastAsia="en-GB"/>
              </w:rPr>
              <w:t xml:space="preserve"> between the </w:t>
            </w:r>
            <w:r w:rsidR="00443CD9">
              <w:rPr>
                <w:rFonts w:eastAsia="Times New Roman"/>
                <w:sz w:val="18"/>
                <w:szCs w:val="18"/>
                <w:lang w:val="en-GB" w:eastAsia="en-GB"/>
              </w:rPr>
              <w:t xml:space="preserve">individuals in any of the studies. </w:t>
            </w:r>
          </w:p>
          <w:p w14:paraId="5B2A1A71" w14:textId="5F679F12" w:rsidR="009B20F3" w:rsidRDefault="009B20F3" w:rsidP="00426603">
            <w:pPr>
              <w:spacing w:beforeLines="40" w:before="96" w:afterLines="40" w:after="96" w:line="24" w:lineRule="atLeast"/>
              <w:rPr>
                <w:rFonts w:eastAsia="Times New Roman"/>
                <w:sz w:val="18"/>
                <w:szCs w:val="18"/>
                <w:lang w:val="en-GB" w:eastAsia="en-GB"/>
              </w:rPr>
            </w:pPr>
          </w:p>
        </w:tc>
      </w:tr>
      <w:tr w:rsidR="00D8098C" w:rsidRPr="00B853C6" w14:paraId="52CFCA59" w14:textId="5AC9CE3E" w:rsidTr="00BB18FF">
        <w:tc>
          <w:tcPr>
            <w:tcW w:w="587" w:type="dxa"/>
            <w:shd w:val="clear" w:color="auto" w:fill="auto"/>
          </w:tcPr>
          <w:p w14:paraId="110872BB"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11</w:t>
            </w:r>
          </w:p>
        </w:tc>
        <w:tc>
          <w:tcPr>
            <w:tcW w:w="1814" w:type="dxa"/>
            <w:shd w:val="clear" w:color="auto" w:fill="auto"/>
          </w:tcPr>
          <w:p w14:paraId="0C26298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Main results</w:t>
            </w:r>
          </w:p>
        </w:tc>
        <w:tc>
          <w:tcPr>
            <w:tcW w:w="6702" w:type="dxa"/>
            <w:shd w:val="clear" w:color="auto" w:fill="auto"/>
          </w:tcPr>
          <w:p w14:paraId="2F14FA3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tcPr>
          <w:p w14:paraId="035B3367"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tcPr>
          <w:p w14:paraId="0AFA0083"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56845A2A" w14:textId="1DC0780C" w:rsidTr="00BB18FF">
        <w:tc>
          <w:tcPr>
            <w:tcW w:w="587" w:type="dxa"/>
            <w:shd w:val="clear" w:color="auto" w:fill="EEEEEE"/>
          </w:tcPr>
          <w:p w14:paraId="0892A5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7CDB72A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EEEEEE"/>
          </w:tcPr>
          <w:p w14:paraId="09CB478B"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associations between genetic variant and exposure, and between genetic variant and outcome, preferably on an interpretable scale</w:t>
            </w:r>
          </w:p>
        </w:tc>
        <w:tc>
          <w:tcPr>
            <w:tcW w:w="1387" w:type="dxa"/>
            <w:shd w:val="clear" w:color="auto" w:fill="EEEEEE"/>
          </w:tcPr>
          <w:p w14:paraId="7F1B8B69" w14:textId="06800EAA" w:rsidR="00D8098C" w:rsidRPr="00A1236D" w:rsidRDefault="005A1AEB"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Supp table 1</w:t>
            </w:r>
            <w:r w:rsidR="001268BC">
              <w:rPr>
                <w:rFonts w:eastAsia="Times New Roman"/>
                <w:sz w:val="18"/>
                <w:szCs w:val="18"/>
                <w:lang w:val="en-GB" w:eastAsia="en-GB"/>
              </w:rPr>
              <w:t xml:space="preserve"> and 7</w:t>
            </w:r>
          </w:p>
        </w:tc>
        <w:tc>
          <w:tcPr>
            <w:tcW w:w="4000" w:type="dxa"/>
            <w:shd w:val="clear" w:color="auto" w:fill="EEEEEE"/>
          </w:tcPr>
          <w:p w14:paraId="2009E139" w14:textId="77777777" w:rsidR="00D8098C" w:rsidRDefault="009B20F3" w:rsidP="00426603">
            <w:pPr>
              <w:spacing w:beforeLines="40" w:before="96" w:afterLines="40" w:after="96" w:line="24" w:lineRule="atLeast"/>
              <w:rPr>
                <w:rFonts w:eastAsia="Times New Roman"/>
                <w:sz w:val="18"/>
                <w:szCs w:val="18"/>
                <w:lang w:val="en-GB" w:eastAsia="en-GB"/>
              </w:rPr>
            </w:pPr>
            <w:r w:rsidRPr="00852411">
              <w:rPr>
                <w:rFonts w:eastAsia="Times New Roman"/>
                <w:sz w:val="18"/>
                <w:szCs w:val="18"/>
                <w:lang w:val="en-GB" w:eastAsia="en-GB"/>
              </w:rPr>
              <w:t xml:space="preserve">A complete list of the genes </w:t>
            </w:r>
            <w:r w:rsidR="008C2370">
              <w:rPr>
                <w:rFonts w:eastAsia="Times New Roman"/>
                <w:sz w:val="18"/>
                <w:szCs w:val="18"/>
                <w:lang w:val="en-GB" w:eastAsia="en-GB"/>
              </w:rPr>
              <w:t xml:space="preserve">(and all measures) </w:t>
            </w:r>
            <w:r w:rsidRPr="00852411">
              <w:rPr>
                <w:rFonts w:eastAsia="Times New Roman"/>
                <w:sz w:val="18"/>
                <w:szCs w:val="18"/>
                <w:lang w:val="en-GB" w:eastAsia="en-GB"/>
              </w:rPr>
              <w:t xml:space="preserve">we identified as being causally associated with </w:t>
            </w:r>
            <w:r w:rsidR="008C2370">
              <w:rPr>
                <w:rFonts w:eastAsia="Times New Roman"/>
                <w:sz w:val="18"/>
                <w:szCs w:val="18"/>
                <w:lang w:val="en-GB" w:eastAsia="en-GB"/>
              </w:rPr>
              <w:t>CAD</w:t>
            </w:r>
            <w:r w:rsidRPr="00852411">
              <w:rPr>
                <w:rFonts w:eastAsia="Times New Roman"/>
                <w:sz w:val="18"/>
                <w:szCs w:val="18"/>
                <w:lang w:val="en-GB" w:eastAsia="en-GB"/>
              </w:rPr>
              <w:t xml:space="preserve"> is presented in Supplementary </w:t>
            </w:r>
            <w:r w:rsidR="008C2370">
              <w:rPr>
                <w:rFonts w:eastAsia="Times New Roman"/>
                <w:sz w:val="18"/>
                <w:szCs w:val="18"/>
                <w:lang w:val="en-GB" w:eastAsia="en-GB"/>
              </w:rPr>
              <w:t>table</w:t>
            </w:r>
            <w:r w:rsidRPr="00852411">
              <w:rPr>
                <w:rFonts w:eastAsia="Times New Roman"/>
                <w:sz w:val="18"/>
                <w:szCs w:val="18"/>
                <w:lang w:val="en-GB" w:eastAsia="en-GB"/>
              </w:rPr>
              <w:t xml:space="preserve"> 1.</w:t>
            </w:r>
          </w:p>
          <w:p w14:paraId="7BCA1C07" w14:textId="36121569" w:rsidR="001268BC" w:rsidRDefault="001268BC"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The MR results for HDL are presented in Supplementary table 7.</w:t>
            </w:r>
          </w:p>
        </w:tc>
      </w:tr>
      <w:tr w:rsidR="008C2370" w:rsidRPr="00B853C6" w14:paraId="2FAEFE68" w14:textId="09D82DE1" w:rsidTr="00BB18FF">
        <w:tc>
          <w:tcPr>
            <w:tcW w:w="587" w:type="dxa"/>
            <w:shd w:val="clear" w:color="auto" w:fill="auto"/>
          </w:tcPr>
          <w:p w14:paraId="2E83DFB7" w14:textId="77777777" w:rsidR="008C2370" w:rsidRPr="00F0337F" w:rsidRDefault="008C2370" w:rsidP="008C2370">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142A3CE2" w14:textId="77777777" w:rsidR="008C2370" w:rsidRPr="00F0337F" w:rsidRDefault="008C2370" w:rsidP="008C2370">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auto"/>
          </w:tcPr>
          <w:p w14:paraId="336E75EE" w14:textId="144F95EC" w:rsidR="008C2370" w:rsidRPr="00A1236D" w:rsidRDefault="008C2370" w:rsidP="008C2370">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MR estimates of the relationship between exposure and outcome, and the measures of uncertainty from the MR analysis, on an interpretable scale, such as odds ratio or relative risk per </w:t>
            </w:r>
            <w:r>
              <w:rPr>
                <w:rFonts w:eastAsia="Times New Roman"/>
                <w:sz w:val="18"/>
                <w:szCs w:val="18"/>
                <w:lang w:val="en-GB" w:eastAsia="en-GB"/>
              </w:rPr>
              <w:t>SD</w:t>
            </w:r>
            <w:r w:rsidRPr="00A1236D">
              <w:rPr>
                <w:rFonts w:eastAsia="Times New Roman"/>
                <w:sz w:val="18"/>
                <w:szCs w:val="18"/>
                <w:lang w:val="en-GB" w:eastAsia="en-GB"/>
              </w:rPr>
              <w:t xml:space="preserve"> difference</w:t>
            </w:r>
          </w:p>
        </w:tc>
        <w:tc>
          <w:tcPr>
            <w:tcW w:w="1387" w:type="dxa"/>
          </w:tcPr>
          <w:p w14:paraId="1E1B567F" w14:textId="4E274868" w:rsidR="008C2370" w:rsidRPr="00A1236D" w:rsidRDefault="005A1AEB" w:rsidP="008C2370">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 xml:space="preserve">Supp tables 1 and </w:t>
            </w:r>
            <w:r w:rsidR="001268BC">
              <w:rPr>
                <w:rFonts w:eastAsia="Times New Roman"/>
                <w:sz w:val="18"/>
                <w:szCs w:val="18"/>
                <w:lang w:val="en-GB" w:eastAsia="en-GB"/>
              </w:rPr>
              <w:t>7</w:t>
            </w:r>
          </w:p>
        </w:tc>
        <w:tc>
          <w:tcPr>
            <w:tcW w:w="4000" w:type="dxa"/>
          </w:tcPr>
          <w:p w14:paraId="387212C1" w14:textId="77777777" w:rsidR="008C2370" w:rsidRDefault="008C2370" w:rsidP="008C2370">
            <w:pPr>
              <w:spacing w:beforeLines="40" w:before="96" w:afterLines="40" w:after="96" w:line="24" w:lineRule="atLeast"/>
              <w:rPr>
                <w:rFonts w:eastAsia="Times New Roman"/>
                <w:sz w:val="18"/>
                <w:szCs w:val="18"/>
                <w:lang w:val="en-GB" w:eastAsia="en-GB"/>
              </w:rPr>
            </w:pPr>
            <w:r w:rsidRPr="00852411">
              <w:rPr>
                <w:rFonts w:eastAsia="Times New Roman"/>
                <w:sz w:val="18"/>
                <w:szCs w:val="18"/>
                <w:lang w:val="en-GB" w:eastAsia="en-GB"/>
              </w:rPr>
              <w:t xml:space="preserve">A complete list of the genes </w:t>
            </w:r>
            <w:r>
              <w:rPr>
                <w:rFonts w:eastAsia="Times New Roman"/>
                <w:sz w:val="18"/>
                <w:szCs w:val="18"/>
                <w:lang w:val="en-GB" w:eastAsia="en-GB"/>
              </w:rPr>
              <w:t xml:space="preserve">(and all measures) </w:t>
            </w:r>
            <w:r w:rsidRPr="00852411">
              <w:rPr>
                <w:rFonts w:eastAsia="Times New Roman"/>
                <w:sz w:val="18"/>
                <w:szCs w:val="18"/>
                <w:lang w:val="en-GB" w:eastAsia="en-GB"/>
              </w:rPr>
              <w:t xml:space="preserve">we identified as being causally associated with </w:t>
            </w:r>
            <w:r>
              <w:rPr>
                <w:rFonts w:eastAsia="Times New Roman"/>
                <w:sz w:val="18"/>
                <w:szCs w:val="18"/>
                <w:lang w:val="en-GB" w:eastAsia="en-GB"/>
              </w:rPr>
              <w:t>CAD</w:t>
            </w:r>
            <w:r w:rsidRPr="00852411">
              <w:rPr>
                <w:rFonts w:eastAsia="Times New Roman"/>
                <w:sz w:val="18"/>
                <w:szCs w:val="18"/>
                <w:lang w:val="en-GB" w:eastAsia="en-GB"/>
              </w:rPr>
              <w:t xml:space="preserve"> is presented in Supplementary </w:t>
            </w:r>
            <w:r>
              <w:rPr>
                <w:rFonts w:eastAsia="Times New Roman"/>
                <w:sz w:val="18"/>
                <w:szCs w:val="18"/>
                <w:lang w:val="en-GB" w:eastAsia="en-GB"/>
              </w:rPr>
              <w:t>table</w:t>
            </w:r>
            <w:r w:rsidRPr="00852411">
              <w:rPr>
                <w:rFonts w:eastAsia="Times New Roman"/>
                <w:sz w:val="18"/>
                <w:szCs w:val="18"/>
                <w:lang w:val="en-GB" w:eastAsia="en-GB"/>
              </w:rPr>
              <w:t xml:space="preserve"> 1.</w:t>
            </w:r>
          </w:p>
          <w:p w14:paraId="4564CEDB" w14:textId="100CB352" w:rsidR="001268BC" w:rsidRDefault="001268BC" w:rsidP="008C2370">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The MR results for HDL are presented in Supplementary table 7.</w:t>
            </w:r>
          </w:p>
        </w:tc>
      </w:tr>
      <w:tr w:rsidR="00D8098C" w:rsidRPr="00B853C6" w14:paraId="1FAC379E" w14:textId="0C198578" w:rsidTr="00BB18FF">
        <w:tc>
          <w:tcPr>
            <w:tcW w:w="587" w:type="dxa"/>
            <w:shd w:val="clear" w:color="auto" w:fill="EEEEEE"/>
          </w:tcPr>
          <w:p w14:paraId="6762B88A"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514E8164"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702" w:type="dxa"/>
            <w:shd w:val="clear" w:color="auto" w:fill="EEEEEE"/>
          </w:tcPr>
          <w:p w14:paraId="4BC6AB7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If relevant, consider translating estimates of relative risk into absolute risk for a meaningful time period</w:t>
            </w:r>
          </w:p>
        </w:tc>
        <w:tc>
          <w:tcPr>
            <w:tcW w:w="1387" w:type="dxa"/>
            <w:shd w:val="clear" w:color="auto" w:fill="EEEEEE"/>
          </w:tcPr>
          <w:p w14:paraId="326BA5CA"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shd w:val="clear" w:color="auto" w:fill="EEEEEE"/>
          </w:tcPr>
          <w:p w14:paraId="4A2216FF" w14:textId="4F637EA4" w:rsidR="00D8098C" w:rsidRDefault="00B043AA"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N/A</w:t>
            </w:r>
          </w:p>
        </w:tc>
      </w:tr>
      <w:tr w:rsidR="00D8098C" w:rsidRPr="00B853C6" w14:paraId="00F87C74" w14:textId="30F32A00" w:rsidTr="00BB18FF">
        <w:tc>
          <w:tcPr>
            <w:tcW w:w="587" w:type="dxa"/>
            <w:shd w:val="clear" w:color="auto" w:fill="auto"/>
          </w:tcPr>
          <w:p w14:paraId="2CDE5DE6"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69C50E8E"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702" w:type="dxa"/>
            <w:shd w:val="clear" w:color="auto" w:fill="auto"/>
          </w:tcPr>
          <w:p w14:paraId="47CC3ACC"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Consider plots to visualize results (e.g. forest plot, scatterplot of associations between genetic variants and outcome versus between genetic variants and exposure)</w:t>
            </w:r>
          </w:p>
        </w:tc>
        <w:tc>
          <w:tcPr>
            <w:tcW w:w="1387" w:type="dxa"/>
          </w:tcPr>
          <w:p w14:paraId="777DAC23"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tcPr>
          <w:p w14:paraId="7B9F0A4D" w14:textId="02D07631" w:rsidR="00D8098C" w:rsidRDefault="0005397C"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Forest plots were used to visualize results</w:t>
            </w:r>
            <w:r w:rsidR="000438F6">
              <w:rPr>
                <w:rFonts w:eastAsia="Times New Roman"/>
                <w:sz w:val="18"/>
                <w:szCs w:val="18"/>
                <w:lang w:val="en-GB" w:eastAsia="en-GB"/>
              </w:rPr>
              <w:t xml:space="preserve"> (e.g. Fig 2).</w:t>
            </w:r>
          </w:p>
        </w:tc>
      </w:tr>
      <w:tr w:rsidR="00D8098C" w:rsidRPr="00B853C6" w14:paraId="62E6DFEA" w14:textId="107C6F5B" w:rsidTr="00BB18FF">
        <w:tc>
          <w:tcPr>
            <w:tcW w:w="587" w:type="dxa"/>
            <w:shd w:val="clear" w:color="auto" w:fill="EEEEEE"/>
          </w:tcPr>
          <w:p w14:paraId="57CB2789"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12</w:t>
            </w:r>
          </w:p>
        </w:tc>
        <w:tc>
          <w:tcPr>
            <w:tcW w:w="1814" w:type="dxa"/>
            <w:shd w:val="clear" w:color="auto" w:fill="EEEEEE"/>
          </w:tcPr>
          <w:p w14:paraId="27B891DB"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Assessment of assumptions</w:t>
            </w:r>
          </w:p>
        </w:tc>
        <w:tc>
          <w:tcPr>
            <w:tcW w:w="6702" w:type="dxa"/>
            <w:shd w:val="clear" w:color="auto" w:fill="EEEEEE"/>
          </w:tcPr>
          <w:p w14:paraId="6EC050C1"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shd w:val="clear" w:color="auto" w:fill="EEEEEE"/>
          </w:tcPr>
          <w:p w14:paraId="3871A38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shd w:val="clear" w:color="auto" w:fill="EEEEEE"/>
          </w:tcPr>
          <w:p w14:paraId="10C8ADE2"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48EE0AFA" w14:textId="55C0BF1C" w:rsidTr="00BB18FF">
        <w:tc>
          <w:tcPr>
            <w:tcW w:w="587" w:type="dxa"/>
            <w:shd w:val="clear" w:color="auto" w:fill="auto"/>
          </w:tcPr>
          <w:p w14:paraId="4E29121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18A8B0E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auto"/>
          </w:tcPr>
          <w:p w14:paraId="1A97B456"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the assessment of the validity of the assumptions</w:t>
            </w:r>
          </w:p>
        </w:tc>
        <w:tc>
          <w:tcPr>
            <w:tcW w:w="1387" w:type="dxa"/>
          </w:tcPr>
          <w:p w14:paraId="6E2D56F0" w14:textId="42131D28" w:rsidR="00D8098C" w:rsidRPr="00A1236D" w:rsidRDefault="008C2A2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19</w:t>
            </w:r>
          </w:p>
        </w:tc>
        <w:tc>
          <w:tcPr>
            <w:tcW w:w="4000" w:type="dxa"/>
          </w:tcPr>
          <w:p w14:paraId="5E7081D1" w14:textId="3FEF4408" w:rsidR="00D8098C" w:rsidRDefault="008C2A23" w:rsidP="00BC5969">
            <w:pPr>
              <w:spacing w:beforeLines="40" w:before="96" w:afterLines="40" w:after="96" w:line="24" w:lineRule="atLeast"/>
              <w:rPr>
                <w:rFonts w:eastAsia="Times New Roman"/>
                <w:sz w:val="18"/>
                <w:szCs w:val="18"/>
                <w:lang w:val="en-GB" w:eastAsia="en-GB"/>
              </w:rPr>
            </w:pPr>
            <w:r w:rsidRPr="008C2A23">
              <w:rPr>
                <w:rFonts w:eastAsia="Times New Roman"/>
                <w:sz w:val="18"/>
                <w:szCs w:val="18"/>
                <w:lang w:val="en-GB" w:eastAsia="en-GB"/>
              </w:rPr>
              <w:t xml:space="preserve">We used fixed-effects, inverse-variance-weighted MR for proposed instruments that contain more than one variant and Wald ratio for proposed instruments with one variant. For proposed instruments with multiple variants, we </w:t>
            </w:r>
            <w:r w:rsidRPr="008C2A23">
              <w:rPr>
                <w:rFonts w:eastAsia="Times New Roman"/>
                <w:sz w:val="18"/>
                <w:szCs w:val="18"/>
                <w:lang w:val="en-GB" w:eastAsia="en-GB"/>
              </w:rPr>
              <w:lastRenderedPageBreak/>
              <w:t>also tested the heterogeneity across variant-level MR estimates, using the Cochrane Q method (</w:t>
            </w:r>
            <w:proofErr w:type="spellStart"/>
            <w:r w:rsidRPr="008C2A23">
              <w:rPr>
                <w:rFonts w:eastAsia="Times New Roman"/>
                <w:sz w:val="18"/>
                <w:szCs w:val="18"/>
                <w:lang w:val="en-GB" w:eastAsia="en-GB"/>
              </w:rPr>
              <w:t>mr_heterogeneity</w:t>
            </w:r>
            <w:proofErr w:type="spellEnd"/>
            <w:r w:rsidRPr="008C2A23">
              <w:rPr>
                <w:rFonts w:eastAsia="Times New Roman"/>
                <w:sz w:val="18"/>
                <w:szCs w:val="18"/>
                <w:lang w:val="en-GB" w:eastAsia="en-GB"/>
              </w:rPr>
              <w:t xml:space="preserve"> option in </w:t>
            </w:r>
            <w:proofErr w:type="spellStart"/>
            <w:r w:rsidRPr="008C2A23">
              <w:rPr>
                <w:rFonts w:eastAsia="Times New Roman"/>
                <w:sz w:val="18"/>
                <w:szCs w:val="18"/>
                <w:lang w:val="en-GB" w:eastAsia="en-GB"/>
              </w:rPr>
              <w:t>TwoSampleMR</w:t>
            </w:r>
            <w:proofErr w:type="spellEnd"/>
            <w:r w:rsidRPr="008C2A23">
              <w:rPr>
                <w:rFonts w:eastAsia="Times New Roman"/>
                <w:sz w:val="18"/>
                <w:szCs w:val="18"/>
                <w:lang w:val="en-GB" w:eastAsia="en-GB"/>
              </w:rPr>
              <w:t xml:space="preserve"> package). We defined significant MR results using a P value threshold of p &lt; 1 x 10</w:t>
            </w:r>
            <w:r w:rsidRPr="00A44E11">
              <w:rPr>
                <w:rFonts w:eastAsia="Times New Roman"/>
                <w:sz w:val="18"/>
                <w:szCs w:val="18"/>
                <w:vertAlign w:val="superscript"/>
                <w:lang w:val="en-GB" w:eastAsia="en-GB"/>
              </w:rPr>
              <w:t>-5</w:t>
            </w:r>
            <w:r w:rsidRPr="008C2A23">
              <w:rPr>
                <w:rFonts w:eastAsia="Times New Roman"/>
                <w:sz w:val="18"/>
                <w:szCs w:val="18"/>
                <w:lang w:val="en-GB" w:eastAsia="en-GB"/>
              </w:rPr>
              <w:t>. Causal genes were checked for overlaps within the Cardiovascular Disease Knowledge Portal, which aggregates and analyses genetic association results, epigenomic annotations, and results of computational prediction methods to provide data, visualizations, and tools in an open-access portal.</w:t>
            </w:r>
          </w:p>
        </w:tc>
      </w:tr>
      <w:tr w:rsidR="00D8098C" w:rsidRPr="00B853C6" w14:paraId="7BDA55CD" w14:textId="6465618D" w:rsidTr="00BB18FF">
        <w:tc>
          <w:tcPr>
            <w:tcW w:w="587" w:type="dxa"/>
            <w:shd w:val="clear" w:color="auto" w:fill="EEEEEE"/>
          </w:tcPr>
          <w:p w14:paraId="6F27FA73"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6BC0019D"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EEEEEE"/>
          </w:tcPr>
          <w:p w14:paraId="400ADD58"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Report any additional statistics (e.g., assessments of heterogeneity </w:t>
            </w:r>
            <w:r w:rsidRPr="00A1236D">
              <w:rPr>
                <w:rFonts w:eastAsia="Times New Roman"/>
                <w:sz w:val="18"/>
                <w:szCs w:val="18"/>
                <w:lang w:eastAsia="en-GB"/>
              </w:rPr>
              <w:t>across genetic variants</w:t>
            </w:r>
            <w:r w:rsidRPr="00A1236D">
              <w:rPr>
                <w:rFonts w:eastAsia="Times New Roman"/>
                <w:sz w:val="18"/>
                <w:szCs w:val="18"/>
                <w:lang w:val="en-GB" w:eastAsia="en-GB"/>
              </w:rPr>
              <w:t xml:space="preserve">, such as </w:t>
            </w:r>
            <w:r w:rsidRPr="005A0D0D">
              <w:rPr>
                <w:rFonts w:eastAsia="Times New Roman"/>
                <w:i/>
                <w:sz w:val="18"/>
                <w:szCs w:val="18"/>
                <w:lang w:val="en-GB" w:eastAsia="en-GB"/>
              </w:rPr>
              <w:t>I</w:t>
            </w:r>
            <w:r w:rsidRPr="005A0D0D">
              <w:rPr>
                <w:rFonts w:eastAsia="Times New Roman"/>
                <w:i/>
                <w:sz w:val="18"/>
                <w:szCs w:val="18"/>
                <w:vertAlign w:val="superscript"/>
                <w:lang w:val="en-GB" w:eastAsia="en-GB"/>
              </w:rPr>
              <w:t>2</w:t>
            </w:r>
            <w:r w:rsidRPr="00A1236D">
              <w:rPr>
                <w:rFonts w:eastAsia="Times New Roman"/>
                <w:sz w:val="18"/>
                <w:szCs w:val="18"/>
                <w:lang w:val="en-GB" w:eastAsia="en-GB"/>
              </w:rPr>
              <w:t>, Q statistic or E-value)</w:t>
            </w:r>
          </w:p>
        </w:tc>
        <w:tc>
          <w:tcPr>
            <w:tcW w:w="1387" w:type="dxa"/>
            <w:shd w:val="clear" w:color="auto" w:fill="EEEEEE"/>
          </w:tcPr>
          <w:p w14:paraId="2D6E39C6"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shd w:val="clear" w:color="auto" w:fill="EEEEEE"/>
          </w:tcPr>
          <w:p w14:paraId="205C4ED8" w14:textId="04D37796" w:rsidR="00D8098C" w:rsidRDefault="00BC596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See above</w:t>
            </w:r>
          </w:p>
        </w:tc>
      </w:tr>
      <w:tr w:rsidR="00D8098C" w:rsidRPr="00B853C6" w14:paraId="23F1C43D" w14:textId="6396118D" w:rsidTr="00BB18FF">
        <w:tc>
          <w:tcPr>
            <w:tcW w:w="587" w:type="dxa"/>
            <w:shd w:val="clear" w:color="auto" w:fill="auto"/>
          </w:tcPr>
          <w:p w14:paraId="021A9BB4"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13</w:t>
            </w:r>
          </w:p>
        </w:tc>
        <w:tc>
          <w:tcPr>
            <w:tcW w:w="1814" w:type="dxa"/>
            <w:shd w:val="clear" w:color="auto" w:fill="auto"/>
          </w:tcPr>
          <w:p w14:paraId="51D3F02D"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Sensitivity analyses and additional analyses</w:t>
            </w:r>
          </w:p>
        </w:tc>
        <w:tc>
          <w:tcPr>
            <w:tcW w:w="6702" w:type="dxa"/>
            <w:shd w:val="clear" w:color="auto" w:fill="auto"/>
          </w:tcPr>
          <w:p w14:paraId="4AB1D97F"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tcPr>
          <w:p w14:paraId="50481D1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tcPr>
          <w:p w14:paraId="0F2C43F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ABE2F1D" w14:textId="316B0F58" w:rsidTr="00BB18FF">
        <w:tc>
          <w:tcPr>
            <w:tcW w:w="587" w:type="dxa"/>
            <w:shd w:val="clear" w:color="auto" w:fill="EEEEEE"/>
          </w:tcPr>
          <w:p w14:paraId="0D022F9B"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27E8FFD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EEEEEE"/>
          </w:tcPr>
          <w:p w14:paraId="30AA9260"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any sensitivity analyses to assess the robustness of the main results to violations of the assumptions</w:t>
            </w:r>
          </w:p>
        </w:tc>
        <w:tc>
          <w:tcPr>
            <w:tcW w:w="1387" w:type="dxa"/>
            <w:shd w:val="clear" w:color="auto" w:fill="EEEEEE"/>
          </w:tcPr>
          <w:p w14:paraId="39DB2F0E"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shd w:val="clear" w:color="auto" w:fill="EEEEEE"/>
          </w:tcPr>
          <w:p w14:paraId="73386906" w14:textId="0E1CCE77" w:rsidR="00D8098C" w:rsidRDefault="00BC596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See above</w:t>
            </w:r>
          </w:p>
        </w:tc>
      </w:tr>
      <w:tr w:rsidR="00D8098C" w:rsidRPr="00B853C6" w14:paraId="3696A9F1" w14:textId="63B96DDA" w:rsidTr="00BB18FF">
        <w:tc>
          <w:tcPr>
            <w:tcW w:w="587" w:type="dxa"/>
            <w:shd w:val="clear" w:color="auto" w:fill="auto"/>
          </w:tcPr>
          <w:p w14:paraId="0D2234E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7453E1FF"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auto"/>
          </w:tcPr>
          <w:p w14:paraId="5111E54D"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Report results from other sensitivity analyses or additional analyses</w:t>
            </w:r>
          </w:p>
        </w:tc>
        <w:tc>
          <w:tcPr>
            <w:tcW w:w="1387" w:type="dxa"/>
          </w:tcPr>
          <w:p w14:paraId="447F5BF5"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tcPr>
          <w:p w14:paraId="5BB83735" w14:textId="2F42B753" w:rsidR="00D8098C" w:rsidRDefault="00BC596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See above</w:t>
            </w:r>
          </w:p>
        </w:tc>
      </w:tr>
      <w:tr w:rsidR="00D8098C" w:rsidRPr="00B853C6" w14:paraId="1650BAB8" w14:textId="79D11DE7" w:rsidTr="00BB18FF">
        <w:tc>
          <w:tcPr>
            <w:tcW w:w="587" w:type="dxa"/>
            <w:shd w:val="clear" w:color="auto" w:fill="EEEEEE"/>
          </w:tcPr>
          <w:p w14:paraId="4D025CC4"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6EAD995A"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702" w:type="dxa"/>
            <w:shd w:val="clear" w:color="auto" w:fill="EEEEEE"/>
          </w:tcPr>
          <w:p w14:paraId="14E0FCD9"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Report any assessment of direction of causal relationship (e.g., bidirectional MR)</w:t>
            </w:r>
          </w:p>
        </w:tc>
        <w:tc>
          <w:tcPr>
            <w:tcW w:w="1387" w:type="dxa"/>
            <w:shd w:val="clear" w:color="auto" w:fill="EEEEEE"/>
          </w:tcPr>
          <w:p w14:paraId="03D1A085" w14:textId="7B46A015"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shd w:val="clear" w:color="auto" w:fill="EEEEEE"/>
          </w:tcPr>
          <w:p w14:paraId="66751F07" w14:textId="202FC7EF" w:rsidR="00F85407" w:rsidRDefault="00A05020"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w:t>
            </w:r>
          </w:p>
        </w:tc>
      </w:tr>
      <w:tr w:rsidR="00D8098C" w:rsidRPr="00B853C6" w14:paraId="2034ACF7" w14:textId="19A8CB33" w:rsidTr="00BB18FF">
        <w:tc>
          <w:tcPr>
            <w:tcW w:w="587" w:type="dxa"/>
            <w:shd w:val="clear" w:color="auto" w:fill="auto"/>
          </w:tcPr>
          <w:p w14:paraId="3217ECED"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5AE90FE5"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d)</w:t>
            </w:r>
          </w:p>
        </w:tc>
        <w:tc>
          <w:tcPr>
            <w:tcW w:w="6702" w:type="dxa"/>
            <w:shd w:val="clear" w:color="auto" w:fill="auto"/>
          </w:tcPr>
          <w:p w14:paraId="3A13AF31"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When relevant, report and compare with estimates from non-MR analyses</w:t>
            </w:r>
          </w:p>
        </w:tc>
        <w:tc>
          <w:tcPr>
            <w:tcW w:w="1387" w:type="dxa"/>
          </w:tcPr>
          <w:p w14:paraId="528F9F4C" w14:textId="45629A6C" w:rsidR="00D8098C" w:rsidRPr="00A1236D" w:rsidRDefault="000A73D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19</w:t>
            </w:r>
          </w:p>
        </w:tc>
        <w:tc>
          <w:tcPr>
            <w:tcW w:w="4000" w:type="dxa"/>
          </w:tcPr>
          <w:p w14:paraId="7B882C5B" w14:textId="2C04828F" w:rsidR="00D8098C" w:rsidRDefault="000A73D3" w:rsidP="00426603">
            <w:pPr>
              <w:spacing w:beforeLines="40" w:before="96" w:afterLines="40" w:after="96" w:line="24" w:lineRule="atLeast"/>
              <w:rPr>
                <w:rFonts w:eastAsia="Times New Roman"/>
                <w:sz w:val="18"/>
                <w:szCs w:val="18"/>
                <w:lang w:val="en-GB" w:eastAsia="en-GB"/>
              </w:rPr>
            </w:pPr>
            <w:r w:rsidRPr="008C2A23">
              <w:rPr>
                <w:rFonts w:eastAsia="Times New Roman"/>
                <w:sz w:val="18"/>
                <w:szCs w:val="18"/>
                <w:lang w:val="en-GB" w:eastAsia="en-GB"/>
              </w:rPr>
              <w:t>Causal genes were checked for overlaps within the Cardiovascular Disease Knowledge Portal, which aggregates and analyses genetic association results, epigenomic annotations, and results of computational prediction methods to provide data, visualizations, and tools in an open-access portal.</w:t>
            </w:r>
          </w:p>
        </w:tc>
      </w:tr>
      <w:tr w:rsidR="00D8098C" w:rsidRPr="00B853C6" w14:paraId="3E7CFBFC" w14:textId="3F99A047" w:rsidTr="00BB18FF">
        <w:tc>
          <w:tcPr>
            <w:tcW w:w="587" w:type="dxa"/>
            <w:tcBorders>
              <w:bottom w:val="single" w:sz="6" w:space="0" w:color="7F7F7F"/>
            </w:tcBorders>
            <w:shd w:val="clear" w:color="auto" w:fill="EEEEEE"/>
          </w:tcPr>
          <w:p w14:paraId="1FDC421F"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tcBorders>
              <w:bottom w:val="single" w:sz="6" w:space="0" w:color="7F7F7F"/>
            </w:tcBorders>
            <w:shd w:val="clear" w:color="auto" w:fill="EEEEEE"/>
          </w:tcPr>
          <w:p w14:paraId="5FE15030"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e)</w:t>
            </w:r>
          </w:p>
        </w:tc>
        <w:tc>
          <w:tcPr>
            <w:tcW w:w="6702" w:type="dxa"/>
            <w:tcBorders>
              <w:bottom w:val="single" w:sz="6" w:space="0" w:color="7F7F7F"/>
            </w:tcBorders>
            <w:shd w:val="clear" w:color="auto" w:fill="EEEEEE"/>
          </w:tcPr>
          <w:p w14:paraId="61CE32BA"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Consider additional plots to visualize results (e.g., leave-one-out analyses)</w:t>
            </w:r>
          </w:p>
        </w:tc>
        <w:tc>
          <w:tcPr>
            <w:tcW w:w="1387" w:type="dxa"/>
            <w:tcBorders>
              <w:bottom w:val="single" w:sz="6" w:space="0" w:color="7F7F7F"/>
            </w:tcBorders>
            <w:shd w:val="clear" w:color="auto" w:fill="EEEEEE"/>
          </w:tcPr>
          <w:p w14:paraId="33892A62" w14:textId="77777777" w:rsidR="00D8098C" w:rsidRPr="00A1236D" w:rsidRDefault="00D8098C" w:rsidP="00426603">
            <w:pPr>
              <w:spacing w:beforeLines="40" w:before="96" w:afterLines="40" w:after="96" w:line="24" w:lineRule="atLeast"/>
              <w:rPr>
                <w:rFonts w:eastAsia="Times New Roman"/>
                <w:sz w:val="18"/>
                <w:szCs w:val="18"/>
                <w:lang w:val="en-GB" w:eastAsia="en-GB"/>
              </w:rPr>
            </w:pPr>
          </w:p>
        </w:tc>
        <w:tc>
          <w:tcPr>
            <w:tcW w:w="4000" w:type="dxa"/>
            <w:tcBorders>
              <w:bottom w:val="single" w:sz="6" w:space="0" w:color="7F7F7F"/>
            </w:tcBorders>
            <w:shd w:val="clear" w:color="auto" w:fill="EEEEEE"/>
          </w:tcPr>
          <w:p w14:paraId="03A6AB93" w14:textId="7F0EA692" w:rsidR="00D8098C" w:rsidRDefault="00BC5969"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w:t>
            </w:r>
          </w:p>
        </w:tc>
      </w:tr>
      <w:tr w:rsidR="00D8098C" w:rsidRPr="00B853C6" w14:paraId="5B7D2773" w14:textId="7D8D257A" w:rsidTr="00BB18FF">
        <w:tc>
          <w:tcPr>
            <w:tcW w:w="587" w:type="dxa"/>
            <w:tcBorders>
              <w:top w:val="single" w:sz="6" w:space="0" w:color="7F7F7F"/>
            </w:tcBorders>
            <w:shd w:val="clear" w:color="auto" w:fill="auto"/>
          </w:tcPr>
          <w:p w14:paraId="5BDBDA6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14" w:type="dxa"/>
            <w:tcBorders>
              <w:top w:val="single" w:sz="6" w:space="0" w:color="7F7F7F"/>
            </w:tcBorders>
            <w:shd w:val="clear" w:color="auto" w:fill="auto"/>
          </w:tcPr>
          <w:p w14:paraId="1C564B75"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DISCUSSION</w:t>
            </w:r>
          </w:p>
        </w:tc>
        <w:tc>
          <w:tcPr>
            <w:tcW w:w="6702" w:type="dxa"/>
            <w:tcBorders>
              <w:top w:val="single" w:sz="6" w:space="0" w:color="7F7F7F"/>
            </w:tcBorders>
            <w:shd w:val="clear" w:color="auto" w:fill="auto"/>
          </w:tcPr>
          <w:p w14:paraId="35997729"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tcBorders>
              <w:top w:val="single" w:sz="6" w:space="0" w:color="7F7F7F"/>
            </w:tcBorders>
          </w:tcPr>
          <w:p w14:paraId="1AAD7FFB"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tcBorders>
              <w:top w:val="single" w:sz="6" w:space="0" w:color="7F7F7F"/>
            </w:tcBorders>
          </w:tcPr>
          <w:p w14:paraId="2AE3A897"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1800AF05" w14:textId="4BEA2748" w:rsidTr="00BB18FF">
        <w:tc>
          <w:tcPr>
            <w:tcW w:w="587" w:type="dxa"/>
            <w:shd w:val="clear" w:color="auto" w:fill="EEEEEE"/>
          </w:tcPr>
          <w:p w14:paraId="6B5F5286"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14</w:t>
            </w:r>
          </w:p>
        </w:tc>
        <w:tc>
          <w:tcPr>
            <w:tcW w:w="1814" w:type="dxa"/>
            <w:shd w:val="clear" w:color="auto" w:fill="EEEEEE"/>
          </w:tcPr>
          <w:p w14:paraId="42EDC029"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Key results </w:t>
            </w:r>
          </w:p>
        </w:tc>
        <w:tc>
          <w:tcPr>
            <w:tcW w:w="6702" w:type="dxa"/>
            <w:shd w:val="clear" w:color="auto" w:fill="EEEEEE"/>
          </w:tcPr>
          <w:p w14:paraId="35F1CADF"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Summarize key results with reference to study objectives</w:t>
            </w:r>
          </w:p>
        </w:tc>
        <w:tc>
          <w:tcPr>
            <w:tcW w:w="1387" w:type="dxa"/>
            <w:shd w:val="clear" w:color="auto" w:fill="EEEEEE"/>
          </w:tcPr>
          <w:p w14:paraId="2C7117BF" w14:textId="6F292E1A" w:rsidR="00D8098C" w:rsidRPr="00A1236D" w:rsidRDefault="006E574D"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13</w:t>
            </w:r>
          </w:p>
        </w:tc>
        <w:tc>
          <w:tcPr>
            <w:tcW w:w="4000" w:type="dxa"/>
            <w:shd w:val="clear" w:color="auto" w:fill="EEEEEE"/>
          </w:tcPr>
          <w:p w14:paraId="70F1DDE7" w14:textId="6B48B8C1" w:rsidR="00D8098C" w:rsidRDefault="006E574D" w:rsidP="00426603">
            <w:pPr>
              <w:spacing w:beforeLines="40" w:before="96" w:afterLines="40" w:after="96" w:line="24" w:lineRule="atLeast"/>
              <w:rPr>
                <w:rFonts w:eastAsia="Times New Roman"/>
                <w:sz w:val="18"/>
                <w:szCs w:val="18"/>
                <w:lang w:val="en-GB" w:eastAsia="en-GB"/>
              </w:rPr>
            </w:pPr>
            <w:r w:rsidRPr="006E574D">
              <w:rPr>
                <w:rFonts w:eastAsia="Times New Roman"/>
                <w:sz w:val="18"/>
                <w:szCs w:val="18"/>
                <w:lang w:val="en-GB" w:eastAsia="en-GB"/>
              </w:rPr>
              <w:t xml:space="preserve">We identified a total of 98 novel protein-coding genes that are causal for CAD across coronary artery, whole blood and lung tissues, within European and East Asian ancestries. We identified a further 152 genes, which had previously been identified as being causal for CAD by Costanzo et al., supporting our </w:t>
            </w:r>
            <w:r w:rsidRPr="006E574D">
              <w:rPr>
                <w:rFonts w:eastAsia="Times New Roman"/>
                <w:sz w:val="18"/>
                <w:szCs w:val="18"/>
                <w:lang w:val="en-GB" w:eastAsia="en-GB"/>
              </w:rPr>
              <w:lastRenderedPageBreak/>
              <w:t>approach. Protein interaction networks enabled us to identify pathways involving causal genes that are genetically associated with known co-occurring traits such as HDL cholesterol, that had previously not been causally linked with CAD. Thus, our findings extend on the knowledge of CAD risk from GWAS studies9, highlighting causal mechanisms that are tissue-agnostic and ancestrally unique without a priori assumptions.</w:t>
            </w:r>
          </w:p>
        </w:tc>
      </w:tr>
      <w:tr w:rsidR="00D8098C" w:rsidRPr="00B853C6" w14:paraId="06BFAFA4" w14:textId="151FB6CE" w:rsidTr="00BB18FF">
        <w:tc>
          <w:tcPr>
            <w:tcW w:w="587" w:type="dxa"/>
            <w:shd w:val="clear" w:color="auto" w:fill="auto"/>
          </w:tcPr>
          <w:p w14:paraId="6D471CC5"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15</w:t>
            </w:r>
          </w:p>
        </w:tc>
        <w:tc>
          <w:tcPr>
            <w:tcW w:w="1814" w:type="dxa"/>
            <w:shd w:val="clear" w:color="auto" w:fill="auto"/>
          </w:tcPr>
          <w:p w14:paraId="5C27961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Limitations</w:t>
            </w:r>
          </w:p>
        </w:tc>
        <w:tc>
          <w:tcPr>
            <w:tcW w:w="6702" w:type="dxa"/>
            <w:shd w:val="clear" w:color="auto" w:fill="auto"/>
          </w:tcPr>
          <w:p w14:paraId="75B6F41B" w14:textId="77777777"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sidRPr="00A1236D">
              <w:rPr>
                <w:rFonts w:eastAsia="Times New Roman"/>
                <w:sz w:val="18"/>
                <w:szCs w:val="18"/>
                <w:shd w:val="clear" w:color="auto" w:fill="FFFFFF"/>
                <w:lang w:val="en-GB" w:eastAsia="en-GB"/>
              </w:rPr>
              <w:t> </w:t>
            </w:r>
          </w:p>
        </w:tc>
        <w:tc>
          <w:tcPr>
            <w:tcW w:w="1387" w:type="dxa"/>
          </w:tcPr>
          <w:p w14:paraId="201D4281" w14:textId="433D6D65" w:rsidR="00D8098C" w:rsidRPr="00A1236D" w:rsidRDefault="001B1A3F"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14</w:t>
            </w:r>
          </w:p>
        </w:tc>
        <w:tc>
          <w:tcPr>
            <w:tcW w:w="4000" w:type="dxa"/>
          </w:tcPr>
          <w:p w14:paraId="7CB4BA33" w14:textId="29193729" w:rsidR="00D8098C" w:rsidRDefault="001B1A3F" w:rsidP="00426603">
            <w:pPr>
              <w:spacing w:beforeLines="40" w:before="96" w:afterLines="40" w:after="96" w:line="24" w:lineRule="atLeast"/>
              <w:rPr>
                <w:rFonts w:eastAsia="Times New Roman"/>
                <w:sz w:val="18"/>
                <w:szCs w:val="18"/>
                <w:lang w:val="en-GB" w:eastAsia="en-GB"/>
              </w:rPr>
            </w:pPr>
            <w:r w:rsidRPr="001B1A3F">
              <w:rPr>
                <w:rFonts w:eastAsia="Times New Roman"/>
                <w:sz w:val="18"/>
                <w:szCs w:val="18"/>
                <w:lang w:val="en-GB" w:eastAsia="en-GB"/>
              </w:rPr>
              <w:t>This study is not without limitations and study bias, which arises from our reliance on existing Hi-C and GWAS datasets. As mentioned earlier, to be included in MR, an eQTL variant must (i) exhibit strong associations with the exposure, (ii) be associated with the outcome through the tested exposure only, and (iii) have no associations with any potential confounders that affect the outcome. The methods we employed minimised the possibility of violating these assumptions. However, it remains possible that this is not true during all developmental windows, as expression and genome organization change during development. In addition, our analyses exclude spatial eQTL target genes that lack curated interactions in resources like STRING or PROPER, potentially overlooking valuable insights. Another limitation pertains to the static nature of the gene regulatory and protein interaction networks we constructed, offering only a snapshot of potential interactions that may evolve over time. Lastly, our analyses amalgamate data from diverse sources (</w:t>
            </w:r>
            <w:proofErr w:type="spellStart"/>
            <w:r w:rsidRPr="001B1A3F">
              <w:rPr>
                <w:rFonts w:eastAsia="Times New Roman"/>
                <w:sz w:val="18"/>
                <w:szCs w:val="18"/>
                <w:lang w:val="en-GB" w:eastAsia="en-GB"/>
              </w:rPr>
              <w:t>eg</w:t>
            </w:r>
            <w:proofErr w:type="spellEnd"/>
            <w:r w:rsidRPr="001B1A3F">
              <w:rPr>
                <w:rFonts w:eastAsia="Times New Roman"/>
                <w:sz w:val="18"/>
                <w:szCs w:val="18"/>
                <w:lang w:val="en-GB" w:eastAsia="en-GB"/>
              </w:rPr>
              <w:t xml:space="preserve"> </w:t>
            </w:r>
            <w:proofErr w:type="spellStart"/>
            <w:r w:rsidRPr="001B1A3F">
              <w:rPr>
                <w:rFonts w:eastAsia="Times New Roman"/>
                <w:sz w:val="18"/>
                <w:szCs w:val="18"/>
                <w:lang w:val="en-GB" w:eastAsia="en-GB"/>
              </w:rPr>
              <w:t>eQTL</w:t>
            </w:r>
            <w:proofErr w:type="spellEnd"/>
            <w:r w:rsidRPr="001B1A3F">
              <w:rPr>
                <w:rFonts w:eastAsia="Times New Roman"/>
                <w:sz w:val="18"/>
                <w:szCs w:val="18"/>
                <w:lang w:val="en-GB" w:eastAsia="en-GB"/>
              </w:rPr>
              <w:t xml:space="preserve"> data from GTEx, Hi-C datasets, GWAS, and protein interaction data). This lack of overlap is a strength that enables the integration of the GRNs with the GWSS data. However, it can be considered to weaken the GRNs themselves due to the fact that the genome organization and eQTL data are not from the same biological samples. Despite these limitations, our approach enhances our ability to discern the direct contributions of causal genes and associated traits in CAD. </w:t>
            </w:r>
            <w:r w:rsidRPr="001B1A3F">
              <w:rPr>
                <w:rFonts w:eastAsia="Times New Roman"/>
                <w:sz w:val="18"/>
                <w:szCs w:val="18"/>
                <w:lang w:val="en-GB" w:eastAsia="en-GB"/>
              </w:rPr>
              <w:lastRenderedPageBreak/>
              <w:t>These contributions remain to be confirmed empirically.</w:t>
            </w:r>
          </w:p>
        </w:tc>
      </w:tr>
      <w:tr w:rsidR="00D8098C" w:rsidRPr="00B853C6" w14:paraId="71F8B8B5" w14:textId="34C247AC" w:rsidTr="00BB18FF">
        <w:tc>
          <w:tcPr>
            <w:tcW w:w="587" w:type="dxa"/>
            <w:shd w:val="clear" w:color="auto" w:fill="EEEEEE"/>
          </w:tcPr>
          <w:p w14:paraId="02C1D590"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lastRenderedPageBreak/>
              <w:t>16</w:t>
            </w:r>
          </w:p>
        </w:tc>
        <w:tc>
          <w:tcPr>
            <w:tcW w:w="1814" w:type="dxa"/>
            <w:shd w:val="clear" w:color="auto" w:fill="EEEEEE"/>
          </w:tcPr>
          <w:p w14:paraId="612AA484"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Interpretation</w:t>
            </w:r>
          </w:p>
        </w:tc>
        <w:tc>
          <w:tcPr>
            <w:tcW w:w="6702" w:type="dxa"/>
            <w:shd w:val="clear" w:color="auto" w:fill="EEEEEE"/>
          </w:tcPr>
          <w:p w14:paraId="3BF6466E"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1387" w:type="dxa"/>
            <w:shd w:val="clear" w:color="auto" w:fill="EEEEEE"/>
          </w:tcPr>
          <w:p w14:paraId="4B5179B2" w14:textId="77777777" w:rsidR="00D8098C" w:rsidRPr="00A1236D" w:rsidRDefault="00D8098C" w:rsidP="00426603">
            <w:pPr>
              <w:spacing w:beforeLines="40" w:before="96" w:afterLines="40" w:after="96" w:line="24" w:lineRule="atLeast"/>
              <w:rPr>
                <w:rFonts w:eastAsia="Cambria"/>
                <w:sz w:val="18"/>
                <w:szCs w:val="18"/>
                <w:lang w:val="en-GB" w:eastAsia="en-US"/>
              </w:rPr>
            </w:pPr>
          </w:p>
        </w:tc>
        <w:tc>
          <w:tcPr>
            <w:tcW w:w="4000" w:type="dxa"/>
            <w:shd w:val="clear" w:color="auto" w:fill="EEEEEE"/>
          </w:tcPr>
          <w:p w14:paraId="1C445080"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62E6D51A" w14:textId="140D03A2" w:rsidTr="00BB18FF">
        <w:tc>
          <w:tcPr>
            <w:tcW w:w="587" w:type="dxa"/>
            <w:shd w:val="clear" w:color="auto" w:fill="auto"/>
          </w:tcPr>
          <w:p w14:paraId="6DD2F448"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50F26A29"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a)</w:t>
            </w:r>
          </w:p>
        </w:tc>
        <w:tc>
          <w:tcPr>
            <w:tcW w:w="6702" w:type="dxa"/>
            <w:shd w:val="clear" w:color="auto" w:fill="auto"/>
          </w:tcPr>
          <w:p w14:paraId="7EDF9868" w14:textId="096ED659" w:rsidR="00D8098C" w:rsidRPr="00A1236D" w:rsidRDefault="00D8098C" w:rsidP="00685D31">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Meaning: Give a cautious overall interpretation of results in the context of their limitations and in comparison </w:t>
            </w:r>
            <w:r w:rsidR="00685D31">
              <w:rPr>
                <w:rFonts w:eastAsia="Times New Roman"/>
                <w:sz w:val="18"/>
                <w:szCs w:val="18"/>
                <w:lang w:val="en-GB" w:eastAsia="en-GB"/>
              </w:rPr>
              <w:t>with</w:t>
            </w:r>
            <w:r w:rsidRPr="00A1236D">
              <w:rPr>
                <w:rFonts w:eastAsia="Times New Roman"/>
                <w:sz w:val="18"/>
                <w:szCs w:val="18"/>
                <w:lang w:val="en-GB" w:eastAsia="en-GB"/>
              </w:rPr>
              <w:t xml:space="preserve"> other studies</w:t>
            </w:r>
          </w:p>
        </w:tc>
        <w:tc>
          <w:tcPr>
            <w:tcW w:w="1387" w:type="dxa"/>
          </w:tcPr>
          <w:p w14:paraId="565CC165" w14:textId="07995E88" w:rsidR="00D8098C" w:rsidRPr="00A1236D" w:rsidRDefault="001B1A3F"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Discussion</w:t>
            </w:r>
          </w:p>
        </w:tc>
        <w:tc>
          <w:tcPr>
            <w:tcW w:w="4000" w:type="dxa"/>
          </w:tcPr>
          <w:p w14:paraId="5251245C" w14:textId="0F374EAA" w:rsidR="00D8098C" w:rsidRDefault="00BB54C8" w:rsidP="00426603">
            <w:pPr>
              <w:spacing w:beforeLines="40" w:before="96" w:afterLines="40" w:after="96" w:line="24" w:lineRule="atLeast"/>
              <w:rPr>
                <w:rFonts w:eastAsia="Times New Roman"/>
                <w:sz w:val="18"/>
                <w:szCs w:val="18"/>
                <w:lang w:val="en-GB" w:eastAsia="en-GB"/>
              </w:rPr>
            </w:pPr>
            <w:r w:rsidRPr="00BB54C8">
              <w:rPr>
                <w:rFonts w:eastAsia="Times New Roman"/>
                <w:sz w:val="18"/>
                <w:szCs w:val="18"/>
                <w:lang w:val="en-GB" w:eastAsia="en-GB"/>
              </w:rPr>
              <w:t>Despite these limitations, our approach enhances our ability to discern the direct contributions of causal genes and associated traits in CAD. These contributions remain to be confirmed empirically.</w:t>
            </w:r>
          </w:p>
        </w:tc>
      </w:tr>
      <w:tr w:rsidR="00D8098C" w:rsidRPr="00B853C6" w14:paraId="156B69E5" w14:textId="453FC5BE" w:rsidTr="00BB18FF">
        <w:tc>
          <w:tcPr>
            <w:tcW w:w="587" w:type="dxa"/>
            <w:shd w:val="clear" w:color="auto" w:fill="EEEEEE"/>
          </w:tcPr>
          <w:p w14:paraId="4C8A2215"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EEEEEE"/>
          </w:tcPr>
          <w:p w14:paraId="6A4A5F16"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b)</w:t>
            </w:r>
          </w:p>
        </w:tc>
        <w:tc>
          <w:tcPr>
            <w:tcW w:w="6702" w:type="dxa"/>
            <w:shd w:val="clear" w:color="auto" w:fill="EEEEEE"/>
          </w:tcPr>
          <w:p w14:paraId="422EB891" w14:textId="35DEA636" w:rsidR="00D8098C" w:rsidRPr="00A1236D" w:rsidRDefault="00D8098C" w:rsidP="00426603">
            <w:pPr>
              <w:spacing w:beforeLines="40" w:before="96" w:afterLines="40" w:after="96" w:line="24" w:lineRule="atLeast"/>
              <w:rPr>
                <w:rFonts w:eastAsia="Times New Roman"/>
                <w:sz w:val="18"/>
                <w:szCs w:val="18"/>
                <w:lang w:val="en-GB" w:eastAsia="en-GB"/>
              </w:rPr>
            </w:pPr>
            <w:r w:rsidRPr="00A1236D">
              <w:rPr>
                <w:rFonts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w:t>
            </w:r>
            <w:r w:rsidR="00ED48A3">
              <w:rPr>
                <w:rFonts w:eastAsia="Times New Roman"/>
                <w:sz w:val="18"/>
                <w:szCs w:val="18"/>
                <w:lang w:val="en-GB" w:eastAsia="en-GB"/>
              </w:rPr>
              <w:t xml:space="preserve">only </w:t>
            </w:r>
            <w:r w:rsidRPr="00A1236D">
              <w:rPr>
                <w:rFonts w:eastAsia="Times New Roman"/>
                <w:sz w:val="18"/>
                <w:szCs w:val="18"/>
                <w:lang w:val="en-GB" w:eastAsia="en-GB"/>
              </w:rPr>
              <w:t xml:space="preserve">under certain assumptions </w:t>
            </w:r>
          </w:p>
        </w:tc>
        <w:tc>
          <w:tcPr>
            <w:tcW w:w="1387" w:type="dxa"/>
            <w:shd w:val="clear" w:color="auto" w:fill="EEEEEE"/>
          </w:tcPr>
          <w:p w14:paraId="2FA4AA4D" w14:textId="371154A9" w:rsidR="00D8098C" w:rsidRPr="00A1236D" w:rsidRDefault="00BB54C8"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Discussion</w:t>
            </w:r>
          </w:p>
        </w:tc>
        <w:tc>
          <w:tcPr>
            <w:tcW w:w="4000" w:type="dxa"/>
            <w:shd w:val="clear" w:color="auto" w:fill="EEEEEE"/>
          </w:tcPr>
          <w:p w14:paraId="3A91F000" w14:textId="43ECB39C" w:rsidR="00EB694B" w:rsidRDefault="00BB54C8"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This is covered throughout the results and discussion</w:t>
            </w:r>
          </w:p>
        </w:tc>
      </w:tr>
      <w:tr w:rsidR="00D8098C" w:rsidRPr="00B853C6" w14:paraId="203390A0" w14:textId="367D17C4" w:rsidTr="00BB18FF">
        <w:tc>
          <w:tcPr>
            <w:tcW w:w="587" w:type="dxa"/>
            <w:shd w:val="clear" w:color="auto" w:fill="auto"/>
          </w:tcPr>
          <w:p w14:paraId="54CA3A27" w14:textId="77777777" w:rsidR="00D8098C" w:rsidRPr="00F0337F" w:rsidRDefault="00D8098C" w:rsidP="00426603">
            <w:pPr>
              <w:spacing w:beforeLines="40" w:before="96" w:afterLines="40" w:after="96" w:line="24" w:lineRule="atLeast"/>
              <w:jc w:val="right"/>
              <w:rPr>
                <w:rFonts w:eastAsia="Cambria"/>
                <w:b/>
                <w:bCs/>
                <w:sz w:val="18"/>
                <w:szCs w:val="18"/>
                <w:lang w:val="en-GB" w:eastAsia="en-US"/>
              </w:rPr>
            </w:pPr>
          </w:p>
        </w:tc>
        <w:tc>
          <w:tcPr>
            <w:tcW w:w="1814" w:type="dxa"/>
            <w:shd w:val="clear" w:color="auto" w:fill="auto"/>
          </w:tcPr>
          <w:p w14:paraId="6D25BA57" w14:textId="77777777" w:rsidR="00D8098C" w:rsidRPr="00F0337F" w:rsidRDefault="00D8098C" w:rsidP="00426603">
            <w:pPr>
              <w:spacing w:beforeLines="40" w:before="96" w:afterLines="40" w:after="96" w:line="24" w:lineRule="atLeast"/>
              <w:jc w:val="right"/>
              <w:rPr>
                <w:rFonts w:eastAsia="Cambria"/>
                <w:sz w:val="18"/>
                <w:szCs w:val="18"/>
                <w:lang w:val="en-GB" w:eastAsia="en-US"/>
              </w:rPr>
            </w:pPr>
            <w:r w:rsidRPr="00F0337F">
              <w:rPr>
                <w:rFonts w:eastAsia="Cambria"/>
                <w:sz w:val="18"/>
                <w:szCs w:val="18"/>
                <w:lang w:val="en-GB" w:eastAsia="en-US"/>
              </w:rPr>
              <w:t>c)</w:t>
            </w:r>
          </w:p>
        </w:tc>
        <w:tc>
          <w:tcPr>
            <w:tcW w:w="6702" w:type="dxa"/>
            <w:shd w:val="clear" w:color="auto" w:fill="auto"/>
          </w:tcPr>
          <w:p w14:paraId="5B6A8315" w14:textId="77777777" w:rsidR="00D8098C" w:rsidRPr="00A1236D" w:rsidRDefault="00D8098C" w:rsidP="00426603">
            <w:pPr>
              <w:tabs>
                <w:tab w:val="left" w:pos="1350"/>
              </w:tabs>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 xml:space="preserve">Clinical relevance: Discuss whether the results have clinical or public policy relevance, and </w:t>
            </w:r>
            <w:r w:rsidRPr="00A1236D">
              <w:rPr>
                <w:rFonts w:eastAsia="Times New Roman"/>
                <w:color w:val="000000"/>
                <w:sz w:val="18"/>
                <w:szCs w:val="18"/>
                <w:lang w:eastAsia="en-GB"/>
              </w:rPr>
              <w:t>to what extent they inform effect sizes of possible interventions</w:t>
            </w:r>
          </w:p>
        </w:tc>
        <w:tc>
          <w:tcPr>
            <w:tcW w:w="1387" w:type="dxa"/>
          </w:tcPr>
          <w:p w14:paraId="32FCF028" w14:textId="65594EE6" w:rsidR="00D8098C" w:rsidRPr="00A1236D" w:rsidRDefault="00BB54C8" w:rsidP="00426603">
            <w:pPr>
              <w:tabs>
                <w:tab w:val="left" w:pos="135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Discussion</w:t>
            </w:r>
          </w:p>
        </w:tc>
        <w:tc>
          <w:tcPr>
            <w:tcW w:w="4000" w:type="dxa"/>
          </w:tcPr>
          <w:p w14:paraId="78058AE6" w14:textId="719B5771" w:rsidR="00D8098C" w:rsidRDefault="00BB54C8" w:rsidP="00426603">
            <w:pPr>
              <w:tabs>
                <w:tab w:val="left" w:pos="1350"/>
              </w:tabs>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This is covered throughout the discussion</w:t>
            </w:r>
          </w:p>
        </w:tc>
      </w:tr>
      <w:tr w:rsidR="00D8098C" w:rsidRPr="00B853C6" w14:paraId="71FDAFC1" w14:textId="00A47F15" w:rsidTr="00BB18FF">
        <w:tc>
          <w:tcPr>
            <w:tcW w:w="587" w:type="dxa"/>
            <w:tcBorders>
              <w:bottom w:val="single" w:sz="6" w:space="0" w:color="7F7F7F"/>
            </w:tcBorders>
            <w:shd w:val="clear" w:color="auto" w:fill="EEEEEE"/>
          </w:tcPr>
          <w:p w14:paraId="7540155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17</w:t>
            </w:r>
          </w:p>
        </w:tc>
        <w:tc>
          <w:tcPr>
            <w:tcW w:w="1814" w:type="dxa"/>
            <w:tcBorders>
              <w:bottom w:val="single" w:sz="6" w:space="0" w:color="7F7F7F"/>
            </w:tcBorders>
            <w:shd w:val="clear" w:color="auto" w:fill="EEEEEE"/>
          </w:tcPr>
          <w:p w14:paraId="3680059F"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 xml:space="preserve">Generalizability  </w:t>
            </w:r>
            <w:r w:rsidRPr="00F0337F">
              <w:rPr>
                <w:rFonts w:eastAsia="Times New Roman"/>
                <w:sz w:val="18"/>
                <w:szCs w:val="18"/>
                <w:lang w:val="en-GB" w:eastAsia="en-GB"/>
              </w:rPr>
              <w:t> </w:t>
            </w:r>
          </w:p>
        </w:tc>
        <w:tc>
          <w:tcPr>
            <w:tcW w:w="6702" w:type="dxa"/>
            <w:tcBorders>
              <w:bottom w:val="single" w:sz="6" w:space="0" w:color="7F7F7F"/>
            </w:tcBorders>
            <w:shd w:val="clear" w:color="auto" w:fill="EEEEEE"/>
          </w:tcPr>
          <w:p w14:paraId="68647C33" w14:textId="77777777" w:rsidR="00D8098C" w:rsidRPr="00A1236D" w:rsidRDefault="00D8098C" w:rsidP="00426603">
            <w:pPr>
              <w:spacing w:beforeLines="40" w:before="96" w:afterLines="40" w:after="96" w:line="24" w:lineRule="atLeast"/>
              <w:rPr>
                <w:rFonts w:eastAsia="Cambria"/>
                <w:sz w:val="18"/>
                <w:szCs w:val="18"/>
                <w:lang w:val="en-GB" w:eastAsia="en-US"/>
              </w:rPr>
            </w:pPr>
            <w:r w:rsidRPr="00A1236D">
              <w:rPr>
                <w:rFonts w:eastAsia="Times New Roman"/>
                <w:sz w:val="18"/>
                <w:szCs w:val="18"/>
                <w:lang w:val="en-GB" w:eastAsia="en-GB"/>
              </w:rPr>
              <w:t>Discuss the generalizability of the study results (a) to other populations, (b) across other exposure periods/timings, and (c) across other levels of exposure</w:t>
            </w:r>
          </w:p>
        </w:tc>
        <w:tc>
          <w:tcPr>
            <w:tcW w:w="1387" w:type="dxa"/>
            <w:tcBorders>
              <w:bottom w:val="single" w:sz="6" w:space="0" w:color="7F7F7F"/>
            </w:tcBorders>
            <w:shd w:val="clear" w:color="auto" w:fill="EEEEEE"/>
          </w:tcPr>
          <w:p w14:paraId="3ACD3D08" w14:textId="59ADA146" w:rsidR="00D8098C" w:rsidRPr="00A1236D" w:rsidRDefault="00BB54C8"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Discussion</w:t>
            </w:r>
          </w:p>
        </w:tc>
        <w:tc>
          <w:tcPr>
            <w:tcW w:w="4000" w:type="dxa"/>
            <w:tcBorders>
              <w:bottom w:val="single" w:sz="6" w:space="0" w:color="7F7F7F"/>
            </w:tcBorders>
            <w:shd w:val="clear" w:color="auto" w:fill="EEEEEE"/>
          </w:tcPr>
          <w:p w14:paraId="41ABF5A9" w14:textId="63C1E4BC" w:rsidR="00D8098C" w:rsidRDefault="00BB54C8"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This is covered throughout the discussion</w:t>
            </w:r>
          </w:p>
        </w:tc>
      </w:tr>
      <w:tr w:rsidR="00D8098C" w:rsidRPr="00B853C6" w14:paraId="57884E75" w14:textId="6FD41AE6" w:rsidTr="00BB18FF">
        <w:tc>
          <w:tcPr>
            <w:tcW w:w="587" w:type="dxa"/>
            <w:tcBorders>
              <w:top w:val="single" w:sz="6" w:space="0" w:color="7F7F7F"/>
            </w:tcBorders>
            <w:shd w:val="clear" w:color="auto" w:fill="auto"/>
          </w:tcPr>
          <w:p w14:paraId="2C4C694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p>
        </w:tc>
        <w:tc>
          <w:tcPr>
            <w:tcW w:w="1814" w:type="dxa"/>
            <w:tcBorders>
              <w:top w:val="single" w:sz="6" w:space="0" w:color="7F7F7F"/>
            </w:tcBorders>
            <w:shd w:val="clear" w:color="auto" w:fill="auto"/>
          </w:tcPr>
          <w:p w14:paraId="0A6FFE33"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OTHER INFORMATION</w:t>
            </w:r>
          </w:p>
        </w:tc>
        <w:tc>
          <w:tcPr>
            <w:tcW w:w="6702" w:type="dxa"/>
            <w:tcBorders>
              <w:top w:val="single" w:sz="6" w:space="0" w:color="7F7F7F"/>
            </w:tcBorders>
            <w:shd w:val="clear" w:color="auto" w:fill="auto"/>
          </w:tcPr>
          <w:p w14:paraId="0577947E"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1387" w:type="dxa"/>
            <w:tcBorders>
              <w:top w:val="single" w:sz="6" w:space="0" w:color="7F7F7F"/>
            </w:tcBorders>
          </w:tcPr>
          <w:p w14:paraId="7561574C" w14:textId="77777777" w:rsidR="00D8098C" w:rsidRPr="00F0337F" w:rsidRDefault="00D8098C" w:rsidP="00426603">
            <w:pPr>
              <w:spacing w:beforeLines="40" w:before="96" w:afterLines="40" w:after="96" w:line="24" w:lineRule="atLeast"/>
              <w:rPr>
                <w:rFonts w:eastAsia="Cambria"/>
                <w:sz w:val="18"/>
                <w:szCs w:val="18"/>
                <w:lang w:val="en-GB" w:eastAsia="en-US"/>
              </w:rPr>
            </w:pPr>
          </w:p>
        </w:tc>
        <w:tc>
          <w:tcPr>
            <w:tcW w:w="4000" w:type="dxa"/>
            <w:tcBorders>
              <w:top w:val="single" w:sz="6" w:space="0" w:color="7F7F7F"/>
            </w:tcBorders>
          </w:tcPr>
          <w:p w14:paraId="3718ED5B" w14:textId="77777777" w:rsidR="00D8098C" w:rsidRDefault="00D8098C" w:rsidP="00426603">
            <w:pPr>
              <w:spacing w:beforeLines="40" w:before="96" w:afterLines="40" w:after="96" w:line="24" w:lineRule="atLeast"/>
              <w:rPr>
                <w:rFonts w:eastAsia="Cambria"/>
                <w:sz w:val="18"/>
                <w:szCs w:val="18"/>
                <w:lang w:val="en-GB" w:eastAsia="en-US"/>
              </w:rPr>
            </w:pPr>
          </w:p>
        </w:tc>
      </w:tr>
      <w:tr w:rsidR="00D8098C" w:rsidRPr="00B853C6" w14:paraId="0014C6D1" w14:textId="2FC4D004" w:rsidTr="00BB18FF">
        <w:tc>
          <w:tcPr>
            <w:tcW w:w="587" w:type="dxa"/>
            <w:shd w:val="clear" w:color="auto" w:fill="EEEEEE"/>
          </w:tcPr>
          <w:p w14:paraId="2336D08C"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18</w:t>
            </w:r>
          </w:p>
        </w:tc>
        <w:tc>
          <w:tcPr>
            <w:tcW w:w="1814" w:type="dxa"/>
            <w:shd w:val="clear" w:color="auto" w:fill="EEEEEE"/>
          </w:tcPr>
          <w:p w14:paraId="08EB4FDF" w14:textId="77777777" w:rsidR="00D8098C" w:rsidRPr="00F0337F" w:rsidRDefault="00D8098C" w:rsidP="00426603">
            <w:pPr>
              <w:spacing w:beforeLines="40" w:before="96" w:afterLines="40" w:after="96" w:line="24" w:lineRule="atLeast"/>
              <w:rPr>
                <w:rFonts w:eastAsia="Cambria"/>
                <w:sz w:val="18"/>
                <w:szCs w:val="18"/>
                <w:lang w:val="en-GB" w:eastAsia="en-US"/>
              </w:rPr>
            </w:pPr>
            <w:r w:rsidRPr="00F0337F">
              <w:rPr>
                <w:rFonts w:eastAsia="Times New Roman"/>
                <w:b/>
                <w:bCs/>
                <w:sz w:val="18"/>
                <w:szCs w:val="18"/>
                <w:lang w:val="en-GB" w:eastAsia="en-GB"/>
              </w:rPr>
              <w:t>Funding</w:t>
            </w:r>
          </w:p>
        </w:tc>
        <w:tc>
          <w:tcPr>
            <w:tcW w:w="6702" w:type="dxa"/>
            <w:shd w:val="clear" w:color="auto" w:fill="EEEEEE"/>
          </w:tcPr>
          <w:p w14:paraId="4663DCA7"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1387" w:type="dxa"/>
            <w:shd w:val="clear" w:color="auto" w:fill="EEEEEE"/>
          </w:tcPr>
          <w:p w14:paraId="33E2D855" w14:textId="25C187AC" w:rsidR="00D8098C" w:rsidRPr="00F0337F" w:rsidRDefault="00185D6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156CC6">
              <w:rPr>
                <w:rFonts w:eastAsia="Times New Roman"/>
                <w:sz w:val="18"/>
                <w:szCs w:val="18"/>
                <w:lang w:val="en-GB" w:eastAsia="en-GB"/>
              </w:rPr>
              <w:t>5</w:t>
            </w:r>
          </w:p>
        </w:tc>
        <w:tc>
          <w:tcPr>
            <w:tcW w:w="4000" w:type="dxa"/>
            <w:shd w:val="clear" w:color="auto" w:fill="EEEEEE"/>
          </w:tcPr>
          <w:p w14:paraId="2C6CE5FF" w14:textId="76FD8E90" w:rsidR="00D8098C" w:rsidRDefault="00156CC6" w:rsidP="00F62599">
            <w:pPr>
              <w:tabs>
                <w:tab w:val="left" w:pos="1000"/>
              </w:tabs>
              <w:spacing w:beforeLines="40" w:before="96" w:afterLines="40" w:after="96" w:line="24" w:lineRule="atLeast"/>
              <w:rPr>
                <w:rFonts w:eastAsia="Times New Roman"/>
                <w:sz w:val="18"/>
                <w:szCs w:val="18"/>
                <w:lang w:val="en-GB" w:eastAsia="en-GB"/>
              </w:rPr>
            </w:pPr>
            <w:r w:rsidRPr="00156CC6">
              <w:rPr>
                <w:rFonts w:eastAsia="Times New Roman"/>
                <w:sz w:val="18"/>
                <w:szCs w:val="18"/>
                <w:lang w:val="en-GB" w:eastAsia="en-GB"/>
              </w:rPr>
              <w:t xml:space="preserve">The Sir Colin </w:t>
            </w:r>
            <w:proofErr w:type="spellStart"/>
            <w:r w:rsidRPr="00156CC6">
              <w:rPr>
                <w:rFonts w:eastAsia="Times New Roman"/>
                <w:sz w:val="18"/>
                <w:szCs w:val="18"/>
                <w:lang w:val="en-GB" w:eastAsia="en-GB"/>
              </w:rPr>
              <w:t>Giltrap</w:t>
            </w:r>
            <w:proofErr w:type="spellEnd"/>
            <w:r w:rsidRPr="00156CC6">
              <w:rPr>
                <w:rFonts w:eastAsia="Times New Roman"/>
                <w:sz w:val="18"/>
                <w:szCs w:val="18"/>
                <w:lang w:val="en-GB" w:eastAsia="en-GB"/>
              </w:rPr>
              <w:t xml:space="preserve"> Liggins Institute Scholarship funded RKJ. The Dines Family Charitable Trust funds JOS.</w:t>
            </w:r>
          </w:p>
        </w:tc>
      </w:tr>
      <w:tr w:rsidR="00D8098C" w:rsidRPr="00B853C6" w14:paraId="1B22CB41" w14:textId="102364C9" w:rsidTr="00BB18FF">
        <w:tc>
          <w:tcPr>
            <w:tcW w:w="587" w:type="dxa"/>
            <w:shd w:val="clear" w:color="auto" w:fill="auto"/>
          </w:tcPr>
          <w:p w14:paraId="381BF2BA"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19</w:t>
            </w:r>
          </w:p>
        </w:tc>
        <w:tc>
          <w:tcPr>
            <w:tcW w:w="1814" w:type="dxa"/>
            <w:shd w:val="clear" w:color="auto" w:fill="auto"/>
          </w:tcPr>
          <w:p w14:paraId="233BA94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Data and data sharing </w:t>
            </w:r>
          </w:p>
        </w:tc>
        <w:tc>
          <w:tcPr>
            <w:tcW w:w="6702" w:type="dxa"/>
            <w:shd w:val="clear" w:color="auto" w:fill="auto"/>
          </w:tcPr>
          <w:p w14:paraId="42D9085E"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 xml:space="preserve">Provide the data used to perform all analyses or report where and how the data can be accessed, and reference these sources in the </w:t>
            </w:r>
            <w:r>
              <w:rPr>
                <w:rFonts w:eastAsia="Times New Roman"/>
                <w:sz w:val="18"/>
                <w:szCs w:val="18"/>
                <w:lang w:val="en-GB" w:eastAsia="en-GB"/>
              </w:rPr>
              <w:t>article</w:t>
            </w:r>
            <w:r w:rsidRPr="00F0337F">
              <w:rPr>
                <w:rFonts w:eastAsia="Times New Roman"/>
                <w:sz w:val="18"/>
                <w:szCs w:val="18"/>
                <w:lang w:val="en-GB" w:eastAsia="en-GB"/>
              </w:rPr>
              <w:t xml:space="preserve">. Provide the statistical code needed to </w:t>
            </w:r>
            <w:r>
              <w:rPr>
                <w:rFonts w:eastAsia="Times New Roman"/>
                <w:sz w:val="18"/>
                <w:szCs w:val="18"/>
                <w:lang w:val="en-GB" w:eastAsia="en-GB"/>
              </w:rPr>
              <w:t>reproduce the results</w:t>
            </w:r>
            <w:r w:rsidRPr="00F0337F">
              <w:rPr>
                <w:rFonts w:eastAsia="Times New Roman"/>
                <w:sz w:val="18"/>
                <w:szCs w:val="18"/>
                <w:lang w:val="en-GB" w:eastAsia="en-GB"/>
              </w:rPr>
              <w:t xml:space="preserve"> in the </w:t>
            </w:r>
            <w:r>
              <w:rPr>
                <w:rFonts w:eastAsia="Times New Roman"/>
                <w:sz w:val="18"/>
                <w:szCs w:val="18"/>
                <w:lang w:val="en-GB" w:eastAsia="en-GB"/>
              </w:rPr>
              <w:t>article</w:t>
            </w:r>
            <w:r w:rsidRPr="00F0337F">
              <w:rPr>
                <w:rFonts w:eastAsia="Times New Roman"/>
                <w:sz w:val="18"/>
                <w:szCs w:val="18"/>
                <w:lang w:val="en-GB" w:eastAsia="en-GB"/>
              </w:rPr>
              <w:t>, or report whether the code is publicly accessible and if so, where</w:t>
            </w:r>
          </w:p>
        </w:tc>
        <w:tc>
          <w:tcPr>
            <w:tcW w:w="1387" w:type="dxa"/>
          </w:tcPr>
          <w:p w14:paraId="5725EE6D" w14:textId="68C9D119" w:rsidR="00D8098C" w:rsidRPr="00F0337F" w:rsidRDefault="00156CC6"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15</w:t>
            </w:r>
          </w:p>
        </w:tc>
        <w:tc>
          <w:tcPr>
            <w:tcW w:w="4000" w:type="dxa"/>
          </w:tcPr>
          <w:p w14:paraId="55972635" w14:textId="77777777" w:rsidR="0083496C" w:rsidRPr="0083496C" w:rsidRDefault="0083496C" w:rsidP="0083496C">
            <w:pPr>
              <w:spacing w:beforeLines="40" w:before="96" w:afterLines="40" w:after="96" w:line="24" w:lineRule="atLeast"/>
              <w:rPr>
                <w:rFonts w:eastAsia="Times New Roman"/>
                <w:sz w:val="18"/>
                <w:szCs w:val="18"/>
                <w:lang w:val="en-GB" w:eastAsia="en-GB"/>
              </w:rPr>
            </w:pPr>
            <w:r w:rsidRPr="0083496C">
              <w:rPr>
                <w:rFonts w:eastAsia="Times New Roman"/>
                <w:sz w:val="18"/>
                <w:szCs w:val="18"/>
                <w:lang w:val="en-GB" w:eastAsia="en-GB"/>
              </w:rPr>
              <w:t>Availability of data and materials</w:t>
            </w:r>
          </w:p>
          <w:p w14:paraId="22A1B4BE" w14:textId="77777777" w:rsidR="0083496C" w:rsidRPr="0083496C" w:rsidRDefault="0083496C" w:rsidP="0083496C">
            <w:pPr>
              <w:spacing w:beforeLines="40" w:before="96" w:afterLines="40" w:after="96" w:line="24" w:lineRule="atLeast"/>
              <w:rPr>
                <w:rFonts w:eastAsia="Times New Roman"/>
                <w:sz w:val="18"/>
                <w:szCs w:val="18"/>
                <w:lang w:val="en-GB" w:eastAsia="en-GB"/>
              </w:rPr>
            </w:pPr>
            <w:r w:rsidRPr="0083496C">
              <w:rPr>
                <w:rFonts w:eastAsia="Times New Roman"/>
                <w:sz w:val="18"/>
                <w:szCs w:val="18"/>
                <w:lang w:val="en-GB" w:eastAsia="en-GB"/>
              </w:rPr>
              <w:t>European GWAS Data for CAD: https://gwas.mrcieu.ac.uk/datasets/ebi-a-GCST005195/</w:t>
            </w:r>
          </w:p>
          <w:p w14:paraId="309FAFAC" w14:textId="77777777" w:rsidR="0083496C" w:rsidRPr="0083496C" w:rsidRDefault="0083496C" w:rsidP="0083496C">
            <w:pPr>
              <w:spacing w:beforeLines="40" w:before="96" w:afterLines="40" w:after="96" w:line="24" w:lineRule="atLeast"/>
              <w:rPr>
                <w:rFonts w:eastAsia="Times New Roman"/>
                <w:sz w:val="18"/>
                <w:szCs w:val="18"/>
                <w:lang w:val="en-GB" w:eastAsia="en-GB"/>
              </w:rPr>
            </w:pPr>
            <w:r w:rsidRPr="0083496C">
              <w:rPr>
                <w:rFonts w:eastAsia="Times New Roman"/>
                <w:sz w:val="18"/>
                <w:szCs w:val="18"/>
                <w:lang w:val="en-GB" w:eastAsia="en-GB"/>
              </w:rPr>
              <w:t>East Asian GWAS Data for CAD: https://gwas.mrcieu.ac.uk/datasets/bbj-a-159</w:t>
            </w:r>
          </w:p>
          <w:p w14:paraId="38DE3AA7" w14:textId="79231A5E" w:rsidR="00F62599" w:rsidRDefault="0083496C" w:rsidP="0083496C">
            <w:pPr>
              <w:spacing w:beforeLines="40" w:before="96" w:afterLines="40" w:after="96" w:line="24" w:lineRule="atLeast"/>
              <w:rPr>
                <w:rFonts w:eastAsia="Times New Roman"/>
                <w:sz w:val="18"/>
                <w:szCs w:val="18"/>
                <w:lang w:val="en-GB" w:eastAsia="en-GB"/>
              </w:rPr>
            </w:pPr>
            <w:r w:rsidRPr="0083496C">
              <w:rPr>
                <w:rFonts w:eastAsia="Times New Roman"/>
                <w:sz w:val="18"/>
                <w:szCs w:val="18"/>
                <w:lang w:val="en-GB" w:eastAsia="en-GB"/>
              </w:rPr>
              <w:t>Two-Sample MR package: https://mrcieu.github.io/TwoSampleMR/</w:t>
            </w:r>
          </w:p>
        </w:tc>
      </w:tr>
      <w:tr w:rsidR="00D8098C" w:rsidRPr="00B853C6" w14:paraId="1BFE6A86" w14:textId="26747AA0" w:rsidTr="00BB18FF">
        <w:tc>
          <w:tcPr>
            <w:tcW w:w="587" w:type="dxa"/>
            <w:tcBorders>
              <w:bottom w:val="single" w:sz="6" w:space="0" w:color="7F7F7F"/>
            </w:tcBorders>
            <w:shd w:val="clear" w:color="auto" w:fill="EEEEEE"/>
          </w:tcPr>
          <w:p w14:paraId="20DC2C92" w14:textId="77777777" w:rsidR="00D8098C" w:rsidRPr="00F0337F" w:rsidRDefault="00D8098C" w:rsidP="00426603">
            <w:pPr>
              <w:spacing w:beforeLines="40" w:before="96" w:afterLines="40" w:after="96" w:line="24" w:lineRule="atLeast"/>
              <w:rPr>
                <w:rFonts w:eastAsia="Times New Roman"/>
                <w:b/>
                <w:bCs/>
                <w:sz w:val="18"/>
                <w:szCs w:val="18"/>
                <w:lang w:val="en-GB" w:eastAsia="en-GB"/>
              </w:rPr>
            </w:pPr>
            <w:r w:rsidRPr="00F0337F">
              <w:rPr>
                <w:rFonts w:eastAsia="Times New Roman"/>
                <w:sz w:val="18"/>
                <w:szCs w:val="18"/>
                <w:lang w:val="en-GB" w:eastAsia="en-GB"/>
              </w:rPr>
              <w:t>20</w:t>
            </w:r>
          </w:p>
        </w:tc>
        <w:tc>
          <w:tcPr>
            <w:tcW w:w="1814" w:type="dxa"/>
            <w:tcBorders>
              <w:bottom w:val="single" w:sz="6" w:space="0" w:color="7F7F7F"/>
            </w:tcBorders>
            <w:shd w:val="clear" w:color="auto" w:fill="EEEEEE"/>
          </w:tcPr>
          <w:p w14:paraId="39A69A1B"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b/>
                <w:bCs/>
                <w:sz w:val="18"/>
                <w:szCs w:val="18"/>
                <w:lang w:val="en-GB" w:eastAsia="en-GB"/>
              </w:rPr>
              <w:t>Conflicts of Interest  </w:t>
            </w:r>
          </w:p>
        </w:tc>
        <w:tc>
          <w:tcPr>
            <w:tcW w:w="6702" w:type="dxa"/>
            <w:tcBorders>
              <w:bottom w:val="single" w:sz="6" w:space="0" w:color="7F7F7F"/>
            </w:tcBorders>
            <w:shd w:val="clear" w:color="auto" w:fill="EEEEEE"/>
          </w:tcPr>
          <w:p w14:paraId="4772D912" w14:textId="77777777" w:rsidR="00D8098C" w:rsidRPr="00F0337F" w:rsidRDefault="00D8098C" w:rsidP="00426603">
            <w:pPr>
              <w:spacing w:beforeLines="40" w:before="96" w:afterLines="40" w:after="96" w:line="24" w:lineRule="atLeast"/>
              <w:rPr>
                <w:rFonts w:eastAsia="Times New Roman"/>
                <w:sz w:val="18"/>
                <w:szCs w:val="18"/>
                <w:lang w:val="en-GB" w:eastAsia="en-GB"/>
              </w:rPr>
            </w:pPr>
            <w:r w:rsidRPr="00F0337F">
              <w:rPr>
                <w:rFonts w:eastAsia="Times New Roman"/>
                <w:sz w:val="18"/>
                <w:szCs w:val="18"/>
                <w:lang w:val="en-GB" w:eastAsia="en-GB"/>
              </w:rPr>
              <w:t>All authors should declare all potential conflicts of interest</w:t>
            </w:r>
          </w:p>
        </w:tc>
        <w:tc>
          <w:tcPr>
            <w:tcW w:w="1387" w:type="dxa"/>
            <w:tcBorders>
              <w:bottom w:val="single" w:sz="6" w:space="0" w:color="7F7F7F"/>
            </w:tcBorders>
            <w:shd w:val="clear" w:color="auto" w:fill="EEEEEE"/>
          </w:tcPr>
          <w:p w14:paraId="1B63BC8B" w14:textId="034B6EC2" w:rsidR="00D8098C" w:rsidRPr="00F0337F" w:rsidRDefault="00185D63" w:rsidP="00426603">
            <w:pPr>
              <w:spacing w:beforeLines="40" w:before="96" w:afterLines="40" w:after="96" w:line="24" w:lineRule="atLeast"/>
              <w:rPr>
                <w:rFonts w:eastAsia="Times New Roman"/>
                <w:sz w:val="18"/>
                <w:szCs w:val="18"/>
                <w:lang w:val="en-GB" w:eastAsia="en-GB"/>
              </w:rPr>
            </w:pPr>
            <w:r>
              <w:rPr>
                <w:rFonts w:eastAsia="Times New Roman"/>
                <w:sz w:val="18"/>
                <w:szCs w:val="18"/>
                <w:lang w:val="en-GB" w:eastAsia="en-GB"/>
              </w:rPr>
              <w:t>1</w:t>
            </w:r>
            <w:r w:rsidR="0083496C">
              <w:rPr>
                <w:rFonts w:eastAsia="Times New Roman"/>
                <w:sz w:val="18"/>
                <w:szCs w:val="18"/>
                <w:lang w:val="en-GB" w:eastAsia="en-GB"/>
              </w:rPr>
              <w:t>5</w:t>
            </w:r>
          </w:p>
        </w:tc>
        <w:tc>
          <w:tcPr>
            <w:tcW w:w="4000" w:type="dxa"/>
            <w:tcBorders>
              <w:bottom w:val="single" w:sz="6" w:space="0" w:color="7F7F7F"/>
            </w:tcBorders>
            <w:shd w:val="clear" w:color="auto" w:fill="EEEEEE"/>
          </w:tcPr>
          <w:p w14:paraId="10DDE6F9" w14:textId="77777777" w:rsidR="00D508FF" w:rsidRPr="00D508FF" w:rsidRDefault="00D508FF" w:rsidP="00D508FF">
            <w:pPr>
              <w:spacing w:beforeLines="40" w:before="96" w:afterLines="40" w:after="96" w:line="24" w:lineRule="atLeast"/>
              <w:rPr>
                <w:rFonts w:eastAsia="Times New Roman"/>
                <w:sz w:val="18"/>
                <w:szCs w:val="18"/>
                <w:lang w:val="en-GB" w:eastAsia="en-GB"/>
              </w:rPr>
            </w:pPr>
            <w:r w:rsidRPr="00D508FF">
              <w:rPr>
                <w:rFonts w:eastAsia="Times New Roman"/>
                <w:sz w:val="18"/>
                <w:szCs w:val="18"/>
                <w:lang w:val="en-GB" w:eastAsia="en-GB"/>
              </w:rPr>
              <w:t>Competing interests</w:t>
            </w:r>
          </w:p>
          <w:p w14:paraId="5D9123A4" w14:textId="2BF29E99" w:rsidR="00D8098C" w:rsidRDefault="00D508FF" w:rsidP="00D508FF">
            <w:pPr>
              <w:spacing w:beforeLines="40" w:before="96" w:afterLines="40" w:after="96" w:line="24" w:lineRule="atLeast"/>
              <w:rPr>
                <w:rFonts w:eastAsia="Times New Roman"/>
                <w:sz w:val="18"/>
                <w:szCs w:val="18"/>
                <w:lang w:val="en-GB" w:eastAsia="en-GB"/>
              </w:rPr>
            </w:pPr>
            <w:r w:rsidRPr="00D508FF">
              <w:rPr>
                <w:rFonts w:eastAsia="Times New Roman"/>
                <w:sz w:val="18"/>
                <w:szCs w:val="18"/>
                <w:lang w:val="en-GB" w:eastAsia="en-GB"/>
              </w:rPr>
              <w:t>The authors declare no competing interests.</w:t>
            </w:r>
          </w:p>
        </w:tc>
      </w:tr>
    </w:tbl>
    <w:p w14:paraId="386115B2" w14:textId="17D6D8D3" w:rsidR="00940B81" w:rsidRPr="009854A9" w:rsidRDefault="00D65199" w:rsidP="005520ED">
      <w:pPr>
        <w:spacing w:before="240" w:after="240"/>
        <w:rPr>
          <w:sz w:val="19"/>
          <w:szCs w:val="19"/>
        </w:rPr>
      </w:pPr>
      <w:r w:rsidRPr="009854A9">
        <w:rPr>
          <w:sz w:val="19"/>
          <w:szCs w:val="19"/>
        </w:rPr>
        <w:t xml:space="preserve">This checklist is copyrighted by the Equator Network under the Creative Commons Attribution 3.0 </w:t>
      </w:r>
      <w:proofErr w:type="spellStart"/>
      <w:r w:rsidRPr="009854A9">
        <w:rPr>
          <w:sz w:val="19"/>
          <w:szCs w:val="19"/>
        </w:rPr>
        <w:t>Unported</w:t>
      </w:r>
      <w:proofErr w:type="spellEnd"/>
      <w:r w:rsidRPr="009854A9">
        <w:rPr>
          <w:sz w:val="19"/>
          <w:szCs w:val="19"/>
        </w:rPr>
        <w:t xml:space="preserve"> (CC BY 3.0) license.</w:t>
      </w:r>
    </w:p>
    <w:p w14:paraId="5DDF8A06" w14:textId="73FE4A93" w:rsidR="009854A9" w:rsidRPr="009854A9" w:rsidRDefault="00804498" w:rsidP="009854A9">
      <w:pPr>
        <w:widowControl w:val="0"/>
        <w:autoSpaceDE w:val="0"/>
        <w:autoSpaceDN w:val="0"/>
        <w:adjustRightInd w:val="0"/>
        <w:spacing w:before="240" w:after="240" w:line="240" w:lineRule="auto"/>
        <w:ind w:left="640" w:hanging="640"/>
        <w:rPr>
          <w:noProof/>
          <w:sz w:val="19"/>
          <w:szCs w:val="19"/>
        </w:rPr>
      </w:pPr>
      <w:r w:rsidRPr="009854A9">
        <w:rPr>
          <w:sz w:val="19"/>
          <w:szCs w:val="19"/>
        </w:rPr>
        <w:fldChar w:fldCharType="begin" w:fldLock="1"/>
      </w:r>
      <w:r w:rsidRPr="009854A9">
        <w:rPr>
          <w:sz w:val="19"/>
          <w:szCs w:val="19"/>
        </w:rPr>
        <w:instrText xml:space="preserve">ADDIN Mendeley Bibliography CSL_BIBLIOGRAPHY </w:instrText>
      </w:r>
      <w:r w:rsidRPr="009854A9">
        <w:rPr>
          <w:sz w:val="19"/>
          <w:szCs w:val="19"/>
        </w:rPr>
        <w:fldChar w:fldCharType="separate"/>
      </w:r>
      <w:r w:rsidR="009854A9" w:rsidRPr="009854A9">
        <w:rPr>
          <w:noProof/>
          <w:sz w:val="19"/>
          <w:szCs w:val="19"/>
        </w:rPr>
        <w:t xml:space="preserve">1. </w:t>
      </w:r>
      <w:r w:rsidR="009854A9" w:rsidRPr="009854A9">
        <w:rPr>
          <w:noProof/>
          <w:sz w:val="19"/>
          <w:szCs w:val="19"/>
        </w:rPr>
        <w:tab/>
        <w:t xml:space="preserve">Skrivankova VW, Richmond RC, Woolf BAR, Yarmolinsky J, Davies NM, Swanson SA, et al. Strengthening the Reporting of Observational Studies in Epidemiology </w:t>
      </w:r>
      <w:r w:rsidR="009854A9" w:rsidRPr="009854A9">
        <w:rPr>
          <w:noProof/>
          <w:sz w:val="19"/>
          <w:szCs w:val="19"/>
        </w:rPr>
        <w:lastRenderedPageBreak/>
        <w:t xml:space="preserve">using Mendelian Randomization (STROBE-MR) Statement. JAMA. 2021;under review. </w:t>
      </w:r>
    </w:p>
    <w:p w14:paraId="63BF03A9" w14:textId="77777777" w:rsidR="009854A9" w:rsidRPr="009854A9" w:rsidRDefault="009854A9" w:rsidP="009854A9">
      <w:pPr>
        <w:widowControl w:val="0"/>
        <w:autoSpaceDE w:val="0"/>
        <w:autoSpaceDN w:val="0"/>
        <w:adjustRightInd w:val="0"/>
        <w:spacing w:before="240" w:after="240" w:line="240" w:lineRule="auto"/>
        <w:ind w:left="640" w:hanging="640"/>
        <w:rPr>
          <w:noProof/>
          <w:sz w:val="19"/>
          <w:szCs w:val="19"/>
        </w:rPr>
      </w:pPr>
      <w:r w:rsidRPr="009854A9">
        <w:rPr>
          <w:noProof/>
          <w:sz w:val="19"/>
          <w:szCs w:val="19"/>
        </w:rPr>
        <w:t xml:space="preserve">2. </w:t>
      </w:r>
      <w:r w:rsidRPr="009854A9">
        <w:rPr>
          <w:noProof/>
          <w:sz w:val="19"/>
          <w:szCs w:val="19"/>
        </w:rPr>
        <w:tab/>
        <w:t xml:space="preserve">Skrivankova VW, Richmond RC, Woolf BAR, Davies NM, Swanson SA, VanderWeele TJ, et al. Strengthening the Reporting of Observational Studies in Epidemiology using Mendelian Randomisation (STROBE-MR): Explanation and Elaboration. BMJ. 2021;375:n2233. </w:t>
      </w:r>
    </w:p>
    <w:p w14:paraId="25DB435D" w14:textId="164414FA" w:rsidR="00804498" w:rsidRDefault="00804498" w:rsidP="005520ED">
      <w:pPr>
        <w:spacing w:before="240" w:after="240"/>
      </w:pPr>
      <w:r w:rsidRPr="009854A9">
        <w:rPr>
          <w:sz w:val="19"/>
          <w:szCs w:val="19"/>
        </w:rPr>
        <w:fldChar w:fldCharType="end"/>
      </w:r>
    </w:p>
    <w:sectPr w:rsidR="00804498" w:rsidSect="003D447D">
      <w:footerReference w:type="even" r:id="rId10"/>
      <w:footerReference w:type="default" r:id="rId11"/>
      <w:pgSz w:w="15840" w:h="12240" w:orient="landscape"/>
      <w:pgMar w:top="1008" w:right="720" w:bottom="1008"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4EDFB5" w14:textId="77777777" w:rsidR="00A3233D" w:rsidRDefault="00A3233D">
      <w:pPr>
        <w:spacing w:line="240" w:lineRule="auto"/>
      </w:pPr>
      <w:r>
        <w:separator/>
      </w:r>
    </w:p>
  </w:endnote>
  <w:endnote w:type="continuationSeparator" w:id="0">
    <w:p w14:paraId="5C40389A" w14:textId="77777777" w:rsidR="00A3233D" w:rsidRDefault="00A3233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B4A166" w14:textId="77777777" w:rsidR="00940B81" w:rsidRDefault="00940B81" w:rsidP="00A365E5">
    <w:pPr>
      <w:pStyle w:val="Footer"/>
      <w:framePr w:wrap="none" w:vAnchor="text" w:hAnchor="margin" w:xAlign="right" w:y="1"/>
      <w:rPr>
        <w:rStyle w:val="PageNumber"/>
      </w:rPr>
    </w:pPr>
  </w:p>
  <w:p w14:paraId="40A0897E" w14:textId="77777777" w:rsidR="00940B81" w:rsidRDefault="00940B81" w:rsidP="00C141F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9B7B5E" w14:textId="0AA16358" w:rsidR="00940B81" w:rsidRDefault="003D447D">
    <w:pPr>
      <w:pStyle w:val="Footer"/>
      <w:jc w:val="right"/>
    </w:pPr>
    <w:r>
      <w:fldChar w:fldCharType="begin"/>
    </w:r>
    <w:r>
      <w:instrText xml:space="preserve"> PAGE   \* MERGEFORMAT </w:instrText>
    </w:r>
    <w:r>
      <w:fldChar w:fldCharType="separate"/>
    </w:r>
    <w:r w:rsidR="00BB6328">
      <w:rPr>
        <w:noProof/>
      </w:rPr>
      <w:t>1</w:t>
    </w:r>
    <w:r>
      <w:rPr>
        <w:noProof/>
      </w:rPr>
      <w:fldChar w:fldCharType="end"/>
    </w:r>
  </w:p>
  <w:p w14:paraId="41D89672" w14:textId="77777777" w:rsidR="00940B81" w:rsidRDefault="00940B81" w:rsidP="00C141F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3B5F7FB" w14:textId="77777777" w:rsidR="00A3233D" w:rsidRDefault="00A3233D">
      <w:pPr>
        <w:spacing w:line="240" w:lineRule="auto"/>
      </w:pPr>
      <w:r>
        <w:separator/>
      </w:r>
    </w:p>
  </w:footnote>
  <w:footnote w:type="continuationSeparator" w:id="0">
    <w:p w14:paraId="7CDDB734" w14:textId="77777777" w:rsidR="00A3233D" w:rsidRDefault="00A3233D">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tTAwMTcwMzEzsTA3NDZT0lEKTi0uzszPAykwrAUA5o3FDiwAAAA="/>
  </w:docVars>
  <w:rsids>
    <w:rsidRoot w:val="00914C56"/>
    <w:rsid w:val="000143D1"/>
    <w:rsid w:val="000153DC"/>
    <w:rsid w:val="000267E1"/>
    <w:rsid w:val="00036792"/>
    <w:rsid w:val="00040C9F"/>
    <w:rsid w:val="00042DB5"/>
    <w:rsid w:val="000438F6"/>
    <w:rsid w:val="00043E3E"/>
    <w:rsid w:val="00046BAE"/>
    <w:rsid w:val="0005397C"/>
    <w:rsid w:val="00083C3F"/>
    <w:rsid w:val="000A4CE8"/>
    <w:rsid w:val="000A73D3"/>
    <w:rsid w:val="000A7D61"/>
    <w:rsid w:val="000F6966"/>
    <w:rsid w:val="00117406"/>
    <w:rsid w:val="001268BC"/>
    <w:rsid w:val="00156675"/>
    <w:rsid w:val="00156CC6"/>
    <w:rsid w:val="00166B33"/>
    <w:rsid w:val="00185D63"/>
    <w:rsid w:val="001B1A3F"/>
    <w:rsid w:val="001C0FE0"/>
    <w:rsid w:val="001D066A"/>
    <w:rsid w:val="001E36A5"/>
    <w:rsid w:val="001F241F"/>
    <w:rsid w:val="001F3932"/>
    <w:rsid w:val="00201D06"/>
    <w:rsid w:val="00217C2A"/>
    <w:rsid w:val="00224BDC"/>
    <w:rsid w:val="00243F71"/>
    <w:rsid w:val="002663E6"/>
    <w:rsid w:val="0032519E"/>
    <w:rsid w:val="00396916"/>
    <w:rsid w:val="003A1D2E"/>
    <w:rsid w:val="003A3672"/>
    <w:rsid w:val="003A60E0"/>
    <w:rsid w:val="003D28D9"/>
    <w:rsid w:val="003D447D"/>
    <w:rsid w:val="003D47DD"/>
    <w:rsid w:val="003D775A"/>
    <w:rsid w:val="0040712B"/>
    <w:rsid w:val="00431B31"/>
    <w:rsid w:val="00443CD9"/>
    <w:rsid w:val="0044696F"/>
    <w:rsid w:val="004B5CBB"/>
    <w:rsid w:val="004D0487"/>
    <w:rsid w:val="004D7004"/>
    <w:rsid w:val="004E11D4"/>
    <w:rsid w:val="00514462"/>
    <w:rsid w:val="005211B1"/>
    <w:rsid w:val="00543488"/>
    <w:rsid w:val="005520ED"/>
    <w:rsid w:val="005A0D0D"/>
    <w:rsid w:val="005A1AEB"/>
    <w:rsid w:val="005B06B5"/>
    <w:rsid w:val="005B0AEB"/>
    <w:rsid w:val="006020E9"/>
    <w:rsid w:val="00612A6C"/>
    <w:rsid w:val="00644AE5"/>
    <w:rsid w:val="00665B0A"/>
    <w:rsid w:val="00685D31"/>
    <w:rsid w:val="006912BF"/>
    <w:rsid w:val="00697ACE"/>
    <w:rsid w:val="006A41D0"/>
    <w:rsid w:val="006A51EF"/>
    <w:rsid w:val="006B08D5"/>
    <w:rsid w:val="006E241C"/>
    <w:rsid w:val="006E574D"/>
    <w:rsid w:val="006F7316"/>
    <w:rsid w:val="00700726"/>
    <w:rsid w:val="0070084B"/>
    <w:rsid w:val="007748CD"/>
    <w:rsid w:val="00786C61"/>
    <w:rsid w:val="00791ECE"/>
    <w:rsid w:val="007A0803"/>
    <w:rsid w:val="007E36F7"/>
    <w:rsid w:val="00800100"/>
    <w:rsid w:val="00804498"/>
    <w:rsid w:val="0081408C"/>
    <w:rsid w:val="0083496C"/>
    <w:rsid w:val="00841658"/>
    <w:rsid w:val="00852411"/>
    <w:rsid w:val="0085658A"/>
    <w:rsid w:val="00861632"/>
    <w:rsid w:val="0087419E"/>
    <w:rsid w:val="008C2370"/>
    <w:rsid w:val="008C2A23"/>
    <w:rsid w:val="008E5E1E"/>
    <w:rsid w:val="00901ED3"/>
    <w:rsid w:val="00914C56"/>
    <w:rsid w:val="00931397"/>
    <w:rsid w:val="00940B81"/>
    <w:rsid w:val="00950729"/>
    <w:rsid w:val="009854A9"/>
    <w:rsid w:val="009B20F3"/>
    <w:rsid w:val="009E033F"/>
    <w:rsid w:val="00A00E94"/>
    <w:rsid w:val="00A05020"/>
    <w:rsid w:val="00A25E28"/>
    <w:rsid w:val="00A3233D"/>
    <w:rsid w:val="00A44E11"/>
    <w:rsid w:val="00A4569B"/>
    <w:rsid w:val="00A864B4"/>
    <w:rsid w:val="00B043AA"/>
    <w:rsid w:val="00B63949"/>
    <w:rsid w:val="00B675A2"/>
    <w:rsid w:val="00B737D9"/>
    <w:rsid w:val="00BB18FF"/>
    <w:rsid w:val="00BB54C8"/>
    <w:rsid w:val="00BB6328"/>
    <w:rsid w:val="00BB76CC"/>
    <w:rsid w:val="00BC5969"/>
    <w:rsid w:val="00C26B3E"/>
    <w:rsid w:val="00C277E6"/>
    <w:rsid w:val="00C54995"/>
    <w:rsid w:val="00C86A81"/>
    <w:rsid w:val="00C97C43"/>
    <w:rsid w:val="00CA21F1"/>
    <w:rsid w:val="00CB65EC"/>
    <w:rsid w:val="00CF54FD"/>
    <w:rsid w:val="00D43256"/>
    <w:rsid w:val="00D508FF"/>
    <w:rsid w:val="00D60C31"/>
    <w:rsid w:val="00D65199"/>
    <w:rsid w:val="00D8098C"/>
    <w:rsid w:val="00D9197B"/>
    <w:rsid w:val="00D92C09"/>
    <w:rsid w:val="00D933E0"/>
    <w:rsid w:val="00DF3812"/>
    <w:rsid w:val="00E11A42"/>
    <w:rsid w:val="00E1269E"/>
    <w:rsid w:val="00E14B93"/>
    <w:rsid w:val="00E52EB4"/>
    <w:rsid w:val="00E90B3A"/>
    <w:rsid w:val="00E9155C"/>
    <w:rsid w:val="00EB694B"/>
    <w:rsid w:val="00ED48A3"/>
    <w:rsid w:val="00EE6B2E"/>
    <w:rsid w:val="00EF4975"/>
    <w:rsid w:val="00EF4B94"/>
    <w:rsid w:val="00F52A7D"/>
    <w:rsid w:val="00F62599"/>
    <w:rsid w:val="00F627D2"/>
    <w:rsid w:val="00F85322"/>
    <w:rsid w:val="00F85407"/>
    <w:rsid w:val="00F978D3"/>
    <w:rsid w:val="00FE074B"/>
    <w:rsid w:val="00FE0EB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46E999F"/>
  <w15:chartTrackingRefBased/>
  <w15:docId w15:val="{3C23E9FF-C4EB-475A-AABF-DB561B80E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14C56"/>
    <w:pPr>
      <w:spacing w:after="0" w:line="276" w:lineRule="auto"/>
    </w:pPr>
    <w:rPr>
      <w:rFonts w:ascii="Arial" w:eastAsia="Arial" w:hAnsi="Arial" w:cs="Arial"/>
      <w:lang w:val="en" w:eastAsia="de-C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14C56"/>
    <w:pPr>
      <w:tabs>
        <w:tab w:val="center" w:pos="4680"/>
        <w:tab w:val="right" w:pos="9360"/>
      </w:tabs>
      <w:spacing w:line="240" w:lineRule="auto"/>
    </w:pPr>
  </w:style>
  <w:style w:type="character" w:customStyle="1" w:styleId="FooterChar">
    <w:name w:val="Footer Char"/>
    <w:basedOn w:val="DefaultParagraphFont"/>
    <w:link w:val="Footer"/>
    <w:uiPriority w:val="99"/>
    <w:rsid w:val="00914C56"/>
    <w:rPr>
      <w:rFonts w:ascii="Arial" w:eastAsia="Arial" w:hAnsi="Arial" w:cs="Arial"/>
      <w:lang w:val="en" w:eastAsia="de-CH"/>
    </w:rPr>
  </w:style>
  <w:style w:type="character" w:styleId="PageNumber">
    <w:name w:val="page number"/>
    <w:basedOn w:val="DefaultParagraphFont"/>
    <w:uiPriority w:val="99"/>
    <w:semiHidden/>
    <w:unhideWhenUsed/>
    <w:rsid w:val="00914C56"/>
  </w:style>
  <w:style w:type="character" w:styleId="LineNumber">
    <w:name w:val="line number"/>
    <w:basedOn w:val="DefaultParagraphFont"/>
    <w:uiPriority w:val="99"/>
    <w:semiHidden/>
    <w:unhideWhenUsed/>
    <w:rsid w:val="00914C56"/>
  </w:style>
  <w:style w:type="character" w:styleId="CommentReference">
    <w:name w:val="annotation reference"/>
    <w:basedOn w:val="DefaultParagraphFont"/>
    <w:uiPriority w:val="99"/>
    <w:semiHidden/>
    <w:unhideWhenUsed/>
    <w:rsid w:val="00042DB5"/>
    <w:rPr>
      <w:sz w:val="16"/>
      <w:szCs w:val="16"/>
    </w:rPr>
  </w:style>
  <w:style w:type="paragraph" w:styleId="CommentText">
    <w:name w:val="annotation text"/>
    <w:basedOn w:val="Normal"/>
    <w:link w:val="CommentTextChar"/>
    <w:uiPriority w:val="99"/>
    <w:unhideWhenUsed/>
    <w:rsid w:val="00042DB5"/>
    <w:pPr>
      <w:spacing w:line="240" w:lineRule="auto"/>
    </w:pPr>
    <w:rPr>
      <w:sz w:val="20"/>
      <w:szCs w:val="20"/>
    </w:rPr>
  </w:style>
  <w:style w:type="character" w:customStyle="1" w:styleId="CommentTextChar">
    <w:name w:val="Comment Text Char"/>
    <w:basedOn w:val="DefaultParagraphFont"/>
    <w:link w:val="CommentText"/>
    <w:uiPriority w:val="99"/>
    <w:rsid w:val="00042DB5"/>
    <w:rPr>
      <w:rFonts w:ascii="Arial" w:eastAsia="Arial" w:hAnsi="Arial" w:cs="Arial"/>
      <w:sz w:val="20"/>
      <w:szCs w:val="20"/>
      <w:lang w:val="en" w:eastAsia="de-CH"/>
    </w:rPr>
  </w:style>
  <w:style w:type="paragraph" w:styleId="CommentSubject">
    <w:name w:val="annotation subject"/>
    <w:basedOn w:val="CommentText"/>
    <w:next w:val="CommentText"/>
    <w:link w:val="CommentSubjectChar"/>
    <w:uiPriority w:val="99"/>
    <w:semiHidden/>
    <w:unhideWhenUsed/>
    <w:rsid w:val="00042DB5"/>
    <w:rPr>
      <w:b/>
      <w:bCs/>
    </w:rPr>
  </w:style>
  <w:style w:type="character" w:customStyle="1" w:styleId="CommentSubjectChar">
    <w:name w:val="Comment Subject Char"/>
    <w:basedOn w:val="CommentTextChar"/>
    <w:link w:val="CommentSubject"/>
    <w:uiPriority w:val="99"/>
    <w:semiHidden/>
    <w:rsid w:val="00042DB5"/>
    <w:rPr>
      <w:rFonts w:ascii="Arial" w:eastAsia="Arial" w:hAnsi="Arial" w:cs="Arial"/>
      <w:b/>
      <w:bCs/>
      <w:sz w:val="20"/>
      <w:szCs w:val="20"/>
      <w:lang w:val="en" w:eastAsia="de-CH"/>
    </w:rPr>
  </w:style>
  <w:style w:type="paragraph" w:styleId="Revision">
    <w:name w:val="Revision"/>
    <w:hidden/>
    <w:uiPriority w:val="99"/>
    <w:semiHidden/>
    <w:rsid w:val="00697ACE"/>
    <w:pPr>
      <w:spacing w:after="0" w:line="240" w:lineRule="auto"/>
    </w:pPr>
    <w:rPr>
      <w:rFonts w:ascii="Arial" w:eastAsia="Arial" w:hAnsi="Arial" w:cs="Arial"/>
      <w:lang w:val="en"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898B61-61B7-44F1-9388-8B27875B1E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d8916-a04a-483c-b38c-baf9957a1c5f"/>
    <ds:schemaRef ds:uri="697eed72-5420-4f01-93c1-7c9f4310e8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F20111-77FD-4F18-8E31-D737874646AB}">
  <ds:schemaRefs>
    <ds:schemaRef ds:uri="http://schemas.microsoft.com/sharepoint/v3/contenttype/forms"/>
  </ds:schemaRefs>
</ds:datastoreItem>
</file>

<file path=customXml/itemProps3.xml><?xml version="1.0" encoding="utf-8"?>
<ds:datastoreItem xmlns:ds="http://schemas.openxmlformats.org/officeDocument/2006/customXml" ds:itemID="{9FB0931C-FCE2-4CC4-80DE-15614B41F1F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7DA32DB-E5B8-4E32-AD11-08F2E66886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10</Pages>
  <Words>3031</Words>
  <Characters>23000</Characters>
  <Application>Microsoft Office Word</Application>
  <DocSecurity>0</DocSecurity>
  <Lines>191</Lines>
  <Paragraphs>51</Paragraphs>
  <ScaleCrop>false</ScaleCrop>
  <HeadingPairs>
    <vt:vector size="2" baseType="variant">
      <vt:variant>
        <vt:lpstr>Title</vt:lpstr>
      </vt:variant>
      <vt:variant>
        <vt:i4>1</vt:i4>
      </vt:variant>
    </vt:vector>
  </HeadingPairs>
  <TitlesOfParts>
    <vt:vector size="1" baseType="lpstr">
      <vt:lpstr/>
    </vt:vector>
  </TitlesOfParts>
  <Company>University of Bern</Company>
  <LinksUpToDate>false</LinksUpToDate>
  <CharactersWithSpaces>25980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Whitesell, Veronika (ISPM)</dc:creator>
  <cp:keywords/>
  <dc:description/>
  <cp:lastModifiedBy>Justin O'Sullivan</cp:lastModifiedBy>
  <cp:revision>4</cp:revision>
  <cp:lastPrinted>2021-09-28T07:08:00Z</cp:lastPrinted>
  <dcterms:created xsi:type="dcterms:W3CDTF">2024-10-04T04:04:00Z</dcterms:created>
  <dcterms:modified xsi:type="dcterms:W3CDTF">2024-10-15T08:31:00Z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GrammarlyDocumentId">
    <vt:lpwstr>2040df87bd2cac182b9f27615b4c197578001e894f66979cefc5c13430e414df</vt:lpwstr>
  </property>
</Properties>
</file>