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6EAB2" w14:textId="77777777" w:rsidR="00F10465" w:rsidRPr="0084497F" w:rsidRDefault="00000000" w:rsidP="00624EC2">
      <w:pPr>
        <w:pStyle w:val="KeinLeerraum"/>
        <w:spacing w:line="480" w:lineRule="auto"/>
        <w:jc w:val="left"/>
        <w:rPr>
          <w:b/>
          <w:bCs/>
          <w:sz w:val="28"/>
          <w:szCs w:val="28"/>
        </w:rPr>
      </w:pPr>
      <w:r w:rsidRPr="0084497F">
        <w:rPr>
          <w:b/>
          <w:bCs/>
          <w:sz w:val="28"/>
          <w:szCs w:val="28"/>
        </w:rPr>
        <w:t>Supporting Information</w:t>
      </w:r>
    </w:p>
    <w:p w14:paraId="702686ED" w14:textId="77777777" w:rsidR="00F10465" w:rsidRDefault="00F10465" w:rsidP="00624EC2">
      <w:pPr>
        <w:pStyle w:val="KeinLeerraum"/>
        <w:spacing w:line="480" w:lineRule="auto"/>
        <w:rPr>
          <w:b/>
          <w:bCs/>
        </w:rPr>
      </w:pPr>
    </w:p>
    <w:p w14:paraId="4407B136" w14:textId="4EA24376" w:rsidR="00204FAE" w:rsidRDefault="00000000" w:rsidP="00204FAE">
      <w:pPr>
        <w:pStyle w:val="KeinLeerraum"/>
        <w:spacing w:line="480" w:lineRule="auto"/>
        <w:jc w:val="center"/>
        <w:rPr>
          <w:b/>
          <w:bCs/>
          <w:sz w:val="32"/>
          <w:szCs w:val="32"/>
        </w:rPr>
      </w:pPr>
      <w:r w:rsidRPr="0084497F">
        <w:rPr>
          <w:b/>
          <w:bCs/>
          <w:sz w:val="32"/>
          <w:szCs w:val="32"/>
        </w:rPr>
        <w:t>Integration of 2D material-based electronic devices on flexible substrates for millimeter wave applications</w:t>
      </w:r>
    </w:p>
    <w:p w14:paraId="17AA5574" w14:textId="77777777" w:rsidR="00204FAE" w:rsidRPr="00204FAE" w:rsidRDefault="00204FAE" w:rsidP="00204FAE">
      <w:pPr>
        <w:pStyle w:val="KeinLeerraum"/>
        <w:spacing w:line="480" w:lineRule="auto"/>
        <w:jc w:val="center"/>
        <w:rPr>
          <w:b/>
          <w:bCs/>
          <w:color w:val="FF0000"/>
          <w:sz w:val="32"/>
          <w:szCs w:val="32"/>
        </w:rPr>
      </w:pPr>
    </w:p>
    <w:p w14:paraId="1804D655" w14:textId="77777777" w:rsidR="00204FAE" w:rsidRPr="005F3B91" w:rsidRDefault="00204FAE" w:rsidP="00204FAE">
      <w:pPr>
        <w:pStyle w:val="KeinLeerraum"/>
        <w:rPr>
          <w:i/>
          <w:iCs/>
          <w:vertAlign w:val="superscript"/>
        </w:rPr>
      </w:pPr>
      <w:r w:rsidRPr="005F3B91">
        <w:rPr>
          <w:i/>
          <w:iCs/>
        </w:rPr>
        <w:t>Eros Reato</w:t>
      </w:r>
      <w:r w:rsidRPr="003E31B3">
        <w:rPr>
          <w:i/>
          <w:iCs/>
          <w:vertAlign w:val="superscript"/>
        </w:rPr>
        <w:t>1,2</w:t>
      </w:r>
      <w:r w:rsidRPr="005F3B91">
        <w:rPr>
          <w:i/>
          <w:iCs/>
        </w:rPr>
        <w:t>, Paula Palacios</w:t>
      </w:r>
      <w:r>
        <w:rPr>
          <w:i/>
          <w:iCs/>
          <w:vertAlign w:val="superscript"/>
        </w:rPr>
        <w:t>3,4</w:t>
      </w:r>
      <w:r w:rsidRPr="005F3B91">
        <w:rPr>
          <w:i/>
          <w:iCs/>
        </w:rPr>
        <w:t xml:space="preserve">, </w:t>
      </w:r>
      <w:proofErr w:type="spellStart"/>
      <w:r w:rsidRPr="005F3B91">
        <w:rPr>
          <w:i/>
          <w:iCs/>
        </w:rPr>
        <w:t>Burkay</w:t>
      </w:r>
      <w:proofErr w:type="spellEnd"/>
      <w:r w:rsidRPr="005F3B91">
        <w:rPr>
          <w:i/>
          <w:iCs/>
        </w:rPr>
        <w:t xml:space="preserve"> Uzlu</w:t>
      </w:r>
      <w:r w:rsidRPr="003E31B3">
        <w:rPr>
          <w:i/>
          <w:iCs/>
          <w:vertAlign w:val="superscript"/>
        </w:rPr>
        <w:t>2</w:t>
      </w:r>
      <w:r w:rsidRPr="005F3B91">
        <w:rPr>
          <w:i/>
          <w:iCs/>
        </w:rPr>
        <w:t xml:space="preserve">, </w:t>
      </w:r>
      <w:proofErr w:type="spellStart"/>
      <w:r w:rsidRPr="005F3B91">
        <w:rPr>
          <w:i/>
          <w:iCs/>
        </w:rPr>
        <w:t>Eyyub</w:t>
      </w:r>
      <w:proofErr w:type="spellEnd"/>
      <w:r w:rsidRPr="005F3B91">
        <w:rPr>
          <w:i/>
          <w:iCs/>
        </w:rPr>
        <w:t xml:space="preserve"> Baskent</w:t>
      </w:r>
      <w:r>
        <w:rPr>
          <w:i/>
          <w:iCs/>
          <w:vertAlign w:val="superscript"/>
        </w:rPr>
        <w:t>3</w:t>
      </w:r>
      <w:r w:rsidRPr="005F3B91">
        <w:rPr>
          <w:i/>
          <w:iCs/>
        </w:rPr>
        <w:t xml:space="preserve">, </w:t>
      </w:r>
      <w:proofErr w:type="spellStart"/>
      <w:r w:rsidRPr="005F3B91">
        <w:rPr>
          <w:i/>
          <w:iCs/>
        </w:rPr>
        <w:t>Ardeshir</w:t>
      </w:r>
      <w:proofErr w:type="spellEnd"/>
      <w:r w:rsidRPr="005F3B91">
        <w:rPr>
          <w:i/>
          <w:iCs/>
        </w:rPr>
        <w:t xml:space="preserve"> Esteki</w:t>
      </w:r>
      <w:r>
        <w:rPr>
          <w:i/>
          <w:iCs/>
          <w:vertAlign w:val="superscript"/>
        </w:rPr>
        <w:t>1</w:t>
      </w:r>
      <w:r w:rsidRPr="005F3B91">
        <w:rPr>
          <w:i/>
          <w:iCs/>
        </w:rPr>
        <w:t>, Mohamed Saeed</w:t>
      </w:r>
      <w:r w:rsidRPr="003E31B3">
        <w:rPr>
          <w:i/>
          <w:iCs/>
          <w:vertAlign w:val="superscript"/>
        </w:rPr>
        <w:t>4</w:t>
      </w:r>
      <w:r w:rsidRPr="005F3B91">
        <w:rPr>
          <w:i/>
          <w:iCs/>
        </w:rPr>
        <w:t>,</w:t>
      </w:r>
      <w:r w:rsidRPr="005F3B91">
        <w:t xml:space="preserve"> </w:t>
      </w:r>
      <w:r w:rsidRPr="005F3B91">
        <w:rPr>
          <w:i/>
          <w:iCs/>
        </w:rPr>
        <w:t>Francisco Pasadas</w:t>
      </w:r>
      <w:r w:rsidRPr="003E31B3">
        <w:rPr>
          <w:i/>
          <w:iCs/>
          <w:vertAlign w:val="superscript"/>
        </w:rPr>
        <w:t>5</w:t>
      </w:r>
      <w:r w:rsidRPr="005F3B91">
        <w:rPr>
          <w:i/>
          <w:iCs/>
        </w:rPr>
        <w:t>, Lukas Völkel</w:t>
      </w:r>
      <w:r w:rsidRPr="003E31B3">
        <w:rPr>
          <w:i/>
          <w:iCs/>
          <w:vertAlign w:val="superscript"/>
        </w:rPr>
        <w:t>1</w:t>
      </w:r>
      <w:r w:rsidRPr="005F3B91">
        <w:rPr>
          <w:i/>
          <w:iCs/>
        </w:rPr>
        <w:t>, Daniel S. Schneider</w:t>
      </w:r>
      <w:r w:rsidRPr="003E31B3">
        <w:rPr>
          <w:i/>
          <w:iCs/>
          <w:vertAlign w:val="superscript"/>
        </w:rPr>
        <w:t>1,2</w:t>
      </w:r>
      <w:r w:rsidRPr="005F3B91">
        <w:rPr>
          <w:i/>
          <w:iCs/>
        </w:rPr>
        <w:t>, Michael Heuken</w:t>
      </w:r>
      <w:r w:rsidRPr="003E31B3">
        <w:rPr>
          <w:i/>
          <w:iCs/>
          <w:vertAlign w:val="superscript"/>
        </w:rPr>
        <w:t>6</w:t>
      </w:r>
      <w:r w:rsidRPr="005F3B91">
        <w:rPr>
          <w:i/>
          <w:iCs/>
        </w:rPr>
        <w:t>,</w:t>
      </w:r>
      <w:r>
        <w:rPr>
          <w:i/>
          <w:iCs/>
          <w:vertAlign w:val="subscript"/>
        </w:rPr>
        <w:t xml:space="preserve"> </w:t>
      </w:r>
      <w:r w:rsidRPr="005F3B91">
        <w:rPr>
          <w:i/>
          <w:iCs/>
        </w:rPr>
        <w:t>Daniel Neumaier</w:t>
      </w:r>
      <w:r w:rsidRPr="003E31B3">
        <w:rPr>
          <w:i/>
          <w:iCs/>
          <w:vertAlign w:val="superscript"/>
        </w:rPr>
        <w:t>,2</w:t>
      </w:r>
      <w:r>
        <w:rPr>
          <w:i/>
          <w:iCs/>
          <w:vertAlign w:val="superscript"/>
        </w:rPr>
        <w:t>,7</w:t>
      </w:r>
      <w:r w:rsidRPr="005F3B91">
        <w:rPr>
          <w:i/>
          <w:iCs/>
        </w:rPr>
        <w:t xml:space="preserve">, </w:t>
      </w:r>
      <w:proofErr w:type="spellStart"/>
      <w:r w:rsidRPr="005F3B91">
        <w:rPr>
          <w:i/>
          <w:iCs/>
        </w:rPr>
        <w:t>Zhenxing</w:t>
      </w:r>
      <w:proofErr w:type="spellEnd"/>
      <w:r w:rsidRPr="005F3B91">
        <w:rPr>
          <w:i/>
          <w:iCs/>
        </w:rPr>
        <w:t xml:space="preserve"> Wang</w:t>
      </w:r>
      <w:proofErr w:type="gramStart"/>
      <w:r>
        <w:rPr>
          <w:i/>
          <w:iCs/>
          <w:vertAlign w:val="superscript"/>
        </w:rPr>
        <w:t>1,</w:t>
      </w:r>
      <w:r w:rsidRPr="005F3B91">
        <w:rPr>
          <w:i/>
          <w:iCs/>
          <w:vertAlign w:val="superscript"/>
        </w:rPr>
        <w:t>*</w:t>
      </w:r>
      <w:proofErr w:type="gramEnd"/>
      <w:r w:rsidRPr="005F3B91">
        <w:rPr>
          <w:i/>
          <w:iCs/>
          <w:vertAlign w:val="subscript"/>
        </w:rPr>
        <w:t>,</w:t>
      </w:r>
      <w:r w:rsidRPr="005F3B91">
        <w:rPr>
          <w:i/>
          <w:iCs/>
        </w:rPr>
        <w:t xml:space="preserve"> Renato Negra</w:t>
      </w:r>
      <w:r>
        <w:rPr>
          <w:i/>
          <w:iCs/>
          <w:vertAlign w:val="superscript"/>
        </w:rPr>
        <w:t>3,</w:t>
      </w:r>
      <w:r w:rsidRPr="005F3B91">
        <w:rPr>
          <w:i/>
          <w:iCs/>
          <w:vertAlign w:val="superscript"/>
        </w:rPr>
        <w:t>*</w:t>
      </w:r>
      <w:r w:rsidRPr="005F3B91">
        <w:rPr>
          <w:i/>
          <w:iCs/>
        </w:rPr>
        <w:t xml:space="preserve"> and Max C. Lemme</w:t>
      </w:r>
      <w:r w:rsidRPr="003E31B3">
        <w:rPr>
          <w:i/>
          <w:iCs/>
          <w:vertAlign w:val="superscript"/>
        </w:rPr>
        <w:t>1,2</w:t>
      </w:r>
      <w:r>
        <w:rPr>
          <w:i/>
          <w:iCs/>
          <w:vertAlign w:val="superscript"/>
        </w:rPr>
        <w:t>,</w:t>
      </w:r>
      <w:r w:rsidRPr="005F3B91">
        <w:rPr>
          <w:i/>
          <w:iCs/>
          <w:vertAlign w:val="superscript"/>
        </w:rPr>
        <w:t>*</w:t>
      </w:r>
    </w:p>
    <w:p w14:paraId="0C9F304E" w14:textId="77777777" w:rsidR="00204FAE" w:rsidRPr="005F3B91" w:rsidRDefault="00204FAE" w:rsidP="00204FAE">
      <w:pPr>
        <w:pStyle w:val="KeinLeerraum"/>
      </w:pPr>
    </w:p>
    <w:p w14:paraId="520CE75E" w14:textId="77777777" w:rsidR="00204FAE" w:rsidRPr="003E31B3" w:rsidRDefault="00204FAE" w:rsidP="00204FAE">
      <w:pPr>
        <w:pStyle w:val="KeinLeerraum"/>
        <w:spacing w:after="120"/>
        <w:jc w:val="center"/>
        <w:rPr>
          <w:sz w:val="20"/>
          <w:szCs w:val="20"/>
        </w:rPr>
      </w:pPr>
      <w:r w:rsidRPr="003E31B3">
        <w:rPr>
          <w:sz w:val="20"/>
          <w:szCs w:val="20"/>
          <w:vertAlign w:val="superscript"/>
        </w:rPr>
        <w:t>1</w:t>
      </w:r>
      <w:r w:rsidRPr="003E31B3">
        <w:rPr>
          <w:sz w:val="20"/>
          <w:szCs w:val="20"/>
        </w:rPr>
        <w:t>Chair of Electronic Devices, RWTH Aachen University, Otto-Blumenthal-Strasse 25, 52074 Aachen, Germany</w:t>
      </w:r>
    </w:p>
    <w:p w14:paraId="5414E27B" w14:textId="77777777" w:rsidR="00204FAE" w:rsidRPr="003E31B3" w:rsidRDefault="00204FAE" w:rsidP="00204FAE">
      <w:pPr>
        <w:pStyle w:val="KeinLeerraum"/>
        <w:spacing w:after="120"/>
        <w:jc w:val="center"/>
        <w:rPr>
          <w:sz w:val="20"/>
          <w:szCs w:val="20"/>
          <w:lang w:val="de-DE"/>
        </w:rPr>
      </w:pPr>
      <w:r w:rsidRPr="003E31B3">
        <w:rPr>
          <w:sz w:val="20"/>
          <w:szCs w:val="20"/>
          <w:vertAlign w:val="superscript"/>
          <w:lang w:val="de-DE"/>
        </w:rPr>
        <w:t>2</w:t>
      </w:r>
      <w:r w:rsidRPr="003E31B3">
        <w:rPr>
          <w:sz w:val="20"/>
          <w:szCs w:val="20"/>
          <w:lang w:val="de-DE"/>
        </w:rPr>
        <w:t>AMO GmbH, Otto-Blumenthal-</w:t>
      </w:r>
      <w:proofErr w:type="spellStart"/>
      <w:r w:rsidRPr="003E31B3">
        <w:rPr>
          <w:sz w:val="20"/>
          <w:szCs w:val="20"/>
          <w:lang w:val="de-DE"/>
        </w:rPr>
        <w:t>Strasse</w:t>
      </w:r>
      <w:proofErr w:type="spellEnd"/>
      <w:r w:rsidRPr="003E31B3">
        <w:rPr>
          <w:sz w:val="20"/>
          <w:szCs w:val="20"/>
          <w:lang w:val="de-DE"/>
        </w:rPr>
        <w:t xml:space="preserve"> 25, 52074 Aachen, Germany</w:t>
      </w:r>
    </w:p>
    <w:p w14:paraId="404160A6" w14:textId="77777777" w:rsidR="00204FAE" w:rsidRPr="003E31B3" w:rsidRDefault="00204FAE" w:rsidP="00204FAE">
      <w:pPr>
        <w:pStyle w:val="KeinLeerraum"/>
        <w:spacing w:after="120"/>
        <w:jc w:val="center"/>
        <w:rPr>
          <w:sz w:val="20"/>
          <w:szCs w:val="20"/>
        </w:rPr>
      </w:pPr>
      <w:r w:rsidRPr="003E31B3">
        <w:rPr>
          <w:sz w:val="20"/>
          <w:szCs w:val="20"/>
          <w:vertAlign w:val="superscript"/>
        </w:rPr>
        <w:t>3</w:t>
      </w:r>
      <w:r w:rsidRPr="003E31B3">
        <w:rPr>
          <w:sz w:val="20"/>
          <w:szCs w:val="20"/>
        </w:rPr>
        <w:t xml:space="preserve">Chair of High-Frequency Electronics, RWTH-Aachen University, </w:t>
      </w:r>
      <w:proofErr w:type="spellStart"/>
      <w:r w:rsidRPr="003E31B3">
        <w:rPr>
          <w:sz w:val="20"/>
          <w:szCs w:val="20"/>
        </w:rPr>
        <w:t>Kopernikusstraße</w:t>
      </w:r>
      <w:proofErr w:type="spellEnd"/>
      <w:r w:rsidRPr="003E31B3">
        <w:rPr>
          <w:sz w:val="20"/>
          <w:szCs w:val="20"/>
        </w:rPr>
        <w:t xml:space="preserve"> 16, 52074 Aachen, Germany</w:t>
      </w:r>
    </w:p>
    <w:p w14:paraId="2725A396" w14:textId="77777777" w:rsidR="00204FAE" w:rsidRPr="003E31B3" w:rsidRDefault="00204FAE" w:rsidP="00204FAE">
      <w:pPr>
        <w:pStyle w:val="KeinLeerraum"/>
        <w:spacing w:after="120"/>
        <w:jc w:val="center"/>
        <w:rPr>
          <w:sz w:val="20"/>
          <w:szCs w:val="20"/>
        </w:rPr>
      </w:pPr>
      <w:r w:rsidRPr="003E31B3">
        <w:rPr>
          <w:sz w:val="20"/>
          <w:szCs w:val="20"/>
          <w:vertAlign w:val="superscript"/>
        </w:rPr>
        <w:t>4</w:t>
      </w:r>
      <w:r w:rsidRPr="003E31B3">
        <w:rPr>
          <w:sz w:val="20"/>
          <w:szCs w:val="20"/>
        </w:rPr>
        <w:t xml:space="preserve">InCirtT GmbH, </w:t>
      </w:r>
      <w:proofErr w:type="spellStart"/>
      <w:r w:rsidRPr="003E31B3">
        <w:rPr>
          <w:sz w:val="20"/>
          <w:szCs w:val="20"/>
        </w:rPr>
        <w:t>Kopernikusstraße</w:t>
      </w:r>
      <w:proofErr w:type="spellEnd"/>
      <w:r w:rsidRPr="003E31B3">
        <w:rPr>
          <w:sz w:val="20"/>
          <w:szCs w:val="20"/>
        </w:rPr>
        <w:t xml:space="preserve"> 16, 52074 Aachen, Germany</w:t>
      </w:r>
    </w:p>
    <w:p w14:paraId="6A017ED1" w14:textId="77777777" w:rsidR="00204FAE" w:rsidRPr="003E31B3" w:rsidRDefault="00204FAE" w:rsidP="00204FAE">
      <w:pPr>
        <w:pStyle w:val="KeinLeerraum"/>
        <w:spacing w:after="120"/>
        <w:jc w:val="center"/>
        <w:rPr>
          <w:sz w:val="20"/>
          <w:szCs w:val="20"/>
        </w:rPr>
      </w:pPr>
      <w:r w:rsidRPr="003E31B3">
        <w:rPr>
          <w:sz w:val="20"/>
          <w:szCs w:val="20"/>
          <w:vertAlign w:val="superscript"/>
        </w:rPr>
        <w:t>5</w:t>
      </w:r>
      <w:r w:rsidRPr="003E31B3">
        <w:rPr>
          <w:sz w:val="20"/>
          <w:szCs w:val="20"/>
        </w:rPr>
        <w:t xml:space="preserve">Dep. de </w:t>
      </w:r>
      <w:proofErr w:type="spellStart"/>
      <w:r w:rsidRPr="003E31B3">
        <w:rPr>
          <w:sz w:val="20"/>
          <w:szCs w:val="20"/>
        </w:rPr>
        <w:t>Electrónica</w:t>
      </w:r>
      <w:proofErr w:type="spellEnd"/>
      <w:r w:rsidRPr="003E31B3">
        <w:rPr>
          <w:sz w:val="20"/>
          <w:szCs w:val="20"/>
        </w:rPr>
        <w:t xml:space="preserve"> y </w:t>
      </w:r>
      <w:proofErr w:type="spellStart"/>
      <w:r w:rsidRPr="003E31B3">
        <w:rPr>
          <w:sz w:val="20"/>
          <w:szCs w:val="20"/>
        </w:rPr>
        <w:t>Tecnología</w:t>
      </w:r>
      <w:proofErr w:type="spellEnd"/>
      <w:r w:rsidRPr="003E31B3">
        <w:rPr>
          <w:sz w:val="20"/>
          <w:szCs w:val="20"/>
        </w:rPr>
        <w:t xml:space="preserve"> de </w:t>
      </w:r>
      <w:proofErr w:type="spellStart"/>
      <w:r w:rsidRPr="003E31B3">
        <w:rPr>
          <w:sz w:val="20"/>
          <w:szCs w:val="20"/>
        </w:rPr>
        <w:t>Computadores</w:t>
      </w:r>
      <w:proofErr w:type="spellEnd"/>
      <w:r w:rsidRPr="003E31B3">
        <w:rPr>
          <w:sz w:val="20"/>
          <w:szCs w:val="20"/>
        </w:rPr>
        <w:t xml:space="preserve">, Campus de </w:t>
      </w:r>
      <w:proofErr w:type="spellStart"/>
      <w:r w:rsidRPr="003E31B3">
        <w:rPr>
          <w:sz w:val="20"/>
          <w:szCs w:val="20"/>
        </w:rPr>
        <w:t>Fuentenueva</w:t>
      </w:r>
      <w:proofErr w:type="spellEnd"/>
      <w:r w:rsidRPr="003E31B3">
        <w:rPr>
          <w:sz w:val="20"/>
          <w:szCs w:val="20"/>
        </w:rPr>
        <w:t>, 18071, Granada, Spain</w:t>
      </w:r>
    </w:p>
    <w:p w14:paraId="566B0326" w14:textId="77777777" w:rsidR="00204FAE" w:rsidRPr="003E31B3" w:rsidRDefault="00204FAE" w:rsidP="00204FAE">
      <w:pPr>
        <w:pStyle w:val="KeinLeerraum"/>
        <w:spacing w:after="120"/>
        <w:jc w:val="center"/>
        <w:rPr>
          <w:sz w:val="20"/>
          <w:szCs w:val="20"/>
          <w:lang w:val="de-DE"/>
        </w:rPr>
      </w:pPr>
      <w:r w:rsidRPr="003E31B3">
        <w:rPr>
          <w:sz w:val="20"/>
          <w:szCs w:val="20"/>
          <w:vertAlign w:val="superscript"/>
          <w:lang w:val="de-DE"/>
        </w:rPr>
        <w:t>6</w:t>
      </w:r>
      <w:r w:rsidRPr="003E31B3">
        <w:rPr>
          <w:sz w:val="20"/>
          <w:szCs w:val="20"/>
          <w:lang w:val="de-DE"/>
        </w:rPr>
        <w:t xml:space="preserve">AIXTRON SE, </w:t>
      </w:r>
      <w:proofErr w:type="spellStart"/>
      <w:r w:rsidRPr="003E31B3">
        <w:rPr>
          <w:sz w:val="20"/>
          <w:szCs w:val="20"/>
          <w:lang w:val="de-DE"/>
        </w:rPr>
        <w:t>Dornkaulstrasse</w:t>
      </w:r>
      <w:proofErr w:type="spellEnd"/>
      <w:r w:rsidRPr="003E31B3">
        <w:rPr>
          <w:sz w:val="20"/>
          <w:szCs w:val="20"/>
          <w:lang w:val="de-DE"/>
        </w:rPr>
        <w:t xml:space="preserve"> 2, 52134 Herzogenrath, Germany</w:t>
      </w:r>
    </w:p>
    <w:p w14:paraId="62649FDF" w14:textId="77777777" w:rsidR="00204FAE" w:rsidRPr="003E31B3" w:rsidRDefault="00204FAE" w:rsidP="00204FAE">
      <w:pPr>
        <w:pStyle w:val="KeinLeerraum"/>
        <w:spacing w:after="120"/>
        <w:jc w:val="center"/>
        <w:rPr>
          <w:sz w:val="20"/>
          <w:szCs w:val="20"/>
          <w:lang w:val="de-DE"/>
        </w:rPr>
      </w:pPr>
      <w:r w:rsidRPr="003E31B3">
        <w:rPr>
          <w:sz w:val="20"/>
          <w:szCs w:val="20"/>
          <w:vertAlign w:val="superscript"/>
          <w:lang w:val="de-DE"/>
        </w:rPr>
        <w:t>7</w:t>
      </w:r>
      <w:r w:rsidRPr="003E31B3">
        <w:rPr>
          <w:sz w:val="20"/>
          <w:szCs w:val="20"/>
          <w:lang w:val="de-DE"/>
        </w:rPr>
        <w:t xml:space="preserve">Bergische Universität Wuppertal, Lise-Meitner-Str. </w:t>
      </w:r>
      <w:r w:rsidRPr="00204FAE">
        <w:rPr>
          <w:sz w:val="20"/>
          <w:szCs w:val="20"/>
          <w:lang w:val="de-DE"/>
        </w:rPr>
        <w:t>13, 42119 Wuppertal, Germany</w:t>
      </w:r>
    </w:p>
    <w:p w14:paraId="49560A66" w14:textId="77777777" w:rsidR="00204FAE" w:rsidRPr="00204FAE" w:rsidRDefault="00204FAE" w:rsidP="00204FAE">
      <w:pPr>
        <w:pStyle w:val="KeinLeerraum"/>
        <w:rPr>
          <w:lang w:val="de-DE"/>
        </w:rPr>
      </w:pPr>
    </w:p>
    <w:p w14:paraId="04D9C379" w14:textId="77777777" w:rsidR="00204FAE" w:rsidRPr="00204FAE" w:rsidRDefault="00204FAE" w:rsidP="00204FAE">
      <w:pPr>
        <w:pStyle w:val="KeinLeerraum"/>
        <w:rPr>
          <w:lang w:val="de-DE"/>
        </w:rPr>
      </w:pPr>
      <w:r w:rsidRPr="00204FAE">
        <w:rPr>
          <w:lang w:val="de-DE"/>
        </w:rPr>
        <w:t xml:space="preserve">*: </w:t>
      </w:r>
      <w:hyperlink r:id="rId4" w:history="1">
        <w:r w:rsidRPr="00204FAE">
          <w:rPr>
            <w:rStyle w:val="Hyperlink"/>
            <w:lang w:val="de-DE"/>
          </w:rPr>
          <w:t>wang@amo.de</w:t>
        </w:r>
      </w:hyperlink>
      <w:r w:rsidRPr="00204FAE">
        <w:rPr>
          <w:lang w:val="de-DE"/>
        </w:rPr>
        <w:t xml:space="preserve">; </w:t>
      </w:r>
      <w:hyperlink r:id="rId5" w:history="1">
        <w:r w:rsidRPr="00204FAE">
          <w:rPr>
            <w:rStyle w:val="Hyperlink"/>
            <w:lang w:val="de-DE"/>
          </w:rPr>
          <w:t>renato.Negra@hfe.rwth-aachen.de</w:t>
        </w:r>
      </w:hyperlink>
      <w:r w:rsidRPr="00204FAE">
        <w:rPr>
          <w:lang w:val="de-DE"/>
        </w:rPr>
        <w:t xml:space="preserve">; </w:t>
      </w:r>
      <w:hyperlink r:id="rId6" w:history="1">
        <w:r w:rsidRPr="00204FAE">
          <w:rPr>
            <w:rStyle w:val="Hyperlink"/>
            <w:lang w:val="de-DE"/>
          </w:rPr>
          <w:t>max.lemme@eld.rwth-aachen.de</w:t>
        </w:r>
      </w:hyperlink>
    </w:p>
    <w:p w14:paraId="312CB952" w14:textId="77777777" w:rsidR="00204FAE" w:rsidRPr="00204FAE" w:rsidRDefault="00204FAE" w:rsidP="00204FAE">
      <w:pPr>
        <w:pStyle w:val="KeinLeerraum"/>
        <w:rPr>
          <w:lang w:val="de-DE"/>
        </w:rPr>
      </w:pPr>
    </w:p>
    <w:p w14:paraId="1BCE59C1" w14:textId="77777777" w:rsidR="00204FAE" w:rsidRPr="003E31B3" w:rsidRDefault="00204FAE" w:rsidP="00204FAE">
      <w:pPr>
        <w:pStyle w:val="KeinLeerraum"/>
      </w:pPr>
      <w:r w:rsidRPr="003E31B3">
        <w:t xml:space="preserve">E. </w:t>
      </w:r>
      <w:proofErr w:type="spellStart"/>
      <w:r w:rsidRPr="003E31B3">
        <w:t>Reato</w:t>
      </w:r>
      <w:proofErr w:type="spellEnd"/>
      <w:r w:rsidRPr="003E31B3">
        <w:t xml:space="preserve"> and P. Palacios contributed equally to this work.</w:t>
      </w:r>
    </w:p>
    <w:p w14:paraId="56560838" w14:textId="77777777" w:rsidR="00204FAE" w:rsidRPr="005F3B91" w:rsidRDefault="00204FAE" w:rsidP="00204FAE">
      <w:pPr>
        <w:pStyle w:val="KeinLeerraum"/>
      </w:pPr>
    </w:p>
    <w:p w14:paraId="2A479AA8" w14:textId="77777777" w:rsidR="00FF455B" w:rsidRPr="006D0052" w:rsidRDefault="00FF455B" w:rsidP="00FF455B">
      <w:pPr>
        <w:pStyle w:val="KeinLeerraum"/>
        <w:rPr>
          <w:sz w:val="18"/>
          <w:szCs w:val="18"/>
        </w:rPr>
      </w:pPr>
    </w:p>
    <w:p w14:paraId="6816153C" w14:textId="77777777" w:rsidR="00624EC2" w:rsidRDefault="00000000">
      <w:pPr>
        <w:spacing w:after="160" w:line="259" w:lineRule="auto"/>
        <w:jc w:val="left"/>
        <w:rPr>
          <w:b/>
          <w:bCs/>
        </w:rPr>
      </w:pPr>
      <w:r>
        <w:rPr>
          <w:b/>
          <w:bCs/>
        </w:rPr>
        <w:br w:type="page"/>
      </w:r>
    </w:p>
    <w:p w14:paraId="1371411F" w14:textId="4EE952B0" w:rsidR="00F10465" w:rsidRDefault="00000000" w:rsidP="00624EC2">
      <w:pPr>
        <w:pStyle w:val="KeinLeerraum"/>
        <w:spacing w:line="480" w:lineRule="auto"/>
        <w:jc w:val="left"/>
        <w:rPr>
          <w:b/>
          <w:bCs/>
        </w:rPr>
      </w:pPr>
      <w:r>
        <w:rPr>
          <w:b/>
          <w:bCs/>
        </w:rPr>
        <w:lastRenderedPageBreak/>
        <w:t>Raman data</w:t>
      </w:r>
    </w:p>
    <w:p w14:paraId="7ADC023F" w14:textId="6E9A58E1" w:rsidR="00F10465" w:rsidRDefault="00000000" w:rsidP="00624EC2">
      <w:r w:rsidRPr="005F3B91">
        <w:t>We conducted material characterization via Raman spectroscopy on Si/SiO</w:t>
      </w:r>
      <w:r w:rsidRPr="00204FAE">
        <w:rPr>
          <w:vertAlign w:val="subscript"/>
        </w:rPr>
        <w:t>2</w:t>
      </w:r>
      <w:r w:rsidRPr="005F3B91">
        <w:t xml:space="preserve"> substrates</w:t>
      </w:r>
      <w:r w:rsidRPr="00B069E3">
        <w:rPr>
          <w:b/>
        </w:rPr>
        <w:t xml:space="preserve">. </w:t>
      </w:r>
      <w:r w:rsidRPr="00B069E3">
        <w:rPr>
          <w:b/>
        </w:rPr>
        <w:fldChar w:fldCharType="begin"/>
      </w:r>
      <w:r w:rsidRPr="00B069E3">
        <w:rPr>
          <w:b/>
        </w:rPr>
        <w:instrText xml:space="preserve"> REF _Ref165563067 \h  \* MERGEFORMAT </w:instrText>
      </w:r>
      <w:r w:rsidRPr="00B069E3">
        <w:rPr>
          <w:b/>
        </w:rPr>
      </w:r>
      <w:r w:rsidRPr="00B069E3">
        <w:rPr>
          <w:b/>
        </w:rPr>
        <w:fldChar w:fldCharType="separate"/>
      </w:r>
      <w:r w:rsidRPr="009B61D6">
        <w:rPr>
          <w:b/>
          <w:iCs/>
        </w:rPr>
        <w:t>Figure S1</w:t>
      </w:r>
      <w:r w:rsidRPr="00B069E3">
        <w:rPr>
          <w:b/>
        </w:rPr>
        <w:fldChar w:fldCharType="end"/>
      </w:r>
      <w:r w:rsidRPr="005F3B91">
        <w:t xml:space="preserve"> shows the Raman spectra for graphene and MoS</w:t>
      </w:r>
      <w:r w:rsidRPr="005F3B91">
        <w:rPr>
          <w:vertAlign w:val="subscript"/>
        </w:rPr>
        <w:t>2</w:t>
      </w:r>
      <w:r w:rsidRPr="005F3B91">
        <w:t xml:space="preserve"> following a transfer process on a Si/SiO</w:t>
      </w:r>
      <w:r w:rsidRPr="005F3B91">
        <w:rPr>
          <w:vertAlign w:val="subscript"/>
        </w:rPr>
        <w:t>2</w:t>
      </w:r>
      <w:r>
        <w:t xml:space="preserve"> test substrate. The transfer process we used in this case was identical to that performed on the PI substrate, described in </w:t>
      </w:r>
      <w:r w:rsidRPr="00A1677A">
        <w:rPr>
          <w:b/>
        </w:rPr>
        <w:t xml:space="preserve">Section </w:t>
      </w:r>
      <w:r w:rsidRPr="00A1677A">
        <w:rPr>
          <w:b/>
        </w:rPr>
        <w:fldChar w:fldCharType="begin"/>
      </w:r>
      <w:r>
        <w:rPr>
          <w:b/>
        </w:rPr>
        <w:instrText xml:space="preserve"> REF _Ref165032111 \w \h  \* MERGEFORMAT </w:instrText>
      </w:r>
      <w:r w:rsidRPr="00A1677A">
        <w:rPr>
          <w:b/>
        </w:rPr>
      </w:r>
      <w:r w:rsidRPr="00A1677A">
        <w:rPr>
          <w:b/>
        </w:rPr>
        <w:fldChar w:fldCharType="separate"/>
      </w:r>
      <w:r>
        <w:rPr>
          <w:b/>
        </w:rPr>
        <w:t>II.B</w:t>
      </w:r>
      <w:r w:rsidRPr="00A1677A">
        <w:rPr>
          <w:b/>
        </w:rPr>
        <w:fldChar w:fldCharType="end"/>
      </w:r>
      <w:r w:rsidR="00521DCE">
        <w:t xml:space="preserve">. The Raman measurements revealed curves characteristic of both materials, confirming successful growth and transfer on the target substrates </w:t>
      </w:r>
      <w:r w:rsidRPr="005F3B91">
        <w:fldChar w:fldCharType="begin"/>
      </w:r>
      <w:r>
        <w:instrText xml:space="preserve"> ADDIN ZOTERO_ITEM CSL_CITATION {"citationID":"XtpyNYwX","properties":{"formattedCitation":"[1], [2]","plainCitation":"[1], [2]","noteIndex":0},"citationItems":[{"id":1477,"uris":["http://zotero.org/users/local/7ZMeGQSk/items/9AH5ADB9"],"itemData":{"id":1477,"type":"article-journal","abstract":"Recent Raman scattering studies in different types of graphene samples are reviewed here. We first discuss the first-order and the double resonance Raman scattering mechanisms in graphene, which give rise to the most prominent Raman features. The determination of the number of layers in few-layer graphene is discussed, giving special emphasis to the possibility of using Raman spectroscopy to distinguish a monolayer from few-layer graphene stacked in the Bernal (AB) configuration. Different types of graphene samples produced both by exfoliation and using epitaxial methods are described and their Raman spectra are compared with those of 3D crystalline graphite and turbostratic graphite, in which the layers are stacked with rotational disorder. We show that Resonance Raman studies, where the energy of the excitation laser line can be tuned continuously, can be used to probe electrons and phonons near the Dirac point of graphene and, in particular allowing a determination to be made of the tight-binding parameters for bilayer graphene. The special process of electron–phonon interaction that renormalizes the phonon energy giving rise to the Kohn anomaly is discussed, and is illustrated by gated experiments where the position of the Fermi level can be changed experimentally. Finally, we discuss the ability of distinguishing armchair and zig-zag edges by Raman spectroscopy and studies in graphene nanoribbons in which the Raman signal is enhanced due to resonance with singularities in the density of electronic states.","container-title":"Physics Reports","DOI":"10.1016/j.physrep.2009.02.003","ISSN":"0370-1573","issue":"5","journalAbbreviation":"Physics Reports","language":"en","page":"51-87","source":"ScienceDirect","title":"Raman spectroscopy in graphene","volume":"473","author":[{"family":"Malard","given":"L. M."},{"family":"Pimenta","given":"M. A."},{"family":"Dresselhaus","given":"G."},{"family":"Dresselhaus","given":"M. S."}],"issued":{"date-parts":[["2009",4,1]]}}},{"id":1479,"uris":["http://zotero.org/users/local/7ZMeGQSk/items/8EA8QX29"],"itemData":{"id":1479,"type":"article-journal","abstract":"Molybdenum disulfide (MoS2) is systematically studied using Raman spectroscopy with ultraviolet and visible laser lines. It is shown that only the Raman frequencies of \\ E_2\\rm g^1 \\ and \\ A_\\rm 1g^ \\ peaks vary monotonously with the layer number of ultrathin MoS2 flakes, while intensities or widths of the peaks vary arbitrarily. The coupling between electronic transitions and phonons are found to become weaker when the layer number of MoS2 decreases, attributed to the increased electronic transition energies or elongated intralayer atomic bonds in ultrathin MoS2. The asymmetric Raman peak at 454 cm−1, which has been regarded as the overtone of longitudinal optical M phonons in bulk MoS2, is actually a combinational band involving a longitudinal acoustic mode (LA(M)) and an optical mode (\\ A_\\rm 2u^ \\). Our findings suggest a clear evolution of the coupling between electronic transition and phonon when MoS2 is scaled down from three- to two-dimensional geometry.","container-title":"Advanced Functional Materials","DOI":"10.1002/adfm.201102111","ISSN":"1616-3028","issue":"7","language":"en","license":"Copyright © 2012 WILEY-VCH Verlag GmbH &amp; Co. KGaA, Weinheim","note":"_eprint: https://onlinelibrary.wiley.com/doi/pdf/10.1002/adfm.201102111","page":"1385-1390","source":"Wiley Online Library","title":"From Bulk to Monolayer MoS2: Evolution of Raman Scattering","title-short":"From Bulk to Monolayer MoS2","volume":"22","author":[{"family":"Li","given":"Hong"},{"family":"Zhang","given":"Qing"},{"family":"Yap","given":"Chin Chong Ray"},{"family":"Tay","given":"Beng Kang"},{"family":"Edwin","given":"Teo Hang Tong"},{"family":"Olivier","given":"Aurelien"},{"family":"Baillargeat","given":"Dominique"}],"issued":{"date-parts":[["2012"]]}}}],"schema":"https://github.com/citation-style-language/schema/raw/master/csl-citation.json"} </w:instrText>
      </w:r>
      <w:r w:rsidRPr="005F3B91">
        <w:fldChar w:fldCharType="separate"/>
      </w:r>
      <w:r w:rsidRPr="00F10465">
        <w:t>[1], [2]</w:t>
      </w:r>
      <w:r w:rsidRPr="005F3B91">
        <w:fldChar w:fldCharType="end"/>
      </w:r>
      <w:r w:rsidRPr="005F3B91">
        <w:t>.</w:t>
      </w:r>
    </w:p>
    <w:p w14:paraId="654F2FBC" w14:textId="77777777" w:rsidR="00F10465" w:rsidRDefault="00000000" w:rsidP="00624EC2">
      <w:pPr>
        <w:pStyle w:val="KeinLeerraum"/>
        <w:keepNext/>
        <w:spacing w:line="480" w:lineRule="auto"/>
        <w:jc w:val="left"/>
      </w:pPr>
      <w:r>
        <w:rPr>
          <w:b/>
          <w:bCs/>
          <w:noProof/>
        </w:rPr>
        <w:drawing>
          <wp:inline distT="0" distB="0" distL="0" distR="0">
            <wp:extent cx="4379690" cy="3343275"/>
            <wp:effectExtent l="0" t="0" r="1905" b="0"/>
            <wp:docPr id="18340340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034086" name="Grafik 1"/>
                    <pic:cNvPicPr/>
                  </pic:nvPicPr>
                  <pic:blipFill>
                    <a:blip r:embed="rId7">
                      <a:extLst>
                        <a:ext uri="{28A0092B-C50C-407E-A947-70E740481C1C}">
                          <a14:useLocalDpi xmlns:a14="http://schemas.microsoft.com/office/drawing/2010/main" val="0"/>
                        </a:ext>
                      </a:extLst>
                    </a:blip>
                    <a:srcRect l="26060" t="17488" r="29505" b="22210"/>
                    <a:stretch>
                      <a:fillRect/>
                    </a:stretch>
                  </pic:blipFill>
                  <pic:spPr bwMode="auto">
                    <a:xfrm>
                      <a:off x="0" y="0"/>
                      <a:ext cx="4385485" cy="3347699"/>
                    </a:xfrm>
                    <a:prstGeom prst="rect">
                      <a:avLst/>
                    </a:prstGeom>
                    <a:ln>
                      <a:noFill/>
                    </a:ln>
                    <a:extLst>
                      <a:ext uri="{53640926-AAD7-44D8-BBD7-CCE9431645EC}">
                        <a14:shadowObscured xmlns:a14="http://schemas.microsoft.com/office/drawing/2010/main"/>
                      </a:ext>
                    </a:extLst>
                  </pic:spPr>
                </pic:pic>
              </a:graphicData>
            </a:graphic>
          </wp:inline>
        </w:drawing>
      </w:r>
    </w:p>
    <w:p w14:paraId="29E71B16" w14:textId="58E86B6C" w:rsidR="00F10465" w:rsidRDefault="00000000" w:rsidP="00624EC2">
      <w:pPr>
        <w:pStyle w:val="Beschriftung"/>
        <w:jc w:val="left"/>
      </w:pPr>
      <w:bookmarkStart w:id="0" w:name="_Ref165563067"/>
      <w:r w:rsidRPr="00B069E3">
        <w:rPr>
          <w:i w:val="0"/>
          <w:iCs w:val="0"/>
          <w:color w:val="auto"/>
          <w:sz w:val="24"/>
          <w:szCs w:val="24"/>
        </w:rPr>
        <w:t>Figure S</w:t>
      </w:r>
      <w:r w:rsidRPr="00B069E3">
        <w:rPr>
          <w:i w:val="0"/>
          <w:iCs w:val="0"/>
          <w:color w:val="auto"/>
          <w:sz w:val="24"/>
          <w:szCs w:val="24"/>
        </w:rPr>
        <w:fldChar w:fldCharType="begin"/>
      </w:r>
      <w:r w:rsidRPr="00B069E3">
        <w:rPr>
          <w:i w:val="0"/>
          <w:iCs w:val="0"/>
          <w:color w:val="auto"/>
          <w:sz w:val="24"/>
          <w:szCs w:val="24"/>
        </w:rPr>
        <w:instrText xml:space="preserve"> SEQ Figure_S \* ARABIC </w:instrText>
      </w:r>
      <w:r w:rsidRPr="00B069E3">
        <w:rPr>
          <w:i w:val="0"/>
          <w:iCs w:val="0"/>
          <w:color w:val="auto"/>
          <w:sz w:val="24"/>
          <w:szCs w:val="24"/>
        </w:rPr>
        <w:fldChar w:fldCharType="separate"/>
      </w:r>
      <w:r w:rsidR="0071540A">
        <w:rPr>
          <w:i w:val="0"/>
          <w:iCs w:val="0"/>
          <w:noProof/>
          <w:color w:val="auto"/>
          <w:sz w:val="24"/>
          <w:szCs w:val="24"/>
        </w:rPr>
        <w:t>1</w:t>
      </w:r>
      <w:r w:rsidRPr="00B069E3">
        <w:rPr>
          <w:i w:val="0"/>
          <w:iCs w:val="0"/>
          <w:color w:val="auto"/>
          <w:sz w:val="24"/>
          <w:szCs w:val="24"/>
        </w:rPr>
        <w:fldChar w:fldCharType="end"/>
      </w:r>
      <w:bookmarkEnd w:id="0"/>
      <w:r w:rsidRPr="00B069E3">
        <w:rPr>
          <w:i w:val="0"/>
          <w:iCs w:val="0"/>
          <w:color w:val="auto"/>
          <w:sz w:val="24"/>
          <w:szCs w:val="24"/>
        </w:rPr>
        <w:t>: Raman spectra of graphene and MoS</w:t>
      </w:r>
      <w:r w:rsidRPr="00C80D30">
        <w:rPr>
          <w:i w:val="0"/>
          <w:iCs w:val="0"/>
          <w:color w:val="auto"/>
          <w:sz w:val="24"/>
          <w:szCs w:val="24"/>
          <w:vertAlign w:val="subscript"/>
        </w:rPr>
        <w:t>2</w:t>
      </w:r>
      <w:r w:rsidRPr="006D0052">
        <w:t>.</w:t>
      </w:r>
    </w:p>
    <w:p w14:paraId="58A7DCD6" w14:textId="77777777" w:rsidR="00204FAE" w:rsidRDefault="00204FAE">
      <w:pPr>
        <w:spacing w:after="160" w:line="259" w:lineRule="auto"/>
        <w:jc w:val="left"/>
        <w:rPr>
          <w:b/>
        </w:rPr>
      </w:pPr>
      <w:r>
        <w:rPr>
          <w:b/>
        </w:rPr>
        <w:br w:type="page"/>
      </w:r>
    </w:p>
    <w:p w14:paraId="7D19E182" w14:textId="066B2CF1" w:rsidR="00F10465" w:rsidRDefault="00000000" w:rsidP="00624EC2">
      <w:pPr>
        <w:rPr>
          <w:b/>
        </w:rPr>
      </w:pPr>
      <w:proofErr w:type="spellStart"/>
      <w:r w:rsidRPr="00D47072">
        <w:rPr>
          <w:b/>
        </w:rPr>
        <w:lastRenderedPageBreak/>
        <w:t>hBN</w:t>
      </w:r>
      <w:proofErr w:type="spellEnd"/>
      <w:r w:rsidRPr="00D47072">
        <w:rPr>
          <w:b/>
        </w:rPr>
        <w:t>/MoS</w:t>
      </w:r>
      <w:r w:rsidRPr="00D47072">
        <w:rPr>
          <w:b/>
          <w:vertAlign w:val="subscript"/>
        </w:rPr>
        <w:t>2</w:t>
      </w:r>
      <w:r>
        <w:rPr>
          <w:b/>
        </w:rPr>
        <w:t>/</w:t>
      </w:r>
      <w:proofErr w:type="spellStart"/>
      <w:r>
        <w:rPr>
          <w:b/>
        </w:rPr>
        <w:t>hBN</w:t>
      </w:r>
      <w:proofErr w:type="spellEnd"/>
      <w:r>
        <w:rPr>
          <w:b/>
        </w:rPr>
        <w:t xml:space="preserve"> stack transfer</w:t>
      </w:r>
    </w:p>
    <w:p w14:paraId="64ED368E" w14:textId="4B802168" w:rsidR="00F10465" w:rsidRDefault="00000000" w:rsidP="00624EC2">
      <w:pPr>
        <w:keepNext/>
        <w:rPr>
          <w:b/>
        </w:rPr>
      </w:pPr>
      <w:r w:rsidRPr="00204FAE">
        <w:t xml:space="preserve">hBN was purchased from the supplier as a 2 nm thick film on a copper foil growth substrate. We first spin-coated approximately 600 nm thick PMMA onto the </w:t>
      </w:r>
      <w:proofErr w:type="spellStart"/>
      <w:r w:rsidR="00204FAE">
        <w:t>h</w:t>
      </w:r>
      <w:r w:rsidRPr="00204FAE">
        <w:t>BN</w:t>
      </w:r>
      <w:proofErr w:type="spellEnd"/>
      <w:r w:rsidRPr="00204FAE">
        <w:t xml:space="preserve"> on the copper foil. Then, we etched the copper substrate in a solution of HCl, H2O2 and DI water, leaving a free-standing PMMA and hBN layer. We then transferred the hBN layer to OX2 via DI water for adhesion. Finally, we allowed the transferred materials to dry overnight in a laminar airflow and removed the PMMA layer with an acetone bath. We then spin-coated 600 nm PMMA onto the as-grown MoS</w:t>
      </w:r>
      <w:r w:rsidRPr="00204FAE">
        <w:rPr>
          <w:vertAlign w:val="subscript"/>
        </w:rPr>
        <w:t>2</w:t>
      </w:r>
      <w:r w:rsidRPr="00204FAE">
        <w:t xml:space="preserve"> on sapphire and delaminated the stack of PMMA and MoS</w:t>
      </w:r>
      <w:r w:rsidRPr="00204FAE">
        <w:rPr>
          <w:vertAlign w:val="subscript"/>
        </w:rPr>
        <w:t>2</w:t>
      </w:r>
      <w:r w:rsidRPr="00204FAE">
        <w:t xml:space="preserve"> by intercalating DI water. For the transfer of MoS</w:t>
      </w:r>
      <w:r w:rsidRPr="00204FAE">
        <w:rPr>
          <w:vertAlign w:val="subscript"/>
        </w:rPr>
        <w:t>2</w:t>
      </w:r>
      <w:r w:rsidRPr="00204FAE">
        <w:t xml:space="preserve">, only water was used to remove the material from the sapphire growth substrate to avoid further contamination by other chemicals commonly used for this purpose </w:t>
      </w:r>
      <w:r w:rsidRPr="005F3B91">
        <w:fldChar w:fldCharType="begin"/>
      </w:r>
      <w:r>
        <w:instrText xml:space="preserve"> ADDIN ZOTERO_ITEM CSL_CITATION {"citationID":"KRmJMY5z","properties":{"formattedCitation":"[3], [4], [5], [6]","plainCitation":"[3], [4], [5], [6]","noteIndex":0},"citationItems":[{"id":1458,"uris":["http://zotero.org/users/local/7ZMeGQSk/items/VSWKR976"],"itemData":{"id":1458,"type":"article-journal","abstract":"Transfer and integration of nanostructures onto target substrates is the prerequisite for their fundamental studies and practical applications. Conventional transfer techniques that involve stamping, lift-off, and/or striping suffer from the process-specific drawbacks, such as the requirement for chemical etchant or high-temperature annealing and the introduction of surface discontinuities and/or contaminations that can greatly hinder the properties and functions of the transferred materials. Herein, we report a universal and rapid transfer method implementable at mild conditions. Nanostructures with various dimensionalities (i.e., nanoparticles, nanowires, and nanosheets) and surface properties (i.e., hydrophilic and hydrophobic) can be easily transferred to diverse substrates including hydrophilic, hydrophobic, and flexible surfaces with good fidelity. Importantly, our method ensures the rapid and clean transfer of two-dimensional materials and allows for the facile fabrication of vertical heterostructures with various compositions used for electronic devices. We believe that our method can facilitate the development of nanoelectronics by accelerating the clean transfer and integration of low-dimensional materials into multidimensional structures.","container-title":"ACS Nano","DOI":"10.1021/nn501779y","ISSN":"1936-0851","issue":"7","journalAbbreviation":"ACS Nano","note":"publisher: American Chemical Society","page":"6563-6570","source":"ACS Publications","title":"A Universal, Rapid Method for Clean Transfer of Nanostructures onto Various Substrates","volume":"8","author":[{"family":"Li","given":"Hai"},{"family":"Wu","given":"Jumiati"},{"family":"Huang","given":"Xiao"},{"family":"Yin","given":"Zongyou"},{"family":"Liu","given":"Juqing"},{"family":"Zhang","given":"Hua"}],"issued":{"date-parts":[["2014",7,22]]}}},{"id":1465,"uris":["http://zotero.org/users/local/7ZMeGQSk/items/SKPNRIMH"],"itemData":{"id":1465,"type":"article-journal","abstract":"Chemical vapor deposition (CVD) has shown great potential in synthesizing various high-quality two-dimensional (2D) transition metal dichalcogenides (TMDCs). However, the nondestruction transfer of these CVD-grown 2D TMDCs at a high yield remains a key challenge for applying these emerging materials in various aspects. To address this challenge, we designed a water-soluble transfer mediator consisting of two polymers, polyvinylpyrrolidone (PVP) and poly(vinyl alcohol) (PVA), which can form strong interactions with CVD-grown 2D TMDCs for the nondestruction transfer of these materials. With this mediator, we realized the physical transfer of CVD-grown MoS2 flakes and several other 2D TMDCs, including 2D alloys and heterostructures to a wide range of substrates at a high yield of &gt;90% with well-retained properties as evidenced by various microscopic, spectroscopic, and electrical measurements. Field-effect transistors (FETs) made on thus-transferred CVD-grown MoS2 monolayers exhibited obviously higher mobility than those transferred by chemical method. We also constructed several artificial 2D crystals showing very strong interlayer coupling by the multiple transfer of CVD-grown 2D TMDCs monolayers with this approach. This transfer approach will make versatile CVD-grown 2D materials and their artificial stacks with pristine qualities easily accessible for both fundamental studies and practical applications.","container-title":"ACS Nano","DOI":"10.1021/acsnano.6b00961","ISSN":"1936-0851","issue":"5","journalAbbreviation":"ACS Nano","note":"publisher: American Chemical Society","page":"5237-5242","source":"ACS Publications","title":"Universal Transfer and Stacking of Chemical Vapor Deposition Grown Two-Dimensional Atomic Layers with Water-Soluble Polymer Mediator","volume":"10","author":[{"family":"Lu","given":"Zhixing"},{"family":"Sun","given":"Lifei"},{"family":"Xu","given":"Guanchen"},{"family":"Zheng","given":"Jingying"},{"family":"Zhang","given":"Qi"},{"family":"Wang","given":"Jingyi"},{"family":"Jiao","given":"Liying"}],"issued":{"date-parts":[["2016",5,24]]}}},{"id":1463,"uris":["http://zotero.org/users/local/7ZMeGQSk/items/UINDG7R5"],"itemData":{"id":1463,"type":"article-journal","abstract":"Large scale epitaxial growth and transfer of monolayer MoS2 has attracted great attention in recent years. Here, we report the wafer-scale epitaxial growth of highly oriented continuous and uniform monolayer MoS2 films on single-crystalline sapphire wafers by chemical vapor deposition (CVD) method. The epitaxial film is of high quality and stitched by many 0°, 60° domains and 60°-domain boundaries. Moreover, such wafer-scale monolayer MoS2 films can be transferred and stacked by a simple stamp-transfer process, and the substrate is reusable for subsequent growth. Our progress would facilitate the scalable fabrication of various electronic, valleytronic, and optoelectronic devices for practical applications.","container-title":"ACS Nano","DOI":"10.1021/acsnano.7b03819","ISSN":"1936-0851","issue":"12","journalAbbreviation":"ACS Nano","note":"publisher: American Chemical Society","page":"12001-12007","source":"ACS Publications","title":"Wafer-Scale Growth and Transfer of Highly-Oriented Monolayer MoS2 Continuous Films","volume":"11","author":[{"family":"Yu","given":"Hua"},{"family":"Liao","given":"Mengzhou"},{"family":"Zhao","given":"Wenjuan"},{"family":"Liu","given":"Guodong"},{"family":"Zhou","given":"X. J."},{"family":"Wei","given":"Zheng"},{"family":"Xu","given":"Xiaozhi"},{"family":"Liu","given":"Kaihui"},{"family":"Hu","given":"Zonghai"},{"family":"Deng","given":"Ke"},{"family":"Zhou","given":"Shuyun"},{"family":"Shi","given":"Jin-An"},{"family":"Gu","given":"Lin"},{"family":"Shen","given":"Cheng"},{"family":"Zhang","given":"Tingting"},{"family":"Du","given":"Luojun"},{"family":"Xie","given":"Li"},{"family":"Zhu","given":"Jianqi"},{"family":"Chen","given":"Wei"},{"family":"Yang","given":"Rong"},{"family":"Shi","given":"Dongxia"},{"family":"Zhang","given":"Guangyu"}],"issued":{"date-parts":[["2017",12,26]]}}},{"id":1460,"uris":["http://zotero.org/users/local/7ZMeGQSk/items/NWC48LC6"],"itemData":{"id":1460,"type":"article-journal","abstract":"Among the different developed solid-state nanopores, nanopores constructed in a monolayer of molybdenum disulfide (MoS2) stand out as powerful devices for single-molecule analysis or osmotic power generation. Because the ionic current through a nanopore is inversely proportional to the thickness of the pore, ultrathin membranes have the advantage of providing relatively high ionic currents at very small pore sizes. This increases the signal generated during translocation of biomolecules and improves the nanopores’ efficiency when used for desalination or reverse electrodialysis applications. The atomic thickness of MoS2 nanopores approaches the inter-base distance of DNA, creating a potential candidate for DNA sequencing. In terms of geometry, MoS2 nanopores have a well-defined vertical profile due to their atomic thickness, which eliminates any unwanted effects associated with uneven pore profiles observed in other materials. This protocol details all the necessary procedures for the fabrication of solid-state devices. We discuss different methods for transfer of monolayer MoS2, different approaches for the creation of nanopores, their applicability in detecting DNA translocations and the analysis of translocation data through open-source programming packages. We present anticipated results through the application of our nanopores in DNA translocations and osmotic power generation. The procedure comprises four parts: fabrication of devices (2–3 d), transfer of MoS2 and cleaning procedure (24 h), the creation of nanopores within MoS2 (30 min) and performing DNA translocations (2–3 h). We anticipate that our protocol will enable large-scale manufacturing of single-molecule-analysis devices as well as next-generation DNA sequencing.","container-title":"Nature Protocols","DOI":"10.1038/s41596-019-0131-0","ISSN":"1750-2799","issue":"4","journalAbbreviation":"Nat Protoc","language":"en","license":"2019 The Author(s), under exclusive licence to Springer Nature Limited","note":"number: 4\npublisher: Nature Publishing Group","page":"1130-1168","source":"www.nature.com","title":"Fabrication and practical applications of molybdenum disulfide nanopores","volume":"14","author":[{"family":"Graf","given":"Michael"},{"family":"Lihter","given":"Martina"},{"family":"Thakur","given":"Mukeshchand"},{"family":"Georgiou","given":"Vasileia"},{"family":"Topolancik","given":"Juraj"},{"family":"Ilic","given":"B. Robert"},{"family":"Liu","given":"Ke"},{"family":"Feng","given":"Jiandong"},{"family":"Astier","given":"Yann"},{"family":"Radenovic","given":"Aleksandra"}],"issued":{"date-parts":[["2019",4]]}}}],"schema":"https://github.com/citation-style-language/schema/raw/master/csl-citation.json"} </w:instrText>
      </w:r>
      <w:r w:rsidRPr="005F3B91">
        <w:fldChar w:fldCharType="separate"/>
      </w:r>
      <w:r w:rsidRPr="00F10465">
        <w:t>[3], [4], [5], [6]</w:t>
      </w:r>
      <w:r w:rsidRPr="005F3B91">
        <w:fldChar w:fldCharType="end"/>
      </w:r>
      <w:r w:rsidRPr="00204FAE">
        <w:t>. As in the case of hBN, this resulted in a freestanding stack of PMMA and MoS</w:t>
      </w:r>
      <w:r w:rsidRPr="00204FAE">
        <w:rPr>
          <w:vertAlign w:val="subscript"/>
        </w:rPr>
        <w:t>2</w:t>
      </w:r>
      <w:r w:rsidRPr="00204FAE">
        <w:t>, which was then transferred onto the previously transferred h-BN using DI water. The resulting stack of materials</w:t>
      </w:r>
      <w:r>
        <w:rPr>
          <w:bCs/>
        </w:rPr>
        <w:t xml:space="preserve"> was dried overnight in a laminar flow oven, and the carrier PMMA layer was stripped with acetone.</w:t>
      </w:r>
      <w:r w:rsidR="00204FAE">
        <w:rPr>
          <w:bCs/>
        </w:rPr>
        <w:t xml:space="preserve"> </w:t>
      </w:r>
      <w:r>
        <w:rPr>
          <w:bCs/>
        </w:rPr>
        <w:t xml:space="preserve">Finally, the last </w:t>
      </w:r>
      <w:proofErr w:type="spellStart"/>
      <w:r>
        <w:rPr>
          <w:bCs/>
        </w:rPr>
        <w:t>hBN</w:t>
      </w:r>
      <w:proofErr w:type="spellEnd"/>
      <w:r>
        <w:rPr>
          <w:bCs/>
        </w:rPr>
        <w:t xml:space="preserve"> layer was transferred onto the hBN/MoS2 stack via the same procedure as that used for the bottom hBN layer. The process is illustrated in </w:t>
      </w:r>
      <w:r w:rsidRPr="00C80D30">
        <w:rPr>
          <w:b/>
        </w:rPr>
        <w:fldChar w:fldCharType="begin"/>
      </w:r>
      <w:r w:rsidRPr="00C80D30">
        <w:rPr>
          <w:b/>
        </w:rPr>
        <w:instrText xml:space="preserve"> REF _Ref166507337 \h  \* MERGEFORMAT </w:instrText>
      </w:r>
      <w:r w:rsidRPr="00C80D30">
        <w:rPr>
          <w:b/>
        </w:rPr>
      </w:r>
      <w:r w:rsidRPr="00C80D30">
        <w:rPr>
          <w:b/>
        </w:rPr>
        <w:fldChar w:fldCharType="separate"/>
      </w:r>
      <w:r w:rsidRPr="00C80D30">
        <w:rPr>
          <w:b/>
        </w:rPr>
        <w:t>Figure S 2</w:t>
      </w:r>
      <w:r w:rsidRPr="00C80D30">
        <w:rPr>
          <w:b/>
        </w:rPr>
        <w:fldChar w:fldCharType="end"/>
      </w:r>
      <w:r>
        <w:rPr>
          <w:b/>
        </w:rPr>
        <w:t>.</w:t>
      </w:r>
    </w:p>
    <w:p w14:paraId="6864AEC1" w14:textId="77777777" w:rsidR="00204FAE" w:rsidRPr="00204FAE" w:rsidRDefault="00204FAE" w:rsidP="00204FAE">
      <w:pPr>
        <w:rPr>
          <w:bCs/>
        </w:rPr>
      </w:pPr>
    </w:p>
    <w:p w14:paraId="2230A558" w14:textId="77777777" w:rsidR="00F10465" w:rsidRDefault="00F10465" w:rsidP="00204FAE">
      <w:pPr>
        <w:rPr>
          <w:bCs/>
        </w:rPr>
      </w:pPr>
    </w:p>
    <w:p w14:paraId="7B52C903" w14:textId="41DADF06" w:rsidR="00F10465" w:rsidRDefault="00000000" w:rsidP="00E325CD">
      <w:pPr>
        <w:keepNext/>
        <w:jc w:val="center"/>
      </w:pPr>
      <w:r>
        <w:rPr>
          <w:bCs/>
          <w:noProof/>
        </w:rPr>
        <w:lastRenderedPageBreak/>
        <w:drawing>
          <wp:inline distT="0" distB="0" distL="0" distR="0">
            <wp:extent cx="5667375" cy="3188014"/>
            <wp:effectExtent l="0" t="0" r="0" b="0"/>
            <wp:docPr id="375892115" name="Grafik 1" descr="Ein Bild, das Text, Screenshot,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92115" name="Grafik 1" descr="Ein Bild, das Text, Screenshot, Schrift, Diagramm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7926" cy="3199574"/>
                    </a:xfrm>
                    <a:prstGeom prst="rect">
                      <a:avLst/>
                    </a:prstGeom>
                  </pic:spPr>
                </pic:pic>
              </a:graphicData>
            </a:graphic>
          </wp:inline>
        </w:drawing>
      </w:r>
    </w:p>
    <w:p w14:paraId="31F679B8" w14:textId="7C259F1D" w:rsidR="00F10465" w:rsidRPr="00C80D30" w:rsidRDefault="00000000" w:rsidP="00624EC2">
      <w:pPr>
        <w:pStyle w:val="Beschriftung"/>
        <w:rPr>
          <w:i w:val="0"/>
          <w:iCs w:val="0"/>
          <w:color w:val="auto"/>
          <w:sz w:val="24"/>
          <w:szCs w:val="24"/>
        </w:rPr>
      </w:pPr>
      <w:bookmarkStart w:id="1" w:name="_Ref166507337"/>
      <w:r w:rsidRPr="00C80D30">
        <w:rPr>
          <w:i w:val="0"/>
          <w:iCs w:val="0"/>
          <w:color w:val="auto"/>
          <w:sz w:val="24"/>
          <w:szCs w:val="24"/>
        </w:rPr>
        <w:t>Figure S</w:t>
      </w:r>
      <w:r w:rsidRPr="00C80D30">
        <w:rPr>
          <w:i w:val="0"/>
          <w:iCs w:val="0"/>
          <w:color w:val="auto"/>
          <w:sz w:val="24"/>
          <w:szCs w:val="24"/>
        </w:rPr>
        <w:fldChar w:fldCharType="begin"/>
      </w:r>
      <w:r w:rsidRPr="00C80D30">
        <w:rPr>
          <w:i w:val="0"/>
          <w:iCs w:val="0"/>
          <w:color w:val="auto"/>
          <w:sz w:val="24"/>
          <w:szCs w:val="24"/>
        </w:rPr>
        <w:instrText xml:space="preserve"> SEQ Figure_S \* ARABIC </w:instrText>
      </w:r>
      <w:r w:rsidRPr="00C80D30">
        <w:rPr>
          <w:i w:val="0"/>
          <w:iCs w:val="0"/>
          <w:color w:val="auto"/>
          <w:sz w:val="24"/>
          <w:szCs w:val="24"/>
        </w:rPr>
        <w:fldChar w:fldCharType="separate"/>
      </w:r>
      <w:r w:rsidR="0071540A">
        <w:rPr>
          <w:i w:val="0"/>
          <w:iCs w:val="0"/>
          <w:noProof/>
          <w:color w:val="auto"/>
          <w:sz w:val="24"/>
          <w:szCs w:val="24"/>
        </w:rPr>
        <w:t>2</w:t>
      </w:r>
      <w:r w:rsidRPr="00C80D30">
        <w:rPr>
          <w:i w:val="0"/>
          <w:iCs w:val="0"/>
          <w:color w:val="auto"/>
          <w:sz w:val="24"/>
          <w:szCs w:val="24"/>
        </w:rPr>
        <w:fldChar w:fldCharType="end"/>
      </w:r>
      <w:bookmarkEnd w:id="1"/>
      <w:r w:rsidRPr="00C80D30">
        <w:rPr>
          <w:i w:val="0"/>
          <w:iCs w:val="0"/>
          <w:color w:val="auto"/>
          <w:sz w:val="24"/>
          <w:szCs w:val="24"/>
        </w:rPr>
        <w:t>. Process for fabricating hBN, MoS2 and hBN stacks on the target substrate.</w:t>
      </w:r>
    </w:p>
    <w:p w14:paraId="64470AA4" w14:textId="77777777" w:rsidR="00716F93" w:rsidRDefault="00716F93" w:rsidP="00624EC2">
      <w:pPr>
        <w:rPr>
          <w:b/>
        </w:rPr>
      </w:pPr>
    </w:p>
    <w:p w14:paraId="2AA2302E" w14:textId="77777777" w:rsidR="00204FAE" w:rsidRDefault="00204FAE">
      <w:pPr>
        <w:spacing w:after="160" w:line="259" w:lineRule="auto"/>
        <w:jc w:val="left"/>
        <w:rPr>
          <w:b/>
        </w:rPr>
      </w:pPr>
      <w:r>
        <w:rPr>
          <w:b/>
        </w:rPr>
        <w:br w:type="page"/>
      </w:r>
    </w:p>
    <w:p w14:paraId="18FA18B1" w14:textId="0D8E6415" w:rsidR="00716F93" w:rsidRDefault="00000000" w:rsidP="00624EC2">
      <w:pPr>
        <w:rPr>
          <w:b/>
        </w:rPr>
      </w:pPr>
      <w:r>
        <w:rPr>
          <w:b/>
        </w:rPr>
        <w:lastRenderedPageBreak/>
        <w:t xml:space="preserve">Bending </w:t>
      </w:r>
      <w:r>
        <w:rPr>
          <w:b/>
        </w:rPr>
        <w:t>Tests</w:t>
      </w:r>
    </w:p>
    <w:p w14:paraId="59F04C7C" w14:textId="54B9915F" w:rsidR="00624EC2" w:rsidRDefault="00000000" w:rsidP="00E325CD">
      <w:pPr>
        <w:rPr>
          <w:bCs/>
        </w:rPr>
      </w:pPr>
      <w:r>
        <w:rPr>
          <w:bCs/>
        </w:rPr>
        <w:t xml:space="preserve">We peeled the sample from the carrier substrate after the fabrication ended. To peel the thin polyimide layer from the silicon carrier, we first made small scratches with a scalpel at the four corners of the sample, followed by complete peeling of the PI from the substrate. After this, we prepared a handmade supporting structure made of blue wafer tape that was attached to the edges of the sample and a plastic substrate foil that went underneath and provided support to the structure. This packaging solution makes it possible to handle the sample and to avoid excessive curling of the thin PI edges, which could introduce unwanted stress to the sample while keeping the top surface with the devices accessible to the measurement needles, as shown in </w:t>
      </w:r>
      <w:r w:rsidR="00E325CD">
        <w:rPr>
          <w:b/>
          <w:bCs/>
        </w:rPr>
        <w:t>Figure 3</w:t>
      </w:r>
      <w:r>
        <w:rPr>
          <w:bCs/>
        </w:rPr>
        <w:t xml:space="preserve"> in the main text.</w:t>
      </w:r>
    </w:p>
    <w:p w14:paraId="27F26CB3" w14:textId="2B1F112E" w:rsidR="00F10465" w:rsidRPr="00F10465" w:rsidRDefault="00000000" w:rsidP="00624EC2">
      <w:pPr>
        <w:rPr>
          <w:b/>
        </w:rPr>
      </w:pPr>
      <w:r w:rsidRPr="00F10465">
        <w:rPr>
          <w:b/>
        </w:rPr>
        <w:t>References</w:t>
      </w:r>
    </w:p>
    <w:p w14:paraId="1132051B" w14:textId="77777777" w:rsidR="006D5D8F" w:rsidRPr="006D5D8F" w:rsidRDefault="00000000" w:rsidP="006D5D8F">
      <w:pPr>
        <w:pStyle w:val="Literaturverzeichnis"/>
      </w:pPr>
      <w:r>
        <w:fldChar w:fldCharType="begin"/>
      </w:r>
      <w:r>
        <w:instrText xml:space="preserve"> ADDIN ZOTERO_BIBL {"uncited":[],"omitted":[],"custom":[]} CSL_BIBLIOGRAPHY </w:instrText>
      </w:r>
      <w:r>
        <w:fldChar w:fldCharType="separate"/>
      </w:r>
      <w:r w:rsidRPr="006D5D8F">
        <w:t>[1]</w:t>
      </w:r>
      <w:r w:rsidRPr="006D5D8F">
        <w:tab/>
        <w:t xml:space="preserve">L. M. Malard, M. A. Pimenta, G. Dresselhaus, and M. S. Dresselhaus, “Raman spectroscopy in graphene,” </w:t>
      </w:r>
      <w:r w:rsidRPr="006D5D8F">
        <w:rPr>
          <w:i/>
          <w:iCs/>
        </w:rPr>
        <w:t>Phys. Rep.</w:t>
      </w:r>
      <w:r w:rsidRPr="006D5D8F">
        <w:t>, vol. 473, no. 5, pp. 51–87, Apr. 2009, doi: 10.1016/j.physrep.2009.02.003.</w:t>
      </w:r>
    </w:p>
    <w:p w14:paraId="46FA86D8" w14:textId="77777777" w:rsidR="006D5D8F" w:rsidRPr="006D5D8F" w:rsidRDefault="00000000" w:rsidP="006D5D8F">
      <w:pPr>
        <w:pStyle w:val="Literaturverzeichnis"/>
      </w:pPr>
      <w:r w:rsidRPr="006D5D8F">
        <w:t>[2]</w:t>
      </w:r>
      <w:r w:rsidRPr="006D5D8F">
        <w:tab/>
        <w:t xml:space="preserve">H. Li, Q. Zhang, C. C. R. Yap, B. K. Tay, T. H. T. Edwin, A. Olivier, and D. Baillargeat, “From Bulk to Monolayer MoS2: Evolution of Raman Scattering,” </w:t>
      </w:r>
      <w:r w:rsidRPr="006D5D8F">
        <w:rPr>
          <w:i/>
          <w:iCs/>
        </w:rPr>
        <w:t>Adv. Funct. Mater.</w:t>
      </w:r>
      <w:r w:rsidRPr="006D5D8F">
        <w:t>, vol. 22, no. 7, pp. 1385–1390, 2012, doi: 10.1002/adfm.201102111.</w:t>
      </w:r>
    </w:p>
    <w:p w14:paraId="1413E27D" w14:textId="77777777" w:rsidR="006D5D8F" w:rsidRPr="006D5D8F" w:rsidRDefault="00000000" w:rsidP="006D5D8F">
      <w:pPr>
        <w:pStyle w:val="Literaturverzeichnis"/>
      </w:pPr>
      <w:r w:rsidRPr="006D5D8F">
        <w:t>[3]</w:t>
      </w:r>
      <w:r w:rsidRPr="006D5D8F">
        <w:tab/>
        <w:t xml:space="preserve">H. Li, J. Wu, X. Huang, Z. Yin, J. Liu, and H. Zhang, “A Universal, Rapid Method for Clean Transfer of Nanostructures onto Various Substrates,” </w:t>
      </w:r>
      <w:r w:rsidRPr="006D5D8F">
        <w:rPr>
          <w:i/>
          <w:iCs/>
        </w:rPr>
        <w:t>ACS Nano</w:t>
      </w:r>
      <w:r w:rsidRPr="006D5D8F">
        <w:t>, vol. 8, no. 7, pp. 6563–6570, Jul. 2014, doi: 10.1021/nn501779y.</w:t>
      </w:r>
    </w:p>
    <w:p w14:paraId="59E49CF7" w14:textId="77777777" w:rsidR="006D5D8F" w:rsidRPr="006D5D8F" w:rsidRDefault="00000000" w:rsidP="006D5D8F">
      <w:pPr>
        <w:pStyle w:val="Literaturverzeichnis"/>
      </w:pPr>
      <w:r w:rsidRPr="006D5D8F">
        <w:t>[4]</w:t>
      </w:r>
      <w:r w:rsidRPr="006D5D8F">
        <w:tab/>
        <w:t xml:space="preserve">Z. Lu, L. Sun, G. Xu, J. Zheng, Q. Zhang, J. Wang, and L. Jiao, “Universal Transfer and Stacking of Chemical Vapor Deposition Grown Two-Dimensional Atomic Layers with Water-Soluble Polymer Mediator,” </w:t>
      </w:r>
      <w:r w:rsidRPr="006D5D8F">
        <w:rPr>
          <w:i/>
          <w:iCs/>
        </w:rPr>
        <w:t>ACS Nano</w:t>
      </w:r>
      <w:r w:rsidRPr="006D5D8F">
        <w:t>, vol. 10, no. 5, pp. 5237–5242, May 2016, doi: 10.1021/acsnano.6b00961.</w:t>
      </w:r>
    </w:p>
    <w:p w14:paraId="32669B7A" w14:textId="476846A6" w:rsidR="006D5D8F" w:rsidRPr="006D5D8F" w:rsidRDefault="00000000" w:rsidP="006D5D8F">
      <w:pPr>
        <w:pStyle w:val="Literaturverzeichnis"/>
      </w:pPr>
      <w:r w:rsidRPr="006D5D8F">
        <w:t>[5]</w:t>
      </w:r>
      <w:r w:rsidRPr="006D5D8F">
        <w:tab/>
        <w:t>H. Yu, M. Liao, W. Zhao, G. Liu, X. J. Zhou, Z. Wei, X. Xu, K. Liu, Z. Hu, K. Deng, S. Zhou, J.-A. Shi, L. Gu, C. Shen, T. Zhang, L. Du, L. Xie, J. Zhu, W. Chen, R. Yang, D. Shi, and G. Zhang, “Wafer-Scale Growth and Transfer of High</w:t>
      </w:r>
      <w:r w:rsidRPr="006D5D8F">
        <w:t>ly-</w:t>
      </w:r>
      <w:r w:rsidRPr="006D5D8F">
        <w:t xml:space="preserve">Oriented Monolayer MoS2 Continuous Films,” </w:t>
      </w:r>
      <w:r w:rsidRPr="006D5D8F">
        <w:rPr>
          <w:i/>
          <w:iCs/>
        </w:rPr>
        <w:t>ACS Nano</w:t>
      </w:r>
      <w:r w:rsidRPr="006D5D8F">
        <w:t>, vol. 11, no. 12, pp. 12001–12007, Dec. 2017, doi: 10.1021/acsnano.7b03819.</w:t>
      </w:r>
    </w:p>
    <w:p w14:paraId="256778CE" w14:textId="77777777" w:rsidR="006D5D8F" w:rsidRPr="006D5D8F" w:rsidRDefault="00000000" w:rsidP="006D5D8F">
      <w:pPr>
        <w:pStyle w:val="Literaturverzeichnis"/>
      </w:pPr>
      <w:r w:rsidRPr="006D5D8F">
        <w:t>[6]</w:t>
      </w:r>
      <w:r w:rsidRPr="006D5D8F">
        <w:tab/>
        <w:t xml:space="preserve">M. Graf, M. Lihter, M. Thakur, V. Georgiou, J. Topolancik, B. R. Ilic, K. Liu, J. Feng, Y. Astier, and A. Radenovic, “Fabrication and practical applications of molybdenum disulfide nanopores,” </w:t>
      </w:r>
      <w:r w:rsidRPr="006D5D8F">
        <w:rPr>
          <w:i/>
          <w:iCs/>
        </w:rPr>
        <w:t>Nat. Protoc.</w:t>
      </w:r>
      <w:r w:rsidRPr="006D5D8F">
        <w:t>, vol. 14, no. 4, Art. no. 4, Apr. 2019, doi: 10.1038/s41596-019-0131-0.</w:t>
      </w:r>
    </w:p>
    <w:p w14:paraId="5D259A2B" w14:textId="3D3CDBEA" w:rsidR="00BA38DB" w:rsidRDefault="00000000" w:rsidP="00624EC2">
      <w:r>
        <w:fldChar w:fldCharType="end"/>
      </w:r>
    </w:p>
    <w:sectPr w:rsidR="00BA38DB">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465"/>
    <w:rsid w:val="00004E85"/>
    <w:rsid w:val="00037A5F"/>
    <w:rsid w:val="00067D19"/>
    <w:rsid w:val="00086D88"/>
    <w:rsid w:val="00093590"/>
    <w:rsid w:val="00115E5F"/>
    <w:rsid w:val="00161699"/>
    <w:rsid w:val="001A5E1B"/>
    <w:rsid w:val="001B674A"/>
    <w:rsid w:val="001D191E"/>
    <w:rsid w:val="001D7244"/>
    <w:rsid w:val="00204FAE"/>
    <w:rsid w:val="0022374E"/>
    <w:rsid w:val="00234C70"/>
    <w:rsid w:val="002F1956"/>
    <w:rsid w:val="00302683"/>
    <w:rsid w:val="003163D3"/>
    <w:rsid w:val="0032144F"/>
    <w:rsid w:val="003915A7"/>
    <w:rsid w:val="003F0E93"/>
    <w:rsid w:val="004052E8"/>
    <w:rsid w:val="0048487B"/>
    <w:rsid w:val="004F0A3C"/>
    <w:rsid w:val="004F1F36"/>
    <w:rsid w:val="00521DCE"/>
    <w:rsid w:val="00533310"/>
    <w:rsid w:val="00584422"/>
    <w:rsid w:val="005B1EA4"/>
    <w:rsid w:val="005F3B91"/>
    <w:rsid w:val="00624EC2"/>
    <w:rsid w:val="00667412"/>
    <w:rsid w:val="006C6759"/>
    <w:rsid w:val="006D0052"/>
    <w:rsid w:val="006D5D8F"/>
    <w:rsid w:val="006F1667"/>
    <w:rsid w:val="0071540A"/>
    <w:rsid w:val="00716F93"/>
    <w:rsid w:val="007474D9"/>
    <w:rsid w:val="0084497F"/>
    <w:rsid w:val="0085333A"/>
    <w:rsid w:val="008541F7"/>
    <w:rsid w:val="00893A2D"/>
    <w:rsid w:val="008A3117"/>
    <w:rsid w:val="008F1CBC"/>
    <w:rsid w:val="009571AD"/>
    <w:rsid w:val="009A422B"/>
    <w:rsid w:val="009B2A2E"/>
    <w:rsid w:val="009B61D6"/>
    <w:rsid w:val="00A1677A"/>
    <w:rsid w:val="00A66CA3"/>
    <w:rsid w:val="00AD1CDD"/>
    <w:rsid w:val="00B0001A"/>
    <w:rsid w:val="00B04F11"/>
    <w:rsid w:val="00B069E3"/>
    <w:rsid w:val="00B11F04"/>
    <w:rsid w:val="00B12F06"/>
    <w:rsid w:val="00B17770"/>
    <w:rsid w:val="00B25D93"/>
    <w:rsid w:val="00B54F1B"/>
    <w:rsid w:val="00B60872"/>
    <w:rsid w:val="00BA38DB"/>
    <w:rsid w:val="00BD22E2"/>
    <w:rsid w:val="00C43032"/>
    <w:rsid w:val="00C64791"/>
    <w:rsid w:val="00C80D30"/>
    <w:rsid w:val="00CC01A0"/>
    <w:rsid w:val="00CD181A"/>
    <w:rsid w:val="00CD7745"/>
    <w:rsid w:val="00CF296E"/>
    <w:rsid w:val="00D25449"/>
    <w:rsid w:val="00D47072"/>
    <w:rsid w:val="00D478B1"/>
    <w:rsid w:val="00D54F40"/>
    <w:rsid w:val="00E325CD"/>
    <w:rsid w:val="00E7532C"/>
    <w:rsid w:val="00E75D03"/>
    <w:rsid w:val="00EA5737"/>
    <w:rsid w:val="00EC4105"/>
    <w:rsid w:val="00EF5B81"/>
    <w:rsid w:val="00F10465"/>
    <w:rsid w:val="00F7262C"/>
    <w:rsid w:val="00F73885"/>
    <w:rsid w:val="00F7788B"/>
    <w:rsid w:val="00F9226B"/>
    <w:rsid w:val="00FC21DC"/>
    <w:rsid w:val="00FF4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9EC78"/>
  <w15:chartTrackingRefBased/>
  <w15:docId w15:val="{F5C099AC-B1FB-401F-A8C1-8B1846A7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_double"/>
    <w:qFormat/>
    <w:rsid w:val="00F10465"/>
    <w:pPr>
      <w:spacing w:after="0" w:line="480" w:lineRule="auto"/>
      <w:jc w:val="both"/>
    </w:pPr>
    <w:rPr>
      <w:rFonts w:ascii="Times New Roman" w:eastAsia="MS Mincho" w:hAnsi="Times New Roman" w:cs="Times New Roman"/>
      <w:sz w:val="24"/>
      <w:szCs w:val="24"/>
      <w:lang w:eastAsia="ja-JP"/>
    </w:rPr>
  </w:style>
  <w:style w:type="paragraph" w:styleId="berschrift1">
    <w:name w:val="heading 1"/>
    <w:basedOn w:val="Standard"/>
    <w:next w:val="Standard"/>
    <w:link w:val="berschrift1Zchn"/>
    <w:uiPriority w:val="9"/>
    <w:qFormat/>
    <w:rsid w:val="00F10465"/>
    <w:pPr>
      <w:keepNext/>
      <w:keepLines/>
      <w:spacing w:before="360" w:after="80" w:line="259" w:lineRule="auto"/>
      <w:jc w:val="left"/>
      <w:outlineLvl w:val="0"/>
    </w:pPr>
    <w:rPr>
      <w:rFonts w:asciiTheme="majorHAnsi" w:eastAsiaTheme="majorEastAsia" w:hAnsiTheme="majorHAnsi" w:cstheme="majorBidi"/>
      <w:color w:val="0F4761" w:themeColor="accent1" w:themeShade="BF"/>
      <w:sz w:val="40"/>
      <w:szCs w:val="40"/>
      <w:lang w:eastAsia="en-US"/>
    </w:rPr>
  </w:style>
  <w:style w:type="paragraph" w:styleId="berschrift2">
    <w:name w:val="heading 2"/>
    <w:basedOn w:val="Standard"/>
    <w:next w:val="Standard"/>
    <w:link w:val="berschrift2Zchn"/>
    <w:uiPriority w:val="9"/>
    <w:semiHidden/>
    <w:unhideWhenUsed/>
    <w:qFormat/>
    <w:rsid w:val="00F10465"/>
    <w:pPr>
      <w:keepNext/>
      <w:keepLines/>
      <w:spacing w:before="160" w:after="80" w:line="259" w:lineRule="auto"/>
      <w:jc w:val="left"/>
      <w:outlineLvl w:val="1"/>
    </w:pPr>
    <w:rPr>
      <w:rFonts w:asciiTheme="majorHAnsi" w:eastAsiaTheme="majorEastAsia" w:hAnsiTheme="majorHAnsi" w:cstheme="majorBidi"/>
      <w:color w:val="0F4761" w:themeColor="accent1" w:themeShade="BF"/>
      <w:sz w:val="32"/>
      <w:szCs w:val="32"/>
      <w:lang w:eastAsia="en-US"/>
    </w:rPr>
  </w:style>
  <w:style w:type="paragraph" w:styleId="berschrift3">
    <w:name w:val="heading 3"/>
    <w:basedOn w:val="Standard"/>
    <w:next w:val="Standard"/>
    <w:link w:val="berschrift3Zchn"/>
    <w:uiPriority w:val="9"/>
    <w:semiHidden/>
    <w:unhideWhenUsed/>
    <w:qFormat/>
    <w:rsid w:val="00F10465"/>
    <w:pPr>
      <w:keepNext/>
      <w:keepLines/>
      <w:spacing w:before="160" w:after="80" w:line="259" w:lineRule="auto"/>
      <w:jc w:val="left"/>
      <w:outlineLvl w:val="2"/>
    </w:pPr>
    <w:rPr>
      <w:rFonts w:asciiTheme="minorHAnsi" w:eastAsiaTheme="majorEastAsia" w:hAnsiTheme="minorHAnsi" w:cstheme="majorBidi"/>
      <w:color w:val="0F4761" w:themeColor="accent1" w:themeShade="BF"/>
      <w:sz w:val="28"/>
      <w:szCs w:val="28"/>
      <w:lang w:eastAsia="en-US"/>
    </w:rPr>
  </w:style>
  <w:style w:type="paragraph" w:styleId="berschrift4">
    <w:name w:val="heading 4"/>
    <w:basedOn w:val="Standard"/>
    <w:next w:val="Standard"/>
    <w:link w:val="berschrift4Zchn"/>
    <w:uiPriority w:val="9"/>
    <w:semiHidden/>
    <w:unhideWhenUsed/>
    <w:qFormat/>
    <w:rsid w:val="00F10465"/>
    <w:pPr>
      <w:keepNext/>
      <w:keepLines/>
      <w:spacing w:before="80" w:after="40" w:line="259" w:lineRule="auto"/>
      <w:jc w:val="left"/>
      <w:outlineLvl w:val="3"/>
    </w:pPr>
    <w:rPr>
      <w:rFonts w:asciiTheme="minorHAnsi" w:eastAsiaTheme="majorEastAsia" w:hAnsiTheme="minorHAnsi" w:cstheme="majorBidi"/>
      <w:i/>
      <w:iCs/>
      <w:color w:val="0F4761" w:themeColor="accent1" w:themeShade="BF"/>
      <w:sz w:val="22"/>
      <w:szCs w:val="22"/>
      <w:lang w:eastAsia="en-US"/>
    </w:rPr>
  </w:style>
  <w:style w:type="paragraph" w:styleId="berschrift5">
    <w:name w:val="heading 5"/>
    <w:basedOn w:val="Standard"/>
    <w:next w:val="Standard"/>
    <w:link w:val="berschrift5Zchn"/>
    <w:uiPriority w:val="9"/>
    <w:semiHidden/>
    <w:unhideWhenUsed/>
    <w:qFormat/>
    <w:rsid w:val="00F10465"/>
    <w:pPr>
      <w:keepNext/>
      <w:keepLines/>
      <w:spacing w:before="80" w:after="40" w:line="259" w:lineRule="auto"/>
      <w:jc w:val="left"/>
      <w:outlineLvl w:val="4"/>
    </w:pPr>
    <w:rPr>
      <w:rFonts w:asciiTheme="minorHAnsi" w:eastAsiaTheme="majorEastAsia" w:hAnsiTheme="minorHAnsi" w:cstheme="majorBidi"/>
      <w:color w:val="0F4761" w:themeColor="accent1" w:themeShade="BF"/>
      <w:sz w:val="22"/>
      <w:szCs w:val="22"/>
      <w:lang w:eastAsia="en-US"/>
    </w:rPr>
  </w:style>
  <w:style w:type="paragraph" w:styleId="berschrift6">
    <w:name w:val="heading 6"/>
    <w:basedOn w:val="Standard"/>
    <w:next w:val="Standard"/>
    <w:link w:val="berschrift6Zchn"/>
    <w:uiPriority w:val="9"/>
    <w:semiHidden/>
    <w:unhideWhenUsed/>
    <w:qFormat/>
    <w:rsid w:val="00F10465"/>
    <w:pPr>
      <w:keepNext/>
      <w:keepLines/>
      <w:spacing w:before="40" w:line="259" w:lineRule="auto"/>
      <w:jc w:val="left"/>
      <w:outlineLvl w:val="5"/>
    </w:pPr>
    <w:rPr>
      <w:rFonts w:asciiTheme="minorHAnsi" w:eastAsiaTheme="majorEastAsia" w:hAnsiTheme="minorHAnsi" w:cstheme="majorBidi"/>
      <w:i/>
      <w:iCs/>
      <w:color w:val="595959" w:themeColor="text1" w:themeTint="A6"/>
      <w:sz w:val="22"/>
      <w:szCs w:val="22"/>
      <w:lang w:eastAsia="en-US"/>
    </w:rPr>
  </w:style>
  <w:style w:type="paragraph" w:styleId="berschrift7">
    <w:name w:val="heading 7"/>
    <w:basedOn w:val="Standard"/>
    <w:next w:val="Standard"/>
    <w:link w:val="berschrift7Zchn"/>
    <w:uiPriority w:val="9"/>
    <w:semiHidden/>
    <w:unhideWhenUsed/>
    <w:qFormat/>
    <w:rsid w:val="00F10465"/>
    <w:pPr>
      <w:keepNext/>
      <w:keepLines/>
      <w:spacing w:before="40" w:line="259" w:lineRule="auto"/>
      <w:jc w:val="left"/>
      <w:outlineLvl w:val="6"/>
    </w:pPr>
    <w:rPr>
      <w:rFonts w:asciiTheme="minorHAnsi" w:eastAsiaTheme="majorEastAsia" w:hAnsiTheme="minorHAnsi" w:cstheme="majorBidi"/>
      <w:color w:val="595959" w:themeColor="text1" w:themeTint="A6"/>
      <w:sz w:val="22"/>
      <w:szCs w:val="22"/>
      <w:lang w:eastAsia="en-US"/>
    </w:rPr>
  </w:style>
  <w:style w:type="paragraph" w:styleId="berschrift8">
    <w:name w:val="heading 8"/>
    <w:basedOn w:val="Standard"/>
    <w:next w:val="Standard"/>
    <w:link w:val="berschrift8Zchn"/>
    <w:uiPriority w:val="9"/>
    <w:semiHidden/>
    <w:unhideWhenUsed/>
    <w:qFormat/>
    <w:rsid w:val="00F10465"/>
    <w:pPr>
      <w:keepNext/>
      <w:keepLines/>
      <w:spacing w:line="259" w:lineRule="auto"/>
      <w:jc w:val="left"/>
      <w:outlineLvl w:val="7"/>
    </w:pPr>
    <w:rPr>
      <w:rFonts w:asciiTheme="minorHAnsi" w:eastAsiaTheme="majorEastAsia" w:hAnsiTheme="minorHAnsi" w:cstheme="majorBidi"/>
      <w:i/>
      <w:iCs/>
      <w:color w:val="272727" w:themeColor="text1" w:themeTint="D8"/>
      <w:sz w:val="22"/>
      <w:szCs w:val="22"/>
      <w:lang w:eastAsia="en-US"/>
    </w:rPr>
  </w:style>
  <w:style w:type="paragraph" w:styleId="berschrift9">
    <w:name w:val="heading 9"/>
    <w:basedOn w:val="Standard"/>
    <w:next w:val="Standard"/>
    <w:link w:val="berschrift9Zchn"/>
    <w:uiPriority w:val="9"/>
    <w:semiHidden/>
    <w:unhideWhenUsed/>
    <w:qFormat/>
    <w:rsid w:val="00F10465"/>
    <w:pPr>
      <w:keepNext/>
      <w:keepLines/>
      <w:spacing w:line="259" w:lineRule="auto"/>
      <w:jc w:val="left"/>
      <w:outlineLvl w:val="8"/>
    </w:pPr>
    <w:rPr>
      <w:rFonts w:asciiTheme="minorHAnsi" w:eastAsiaTheme="majorEastAsia" w:hAnsiTheme="minorHAnsi" w:cstheme="majorBidi"/>
      <w:color w:val="272727" w:themeColor="text1" w:themeTint="D8"/>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1046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1046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1046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1046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1046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1046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1046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1046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10465"/>
    <w:rPr>
      <w:rFonts w:eastAsiaTheme="majorEastAsia" w:cstheme="majorBidi"/>
      <w:color w:val="272727" w:themeColor="text1" w:themeTint="D8"/>
    </w:rPr>
  </w:style>
  <w:style w:type="paragraph" w:styleId="Titel">
    <w:name w:val="Title"/>
    <w:basedOn w:val="Standard"/>
    <w:next w:val="Standard"/>
    <w:link w:val="TitelZchn"/>
    <w:uiPriority w:val="10"/>
    <w:qFormat/>
    <w:rsid w:val="00F10465"/>
    <w:pPr>
      <w:spacing w:after="80" w:line="240" w:lineRule="auto"/>
      <w:contextualSpacing/>
      <w:jc w:val="left"/>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F1046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10465"/>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eastAsia="en-US"/>
    </w:rPr>
  </w:style>
  <w:style w:type="character" w:customStyle="1" w:styleId="UntertitelZchn">
    <w:name w:val="Untertitel Zchn"/>
    <w:basedOn w:val="Absatz-Standardschriftart"/>
    <w:link w:val="Untertitel"/>
    <w:uiPriority w:val="11"/>
    <w:rsid w:val="00F1046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10465"/>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ZitatZchn">
    <w:name w:val="Zitat Zchn"/>
    <w:basedOn w:val="Absatz-Standardschriftart"/>
    <w:link w:val="Zitat"/>
    <w:uiPriority w:val="29"/>
    <w:rsid w:val="00F10465"/>
    <w:rPr>
      <w:i/>
      <w:iCs/>
      <w:color w:val="404040" w:themeColor="text1" w:themeTint="BF"/>
    </w:rPr>
  </w:style>
  <w:style w:type="paragraph" w:styleId="Listenabsatz">
    <w:name w:val="List Paragraph"/>
    <w:basedOn w:val="Standard"/>
    <w:uiPriority w:val="34"/>
    <w:qFormat/>
    <w:rsid w:val="00F10465"/>
    <w:pPr>
      <w:spacing w:after="160" w:line="259" w:lineRule="auto"/>
      <w:ind w:left="720"/>
      <w:contextualSpacing/>
      <w:jc w:val="left"/>
    </w:pPr>
    <w:rPr>
      <w:rFonts w:asciiTheme="minorHAnsi" w:eastAsiaTheme="minorHAnsi" w:hAnsiTheme="minorHAnsi" w:cstheme="minorBidi"/>
      <w:sz w:val="22"/>
      <w:szCs w:val="22"/>
      <w:lang w:eastAsia="en-US"/>
    </w:rPr>
  </w:style>
  <w:style w:type="character" w:styleId="IntensiveHervorhebung">
    <w:name w:val="Intense Emphasis"/>
    <w:basedOn w:val="Absatz-Standardschriftart"/>
    <w:uiPriority w:val="21"/>
    <w:qFormat/>
    <w:rsid w:val="00F10465"/>
    <w:rPr>
      <w:i/>
      <w:iCs/>
      <w:color w:val="0F4761" w:themeColor="accent1" w:themeShade="BF"/>
    </w:rPr>
  </w:style>
  <w:style w:type="paragraph" w:styleId="IntensivesZitat">
    <w:name w:val="Intense Quote"/>
    <w:basedOn w:val="Standard"/>
    <w:next w:val="Standard"/>
    <w:link w:val="IntensivesZitatZchn"/>
    <w:uiPriority w:val="30"/>
    <w:qFormat/>
    <w:rsid w:val="00F1046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ivesZitatZchn">
    <w:name w:val="Intensives Zitat Zchn"/>
    <w:basedOn w:val="Absatz-Standardschriftart"/>
    <w:link w:val="IntensivesZitat"/>
    <w:uiPriority w:val="30"/>
    <w:rsid w:val="00F10465"/>
    <w:rPr>
      <w:i/>
      <w:iCs/>
      <w:color w:val="0F4761" w:themeColor="accent1" w:themeShade="BF"/>
    </w:rPr>
  </w:style>
  <w:style w:type="character" w:styleId="IntensiverVerweis">
    <w:name w:val="Intense Reference"/>
    <w:basedOn w:val="Absatz-Standardschriftart"/>
    <w:uiPriority w:val="32"/>
    <w:qFormat/>
    <w:rsid w:val="00F10465"/>
    <w:rPr>
      <w:b/>
      <w:bCs/>
      <w:smallCaps/>
      <w:color w:val="0F4761" w:themeColor="accent1" w:themeShade="BF"/>
      <w:spacing w:val="5"/>
    </w:rPr>
  </w:style>
  <w:style w:type="character" w:styleId="Kommentarzeichen">
    <w:name w:val="annotation reference"/>
    <w:uiPriority w:val="99"/>
    <w:semiHidden/>
    <w:unhideWhenUsed/>
    <w:rsid w:val="00F10465"/>
    <w:rPr>
      <w:sz w:val="16"/>
      <w:szCs w:val="16"/>
    </w:rPr>
  </w:style>
  <w:style w:type="paragraph" w:styleId="Beschriftung">
    <w:name w:val="caption"/>
    <w:basedOn w:val="Standard"/>
    <w:next w:val="Standard"/>
    <w:uiPriority w:val="35"/>
    <w:unhideWhenUsed/>
    <w:qFormat/>
    <w:rsid w:val="00F10465"/>
    <w:pPr>
      <w:spacing w:after="200"/>
    </w:pPr>
    <w:rPr>
      <w:i/>
      <w:iCs/>
      <w:color w:val="0E2841" w:themeColor="text2"/>
      <w:sz w:val="18"/>
      <w:szCs w:val="18"/>
    </w:rPr>
  </w:style>
  <w:style w:type="paragraph" w:styleId="KeinLeerraum">
    <w:name w:val="No Spacing"/>
    <w:uiPriority w:val="1"/>
    <w:qFormat/>
    <w:rsid w:val="00F10465"/>
    <w:pPr>
      <w:spacing w:after="0" w:line="240" w:lineRule="auto"/>
      <w:jc w:val="both"/>
    </w:pPr>
    <w:rPr>
      <w:rFonts w:ascii="Times New Roman" w:eastAsia="MS Mincho" w:hAnsi="Times New Roman" w:cs="Times New Roman"/>
      <w:sz w:val="24"/>
      <w:szCs w:val="24"/>
      <w:lang w:eastAsia="ja-JP"/>
    </w:rPr>
  </w:style>
  <w:style w:type="paragraph" w:styleId="Literaturverzeichnis">
    <w:name w:val="Bibliography"/>
    <w:basedOn w:val="Standard"/>
    <w:next w:val="Standard"/>
    <w:uiPriority w:val="37"/>
    <w:unhideWhenUsed/>
    <w:rsid w:val="00F10465"/>
    <w:pPr>
      <w:tabs>
        <w:tab w:val="left" w:pos="384"/>
      </w:tabs>
      <w:spacing w:line="240" w:lineRule="auto"/>
      <w:ind w:left="384" w:hanging="384"/>
    </w:p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Times New Roman" w:eastAsia="MS Mincho" w:hAnsi="Times New Roman" w:cs="Times New Roman"/>
      <w:sz w:val="20"/>
      <w:szCs w:val="20"/>
      <w:lang w:eastAsia="ja-JP"/>
    </w:rPr>
  </w:style>
  <w:style w:type="character" w:styleId="Platzhaltertext">
    <w:name w:val="Placeholder Text"/>
    <w:basedOn w:val="Absatz-Standardschriftart"/>
    <w:uiPriority w:val="99"/>
    <w:semiHidden/>
    <w:rsid w:val="00CD181A"/>
    <w:rPr>
      <w:color w:val="666666"/>
    </w:rPr>
  </w:style>
  <w:style w:type="paragraph" w:styleId="Kommentarthema">
    <w:name w:val="annotation subject"/>
    <w:basedOn w:val="Kommentartext"/>
    <w:next w:val="Kommentartext"/>
    <w:link w:val="KommentarthemaZchn"/>
    <w:uiPriority w:val="99"/>
    <w:semiHidden/>
    <w:unhideWhenUsed/>
    <w:rsid w:val="00624EC2"/>
    <w:rPr>
      <w:b/>
      <w:bCs/>
    </w:rPr>
  </w:style>
  <w:style w:type="character" w:customStyle="1" w:styleId="KommentarthemaZchn">
    <w:name w:val="Kommentarthema Zchn"/>
    <w:basedOn w:val="KommentartextZchn"/>
    <w:link w:val="Kommentarthema"/>
    <w:uiPriority w:val="99"/>
    <w:semiHidden/>
    <w:rsid w:val="00624EC2"/>
    <w:rPr>
      <w:rFonts w:ascii="Times New Roman" w:eastAsia="MS Mincho" w:hAnsi="Times New Roman" w:cs="Times New Roman"/>
      <w:b/>
      <w:bCs/>
      <w:sz w:val="20"/>
      <w:szCs w:val="20"/>
      <w:lang w:eastAsia="ja-JP"/>
    </w:rPr>
  </w:style>
  <w:style w:type="paragraph" w:styleId="berarbeitung">
    <w:name w:val="Revision"/>
    <w:hidden/>
    <w:uiPriority w:val="99"/>
    <w:semiHidden/>
    <w:rsid w:val="0084497F"/>
    <w:pPr>
      <w:spacing w:after="0" w:line="240" w:lineRule="auto"/>
    </w:pPr>
    <w:rPr>
      <w:rFonts w:ascii="Times New Roman" w:eastAsia="MS Mincho" w:hAnsi="Times New Roman" w:cs="Times New Roman"/>
      <w:sz w:val="24"/>
      <w:szCs w:val="24"/>
      <w:lang w:eastAsia="ja-JP"/>
    </w:rPr>
  </w:style>
  <w:style w:type="character" w:styleId="Hyperlink">
    <w:name w:val="Hyperlink"/>
    <w:basedOn w:val="Absatz-Standardschriftart"/>
    <w:uiPriority w:val="99"/>
    <w:unhideWhenUsed/>
    <w:rsid w:val="00FF455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x.lemme@eld.rwth-aachen.de" TargetMode="External"/><Relationship Id="rId5" Type="http://schemas.openxmlformats.org/officeDocument/2006/relationships/hyperlink" Target="mailto:renato.Negra@hfe.rwth-aachen.de" TargetMode="External"/><Relationship Id="rId10" Type="http://schemas.openxmlformats.org/officeDocument/2006/relationships/theme" Target="theme/theme1.xml"/><Relationship Id="rId4" Type="http://schemas.openxmlformats.org/officeDocument/2006/relationships/hyperlink" Target="mailto:wang@amo.de"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2653</Words>
  <Characters>16720</Characters>
  <Application>Microsoft Office Word</Application>
  <DocSecurity>0</DocSecurity>
  <Lines>139</Lines>
  <Paragraphs>38</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IT Center</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Eros Reato</dc:creator>
  <cp:lastModifiedBy>Max Lemme</cp:lastModifiedBy>
  <cp:revision>5</cp:revision>
  <dcterms:created xsi:type="dcterms:W3CDTF">2024-10-02T11:16:00Z</dcterms:created>
  <dcterms:modified xsi:type="dcterms:W3CDTF">2024-11-05T19:44:00Z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744393d3ac028a5f426238e59ddee96b611a985a76b415ba75764eb7ed83adb4</vt:lpwstr>
  </property>
  <property fmtid="{D5CDD505-2E9C-101B-9397-08002B2CF9AE}" pid="3" name="LE1">
    <vt:filetime>2024-11-05T15:54:20Z</vt:filetime>
  </property>
  <property fmtid="{D5CDD505-2E9C-101B-9397-08002B2CF9AE}" pid="4" name="MSIP_Label_2601ab13-d09d-4752-9b46-cbc905c30b2c_ActionId">
    <vt:lpwstr>ebaf9272-7a13-4e28-9581-99677a179b2b</vt:lpwstr>
  </property>
  <property fmtid="{D5CDD505-2E9C-101B-9397-08002B2CF9AE}" pid="5" name="MSIP_Label_2601ab13-d09d-4752-9b46-cbc905c30b2c_ContentBits">
    <vt:lpwstr>0</vt:lpwstr>
  </property>
  <property fmtid="{D5CDD505-2E9C-101B-9397-08002B2CF9AE}" pid="6" name="MSIP_Label_2601ab13-d09d-4752-9b46-cbc905c30b2c_Enabled">
    <vt:lpwstr>true</vt:lpwstr>
  </property>
  <property fmtid="{D5CDD505-2E9C-101B-9397-08002B2CF9AE}" pid="7" name="MSIP_Label_2601ab13-d09d-4752-9b46-cbc905c30b2c_Method">
    <vt:lpwstr>Standard</vt:lpwstr>
  </property>
  <property fmtid="{D5CDD505-2E9C-101B-9397-08002B2CF9AE}" pid="8" name="MSIP_Label_2601ab13-d09d-4752-9b46-cbc905c30b2c_Name">
    <vt:lpwstr>intern</vt:lpwstr>
  </property>
  <property fmtid="{D5CDD505-2E9C-101B-9397-08002B2CF9AE}" pid="9" name="MSIP_Label_2601ab13-d09d-4752-9b46-cbc905c30b2c_SetDate">
    <vt:lpwstr>2024-05-13T13:50:29Z</vt:lpwstr>
  </property>
  <property fmtid="{D5CDD505-2E9C-101B-9397-08002B2CF9AE}" pid="10" name="MSIP_Label_2601ab13-d09d-4752-9b46-cbc905c30b2c_SiteId">
    <vt:lpwstr>571aa7c2-163d-4fbf-96b9-f626c479b7f8</vt:lpwstr>
  </property>
  <property fmtid="{D5CDD505-2E9C-101B-9397-08002B2CF9AE}" pid="11" name="ZOTERO_PREF_1">
    <vt:lpwstr>&lt;data data-version="3" zotero-version="6.0.36"&gt;&lt;session id="G1EtKxoA"/&gt;&lt;style id="http://www.zotero.org/styles/ieee" locale="en-US" hasBibliography="1" bibliographyStyleHasBeenSet="1"/&gt;&lt;prefs&gt;&lt;pref name="fieldType" value="Field"/&gt;&lt;pref name="automaticJour</vt:lpwstr>
  </property>
  <property fmtid="{D5CDD505-2E9C-101B-9397-08002B2CF9AE}" pid="12" name="ZOTERO_PREF_2">
    <vt:lpwstr>nalAbbreviations" value="true"/&gt;&lt;/prefs&gt;&lt;/data&gt;</vt:lpwstr>
  </property>
</Properties>
</file>