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A8BDE" w14:textId="77777777" w:rsidR="00601AAC" w:rsidRPr="00920ABC" w:rsidRDefault="00601AAC" w:rsidP="00601AAC">
      <w:pPr>
        <w:pStyle w:val="Heading2"/>
      </w:pPr>
      <w:r w:rsidRPr="00920ABC">
        <w:t>Extended Data Fig.1</w:t>
      </w:r>
      <w:r>
        <w:t xml:space="preserve">. Study design and patient disposition </w:t>
      </w:r>
    </w:p>
    <w:p w14:paraId="5B2491CC" w14:textId="77777777" w:rsidR="00601AAC" w:rsidRDefault="00601AAC" w:rsidP="00601AAC">
      <w:pPr>
        <w:pStyle w:val="Default"/>
        <w:spacing w:line="480" w:lineRule="auto"/>
        <w:rPr>
          <w:vertAlign w:val="superscript"/>
        </w:rPr>
      </w:pPr>
    </w:p>
    <w:p w14:paraId="24FA35C3" w14:textId="77777777" w:rsidR="00601AAC" w:rsidRDefault="00601AAC" w:rsidP="00601AAC">
      <w:pPr>
        <w:pStyle w:val="Default"/>
        <w:spacing w:line="480" w:lineRule="auto"/>
        <w:rPr>
          <w:vertAlign w:val="superscript"/>
        </w:rPr>
      </w:pPr>
      <w:r>
        <w:rPr>
          <w:noProof/>
          <w:vertAlign w:val="superscript"/>
        </w:rPr>
        <w:drawing>
          <wp:inline distT="0" distB="0" distL="0" distR="0" wp14:anchorId="44E5A303" wp14:editId="38AB9337">
            <wp:extent cx="5650168" cy="4231602"/>
            <wp:effectExtent l="0" t="0" r="8255" b="0"/>
            <wp:docPr id="1534135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t="15383" b="8519"/>
                    <a:stretch/>
                  </pic:blipFill>
                  <pic:spPr bwMode="auto">
                    <a:xfrm>
                      <a:off x="0" y="0"/>
                      <a:ext cx="5655639" cy="4235699"/>
                    </a:xfrm>
                    <a:prstGeom prst="rect">
                      <a:avLst/>
                    </a:prstGeom>
                    <a:noFill/>
                    <a:ln>
                      <a:noFill/>
                    </a:ln>
                    <a:extLst>
                      <a:ext uri="{53640926-AAD7-44D8-BBD7-CCE9431645EC}">
                        <a14:shadowObscured xmlns:a14="http://schemas.microsoft.com/office/drawing/2010/main"/>
                      </a:ext>
                    </a:extLst>
                  </pic:spPr>
                </pic:pic>
              </a:graphicData>
            </a:graphic>
          </wp:inline>
        </w:drawing>
      </w:r>
    </w:p>
    <w:p w14:paraId="2DED3230" w14:textId="77777777" w:rsidR="00601AAC" w:rsidRPr="00526DA0" w:rsidRDefault="00601AAC" w:rsidP="00601AAC">
      <w:pPr>
        <w:pStyle w:val="Default"/>
        <w:rPr>
          <w:rFonts w:ascii="Arial" w:hAnsi="Arial" w:cs="Arial"/>
          <w:sz w:val="20"/>
          <w:szCs w:val="20"/>
        </w:rPr>
      </w:pPr>
      <w:r w:rsidRPr="00526DA0">
        <w:rPr>
          <w:rFonts w:ascii="Arial" w:hAnsi="Arial" w:cs="Arial"/>
          <w:sz w:val="20"/>
          <w:szCs w:val="20"/>
          <w:vertAlign w:val="superscript"/>
        </w:rPr>
        <w:t>a</w:t>
      </w:r>
      <w:r w:rsidRPr="00526DA0">
        <w:rPr>
          <w:rFonts w:ascii="Arial" w:hAnsi="Arial" w:cs="Arial"/>
          <w:sz w:val="20"/>
          <w:szCs w:val="20"/>
        </w:rPr>
        <w:t>Includes three patients who were in the process of screening at the cutoff date.</w:t>
      </w:r>
    </w:p>
    <w:p w14:paraId="7FAB25B0" w14:textId="77777777" w:rsidR="00601AAC" w:rsidRPr="00526DA0" w:rsidRDefault="00601AAC" w:rsidP="00601AAC">
      <w:pPr>
        <w:pStyle w:val="Default"/>
        <w:rPr>
          <w:rFonts w:ascii="Arial" w:hAnsi="Arial" w:cs="Arial"/>
          <w:sz w:val="20"/>
          <w:szCs w:val="20"/>
        </w:rPr>
      </w:pPr>
      <w:r w:rsidRPr="00526DA0">
        <w:rPr>
          <w:rFonts w:ascii="Arial" w:hAnsi="Arial" w:cs="Arial"/>
          <w:sz w:val="20"/>
          <w:szCs w:val="20"/>
          <w:vertAlign w:val="superscript"/>
        </w:rPr>
        <w:t>b</w:t>
      </w:r>
      <w:r w:rsidRPr="00526DA0">
        <w:rPr>
          <w:rFonts w:ascii="Arial" w:hAnsi="Arial" w:cs="Arial"/>
          <w:sz w:val="20"/>
          <w:szCs w:val="20"/>
        </w:rPr>
        <w:t>Defined</w:t>
      </w:r>
      <w:r w:rsidRPr="00526DA0">
        <w:rPr>
          <w:rFonts w:ascii="Arial" w:eastAsia="+mn-ea" w:hAnsi="Arial" w:cs="Arial"/>
          <w:kern w:val="24"/>
          <w:sz w:val="20"/>
          <w:szCs w:val="20"/>
          <w:lang w:val="en-US"/>
        </w:rPr>
        <w:t xml:space="preserve">  as all patients who had received at least one dose of study treatment. Patients continued on treatment until disease progression, start of new anti-cancer therapy, intercurrent illness that interferes with the patient’s ability to follow study requirements, patient withdraws consent, study participation is terminated by the investigator, or the patient is lost to follow up. </w:t>
      </w:r>
      <w:r w:rsidRPr="00526DA0">
        <w:rPr>
          <w:rFonts w:ascii="Arial" w:eastAsia="+mn-ea" w:hAnsi="Arial" w:cs="Arial"/>
          <w:kern w:val="24"/>
          <w:sz w:val="20"/>
          <w:szCs w:val="20"/>
          <w:lang w:val="en-US"/>
        </w:rPr>
        <w:br/>
        <w:t xml:space="preserve">PO, orally; QD, once a day.   </w:t>
      </w:r>
    </w:p>
    <w:p w14:paraId="63D1D15D" w14:textId="77777777" w:rsidR="00601AAC" w:rsidRDefault="00601AAC" w:rsidP="00601AAC">
      <w:pPr>
        <w:pStyle w:val="Default"/>
        <w:spacing w:line="480" w:lineRule="auto"/>
        <w:rPr>
          <w:rFonts w:ascii="Arial" w:hAnsi="Arial" w:cs="Arial"/>
          <w:b/>
          <w:bCs/>
        </w:rPr>
      </w:pPr>
    </w:p>
    <w:p w14:paraId="0359C384" w14:textId="77777777" w:rsidR="00601AAC" w:rsidRDefault="00601AAC" w:rsidP="00601AAC">
      <w:pPr>
        <w:pStyle w:val="Default"/>
        <w:spacing w:line="480" w:lineRule="auto"/>
        <w:rPr>
          <w:rFonts w:ascii="Arial" w:hAnsi="Arial" w:cs="Arial"/>
          <w:b/>
          <w:bCs/>
        </w:rPr>
      </w:pPr>
    </w:p>
    <w:p w14:paraId="25AE538E" w14:textId="77777777" w:rsidR="00601AAC" w:rsidRDefault="00601AAC" w:rsidP="00601AAC">
      <w:pPr>
        <w:pStyle w:val="Default"/>
        <w:spacing w:line="480" w:lineRule="auto"/>
        <w:rPr>
          <w:rFonts w:ascii="Arial" w:hAnsi="Arial" w:cs="Arial"/>
          <w:b/>
          <w:bCs/>
        </w:rPr>
        <w:sectPr w:rsidR="00601AAC" w:rsidSect="00601AAC">
          <w:pgSz w:w="12240" w:h="15840"/>
          <w:pgMar w:top="1440" w:right="1440" w:bottom="1440" w:left="1440" w:header="720" w:footer="720" w:gutter="0"/>
          <w:lnNumType w:countBy="1" w:restart="continuous"/>
          <w:cols w:space="720"/>
          <w:docGrid w:linePitch="360"/>
        </w:sectPr>
      </w:pPr>
    </w:p>
    <w:p w14:paraId="2BC835B2" w14:textId="77777777" w:rsidR="00601AAC" w:rsidRPr="00CA22DA" w:rsidRDefault="00601AAC" w:rsidP="00601AAC">
      <w:pPr>
        <w:pStyle w:val="Heading2"/>
      </w:pPr>
      <w:r w:rsidRPr="00CA22DA">
        <w:lastRenderedPageBreak/>
        <w:t xml:space="preserve">Extended </w:t>
      </w:r>
      <w:r>
        <w:t>D</w:t>
      </w:r>
      <w:r w:rsidRPr="00CA22DA">
        <w:t xml:space="preserve">ata Fig. 2. Post-treatment response as demonstrated by changes in circulating tumor cells at Cycle 2, Day 1 and Cycle 4, Day 1 compared to   baseline (Cycle 1, Day 1) in (A) all evaluable patients (n = 23); and (B) patients with </w:t>
      </w:r>
      <w:r w:rsidRPr="00CA22DA">
        <w:rPr>
          <w:i/>
          <w:iCs/>
        </w:rPr>
        <w:t>ESR1</w:t>
      </w:r>
      <w:r w:rsidRPr="00031D59">
        <w:t xml:space="preserve"> </w:t>
      </w:r>
      <w:r w:rsidRPr="00CA22DA">
        <w:t>mutations (n = 10)</w:t>
      </w:r>
    </w:p>
    <w:p w14:paraId="3AC0AF9A" w14:textId="77777777" w:rsidR="00601AAC" w:rsidRDefault="00601AAC" w:rsidP="00601AAC">
      <w:pPr>
        <w:spacing w:before="200" w:after="0" w:line="240" w:lineRule="auto"/>
        <w:rPr>
          <w:rFonts w:ascii="Arial" w:eastAsia="Proxima Nova" w:hAnsi="Arial" w:cs="Arial"/>
          <w:color w:val="353744"/>
          <w:sz w:val="20"/>
          <w:szCs w:val="20"/>
          <w:lang w:val="en-GB" w:eastAsia="en-US"/>
        </w:rPr>
      </w:pPr>
      <w:r>
        <w:rPr>
          <w:noProof/>
        </w:rPr>
        <w:drawing>
          <wp:inline distT="0" distB="0" distL="0" distR="0" wp14:anchorId="293B78C1" wp14:editId="69943A6F">
            <wp:extent cx="5943600" cy="2619375"/>
            <wp:effectExtent l="0" t="0" r="0" b="9525"/>
            <wp:docPr id="202313884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138842" name=""/>
                    <pic:cNvPicPr/>
                  </pic:nvPicPr>
                  <pic:blipFill rotWithShape="1">
                    <a:blip r:embed="rId5">
                      <a:extLst>
                        <a:ext uri="{96DAC541-7B7A-43D3-8B79-37D633B846F1}">
                          <asvg:svgBlip xmlns:asvg="http://schemas.microsoft.com/office/drawing/2016/SVG/main" r:embed="rId6"/>
                        </a:ext>
                      </a:extLst>
                    </a:blip>
                    <a:srcRect t="19019" b="36202"/>
                    <a:stretch/>
                  </pic:blipFill>
                  <pic:spPr bwMode="auto">
                    <a:xfrm>
                      <a:off x="0" y="0"/>
                      <a:ext cx="5943600" cy="2619375"/>
                    </a:xfrm>
                    <a:prstGeom prst="rect">
                      <a:avLst/>
                    </a:prstGeom>
                    <a:ln>
                      <a:noFill/>
                    </a:ln>
                    <a:extLst>
                      <a:ext uri="{53640926-AAD7-44D8-BBD7-CCE9431645EC}">
                        <a14:shadowObscured xmlns:a14="http://schemas.microsoft.com/office/drawing/2010/main"/>
                      </a:ext>
                    </a:extLst>
                  </pic:spPr>
                </pic:pic>
              </a:graphicData>
            </a:graphic>
          </wp:inline>
        </w:drawing>
      </w:r>
    </w:p>
    <w:p w14:paraId="0D1D7ACB" w14:textId="77777777" w:rsidR="00601AAC" w:rsidRDefault="00601AAC" w:rsidP="00601AAC">
      <w:pPr>
        <w:spacing w:before="200" w:after="0" w:line="240" w:lineRule="auto"/>
        <w:rPr>
          <w:rFonts w:ascii="Arial" w:eastAsia="Proxima Nova" w:hAnsi="Arial" w:cs="Arial"/>
          <w:color w:val="353744"/>
          <w:sz w:val="20"/>
          <w:szCs w:val="20"/>
          <w:lang w:val="en-GB" w:eastAsia="en-US"/>
        </w:rPr>
      </w:pPr>
    </w:p>
    <w:p w14:paraId="3EFC7B0A" w14:textId="77777777" w:rsidR="00601AAC" w:rsidRDefault="00601AAC" w:rsidP="00601AAC">
      <w:pPr>
        <w:spacing w:before="200" w:after="0" w:line="240" w:lineRule="auto"/>
        <w:rPr>
          <w:rFonts w:ascii="Arial" w:eastAsia="Proxima Nova" w:hAnsi="Arial" w:cs="Arial"/>
          <w:color w:val="353744"/>
          <w:sz w:val="20"/>
          <w:szCs w:val="20"/>
          <w:lang w:val="en-GB" w:eastAsia="en-US"/>
        </w:rPr>
      </w:pPr>
      <w:r w:rsidRPr="009F4E10">
        <w:rPr>
          <w:rFonts w:ascii="Arial" w:eastAsia="Proxima Nova" w:hAnsi="Arial" w:cs="Arial"/>
          <w:color w:val="353744"/>
          <w:sz w:val="20"/>
          <w:szCs w:val="20"/>
          <w:vertAlign w:val="superscript"/>
          <w:lang w:val="en-GB" w:eastAsia="en-US"/>
        </w:rPr>
        <w:t>a</w:t>
      </w:r>
      <w:r>
        <w:rPr>
          <w:rFonts w:ascii="Arial" w:eastAsia="Proxima Nova" w:hAnsi="Arial" w:cs="Arial"/>
          <w:color w:val="353744"/>
          <w:sz w:val="20"/>
          <w:szCs w:val="20"/>
          <w:lang w:val="en-GB" w:eastAsia="en-US"/>
        </w:rPr>
        <w:t>A</w:t>
      </w:r>
      <w:r w:rsidRPr="00764B29">
        <w:rPr>
          <w:rFonts w:ascii="Arial" w:eastAsia="Proxima Nova" w:hAnsi="Arial" w:cs="Arial"/>
          <w:color w:val="353744"/>
          <w:sz w:val="20"/>
          <w:szCs w:val="20"/>
          <w:lang w:val="en-GB" w:eastAsia="en-US"/>
        </w:rPr>
        <w:t xml:space="preserve">ll </w:t>
      </w:r>
      <w:r>
        <w:rPr>
          <w:rFonts w:ascii="Arial" w:eastAsia="Proxima Nova" w:hAnsi="Arial" w:cs="Arial"/>
          <w:color w:val="353744"/>
          <w:sz w:val="20"/>
          <w:szCs w:val="20"/>
          <w:lang w:val="en-GB" w:eastAsia="en-US"/>
        </w:rPr>
        <w:t xml:space="preserve">patients (n=23) who had a </w:t>
      </w:r>
      <w:r w:rsidRPr="00764B29">
        <w:rPr>
          <w:rFonts w:ascii="Arial" w:eastAsia="Proxima Nova" w:hAnsi="Arial" w:cs="Arial"/>
          <w:color w:val="353744"/>
          <w:sz w:val="20"/>
          <w:szCs w:val="20"/>
          <w:lang w:val="en-GB" w:eastAsia="en-US"/>
        </w:rPr>
        <w:t xml:space="preserve">C1D1 baseline CTC above 0 and C2D1 and/or C4D1 CTC. </w:t>
      </w:r>
    </w:p>
    <w:p w14:paraId="7708F86F" w14:textId="77777777" w:rsidR="00601AAC" w:rsidRPr="00526DA0" w:rsidRDefault="00601AAC" w:rsidP="00601AAC">
      <w:pPr>
        <w:spacing w:before="200" w:after="0" w:line="240" w:lineRule="auto"/>
        <w:rPr>
          <w:rFonts w:ascii="Arial" w:hAnsi="Arial" w:cs="Arial"/>
          <w:sz w:val="20"/>
          <w:szCs w:val="20"/>
        </w:rPr>
        <w:sectPr w:rsidR="00601AAC" w:rsidRPr="00526DA0" w:rsidSect="00601AAC">
          <w:pgSz w:w="12240" w:h="15840"/>
          <w:pgMar w:top="1440" w:right="1440" w:bottom="1440" w:left="1440" w:header="720" w:footer="720" w:gutter="0"/>
          <w:cols w:space="720"/>
          <w:docGrid w:linePitch="360"/>
        </w:sectPr>
      </w:pPr>
      <w:r w:rsidRPr="009F4E10">
        <w:rPr>
          <w:rFonts w:ascii="Arial" w:eastAsia="Proxima Nova" w:hAnsi="Arial" w:cs="Arial"/>
          <w:color w:val="353744"/>
          <w:sz w:val="20"/>
          <w:szCs w:val="20"/>
          <w:vertAlign w:val="superscript"/>
          <w:lang w:val="en-GB" w:eastAsia="en-US"/>
        </w:rPr>
        <w:t>b</w:t>
      </w:r>
      <w:r>
        <w:rPr>
          <w:rFonts w:ascii="Arial" w:eastAsia="Proxima Nova" w:hAnsi="Arial" w:cs="Arial"/>
          <w:color w:val="353744"/>
          <w:sz w:val="20"/>
          <w:szCs w:val="20"/>
          <w:lang w:val="en-GB" w:eastAsia="en-US"/>
        </w:rPr>
        <w:t xml:space="preserve">Panel B shows all patients with ESR1 mutations (n-10). </w:t>
      </w:r>
      <w:r>
        <w:rPr>
          <w:rFonts w:ascii="Arial" w:eastAsia="Proxima Nova" w:hAnsi="Arial" w:cs="Arial"/>
          <w:color w:val="353744"/>
          <w:sz w:val="20"/>
          <w:szCs w:val="20"/>
          <w:lang w:val="en-GB" w:eastAsia="en-US"/>
        </w:rPr>
        <w:br/>
      </w:r>
      <w:r>
        <w:rPr>
          <w:rFonts w:ascii="Arial" w:hAnsi="Arial" w:cs="Arial"/>
          <w:sz w:val="20"/>
          <w:szCs w:val="20"/>
        </w:rPr>
        <w:br/>
      </w:r>
      <w:r w:rsidRPr="009240EB">
        <w:rPr>
          <w:rFonts w:ascii="Arial" w:hAnsi="Arial" w:cs="Arial"/>
          <w:sz w:val="20"/>
          <w:szCs w:val="20"/>
        </w:rPr>
        <w:t>C, cycle; D, day; CTC, circulating tumor cell; ESR, estrogen receptor; mut, mutated.</w:t>
      </w:r>
    </w:p>
    <w:p w14:paraId="2E2FB74E" w14:textId="77777777" w:rsidR="00601AAC" w:rsidRDefault="00601AAC" w:rsidP="00601AAC">
      <w:pPr>
        <w:pStyle w:val="Heading2"/>
      </w:pPr>
      <w:r w:rsidRPr="22458C8C">
        <w:lastRenderedPageBreak/>
        <w:t>Extended Data Table 1. Estrogen receptor mutation status at baseline</w:t>
      </w:r>
    </w:p>
    <w:tbl>
      <w:tblPr>
        <w:tblStyle w:val="TableGrid1"/>
        <w:tblW w:w="5000" w:type="pct"/>
        <w:tblLook w:val="04A0" w:firstRow="1" w:lastRow="0" w:firstColumn="1" w:lastColumn="0" w:noHBand="0" w:noVBand="1"/>
      </w:tblPr>
      <w:tblGrid>
        <w:gridCol w:w="1769"/>
        <w:gridCol w:w="1477"/>
        <w:gridCol w:w="3501"/>
        <w:gridCol w:w="2603"/>
      </w:tblGrid>
      <w:tr w:rsidR="00601AAC" w:rsidRPr="00B918B7" w14:paraId="6EA85EC9" w14:textId="77777777" w:rsidTr="00042854">
        <w:trPr>
          <w:trHeight w:val="300"/>
        </w:trPr>
        <w:tc>
          <w:tcPr>
            <w:tcW w:w="946" w:type="pct"/>
            <w:hideMark/>
          </w:tcPr>
          <w:p w14:paraId="77980446"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ER mutation status</w:t>
            </w:r>
          </w:p>
        </w:tc>
        <w:tc>
          <w:tcPr>
            <w:tcW w:w="790" w:type="pct"/>
            <w:hideMark/>
          </w:tcPr>
          <w:p w14:paraId="1DE8E293"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Sample</w:t>
            </w:r>
          </w:p>
        </w:tc>
        <w:tc>
          <w:tcPr>
            <w:tcW w:w="1872" w:type="pct"/>
            <w:hideMark/>
          </w:tcPr>
          <w:p w14:paraId="0A48DFAC"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ER status</w:t>
            </w:r>
          </w:p>
        </w:tc>
        <w:tc>
          <w:tcPr>
            <w:tcW w:w="1393" w:type="pct"/>
            <w:hideMark/>
          </w:tcPr>
          <w:p w14:paraId="28B97ACA"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Cohort</w:t>
            </w:r>
          </w:p>
        </w:tc>
      </w:tr>
      <w:tr w:rsidR="00601AAC" w:rsidRPr="00B918B7" w14:paraId="5DEC57CA" w14:textId="77777777" w:rsidTr="00042854">
        <w:trPr>
          <w:trHeight w:val="300"/>
        </w:trPr>
        <w:tc>
          <w:tcPr>
            <w:tcW w:w="946" w:type="pct"/>
            <w:hideMark/>
          </w:tcPr>
          <w:p w14:paraId="4C494931"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3289C687"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A91E7D5" w14:textId="77777777" w:rsidR="00601AAC" w:rsidRPr="00B918B7" w:rsidRDefault="00601AAC" w:rsidP="00042854">
            <w:pPr>
              <w:rPr>
                <w:rFonts w:ascii="Arial" w:hAnsi="Arial" w:cs="Arial"/>
                <w:sz w:val="20"/>
                <w:szCs w:val="20"/>
              </w:rPr>
            </w:pPr>
            <w:r w:rsidRPr="00B918B7">
              <w:rPr>
                <w:rFonts w:ascii="Arial" w:hAnsi="Arial" w:cs="Arial"/>
                <w:sz w:val="20"/>
                <w:szCs w:val="20"/>
              </w:rPr>
              <w:t>E380Q (5.73%), Y537S (1.96%)</w:t>
            </w:r>
          </w:p>
        </w:tc>
        <w:tc>
          <w:tcPr>
            <w:tcW w:w="1393" w:type="pct"/>
            <w:hideMark/>
          </w:tcPr>
          <w:p w14:paraId="7A77B875" w14:textId="77777777" w:rsidR="00601AAC" w:rsidRPr="00B918B7" w:rsidRDefault="00601AAC" w:rsidP="00042854">
            <w:pPr>
              <w:rPr>
                <w:rFonts w:ascii="Arial" w:hAnsi="Arial" w:cs="Arial"/>
                <w:sz w:val="20"/>
                <w:szCs w:val="20"/>
              </w:rPr>
            </w:pPr>
            <w:r w:rsidRPr="00B918B7">
              <w:rPr>
                <w:rFonts w:ascii="Arial" w:hAnsi="Arial" w:cs="Arial"/>
                <w:sz w:val="20"/>
                <w:szCs w:val="20"/>
              </w:rPr>
              <w:t>100 mg</w:t>
            </w:r>
          </w:p>
        </w:tc>
      </w:tr>
      <w:tr w:rsidR="00601AAC" w:rsidRPr="00B918B7" w14:paraId="70B34EB4" w14:textId="77777777" w:rsidTr="00042854">
        <w:trPr>
          <w:trHeight w:val="300"/>
        </w:trPr>
        <w:tc>
          <w:tcPr>
            <w:tcW w:w="946" w:type="pct"/>
            <w:hideMark/>
          </w:tcPr>
          <w:p w14:paraId="4EF0C0D1"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0521E301"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00E3F03" w14:textId="77777777" w:rsidR="00601AAC" w:rsidRPr="00B918B7" w:rsidRDefault="00601AAC" w:rsidP="00042854">
            <w:pPr>
              <w:rPr>
                <w:rFonts w:ascii="Arial" w:hAnsi="Arial" w:cs="Arial"/>
                <w:sz w:val="20"/>
                <w:szCs w:val="20"/>
              </w:rPr>
            </w:pPr>
            <w:r w:rsidRPr="00B918B7">
              <w:rPr>
                <w:rFonts w:ascii="Arial" w:hAnsi="Arial" w:cs="Arial"/>
                <w:sz w:val="20"/>
                <w:szCs w:val="20"/>
              </w:rPr>
              <w:t>D538G (18.72%), Y537S (0.72%), Y537N (0.03%)</w:t>
            </w:r>
          </w:p>
        </w:tc>
        <w:tc>
          <w:tcPr>
            <w:tcW w:w="1393" w:type="pct"/>
            <w:hideMark/>
          </w:tcPr>
          <w:p w14:paraId="3D93F88F" w14:textId="77777777" w:rsidR="00601AAC" w:rsidRPr="00B918B7" w:rsidRDefault="00601AAC" w:rsidP="00042854">
            <w:pPr>
              <w:rPr>
                <w:rFonts w:ascii="Arial" w:hAnsi="Arial" w:cs="Arial"/>
                <w:sz w:val="20"/>
                <w:szCs w:val="20"/>
              </w:rPr>
            </w:pPr>
            <w:r w:rsidRPr="00B918B7">
              <w:rPr>
                <w:rFonts w:ascii="Arial" w:hAnsi="Arial" w:cs="Arial"/>
                <w:sz w:val="20"/>
                <w:szCs w:val="20"/>
              </w:rPr>
              <w:t>100 mg</w:t>
            </w:r>
          </w:p>
        </w:tc>
      </w:tr>
      <w:tr w:rsidR="00601AAC" w:rsidRPr="00B918B7" w14:paraId="0E5B413F" w14:textId="77777777" w:rsidTr="00042854">
        <w:trPr>
          <w:trHeight w:val="300"/>
        </w:trPr>
        <w:tc>
          <w:tcPr>
            <w:tcW w:w="946" w:type="pct"/>
            <w:hideMark/>
          </w:tcPr>
          <w:p w14:paraId="29DF452E"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756DBDDD"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E19C46B" w14:textId="77777777" w:rsidR="00601AAC" w:rsidRPr="00B918B7" w:rsidRDefault="00601AAC" w:rsidP="00042854">
            <w:pPr>
              <w:rPr>
                <w:rFonts w:ascii="Arial" w:hAnsi="Arial" w:cs="Arial"/>
                <w:sz w:val="20"/>
                <w:szCs w:val="20"/>
              </w:rPr>
            </w:pPr>
            <w:r w:rsidRPr="00B918B7">
              <w:rPr>
                <w:rFonts w:ascii="Arial" w:hAnsi="Arial" w:cs="Arial"/>
                <w:sz w:val="20"/>
                <w:szCs w:val="20"/>
              </w:rPr>
              <w:t>D538G (0.1%)</w:t>
            </w:r>
          </w:p>
        </w:tc>
        <w:tc>
          <w:tcPr>
            <w:tcW w:w="1393" w:type="pct"/>
            <w:hideMark/>
          </w:tcPr>
          <w:p w14:paraId="0D90FD8A"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100 mg </w:t>
            </w:r>
          </w:p>
        </w:tc>
      </w:tr>
      <w:tr w:rsidR="00601AAC" w:rsidRPr="00B918B7" w14:paraId="2AC3EC1F" w14:textId="77777777" w:rsidTr="00042854">
        <w:trPr>
          <w:trHeight w:val="300"/>
        </w:trPr>
        <w:tc>
          <w:tcPr>
            <w:tcW w:w="946" w:type="pct"/>
            <w:hideMark/>
          </w:tcPr>
          <w:p w14:paraId="5DE2C482"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5F999906"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2290674E"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18D7D2EF" w14:textId="77777777" w:rsidR="00601AAC" w:rsidRPr="00B918B7" w:rsidRDefault="00601AAC" w:rsidP="00042854">
            <w:pPr>
              <w:rPr>
                <w:rFonts w:ascii="Arial" w:hAnsi="Arial" w:cs="Arial"/>
                <w:sz w:val="20"/>
                <w:szCs w:val="20"/>
              </w:rPr>
            </w:pPr>
            <w:r w:rsidRPr="00B918B7">
              <w:rPr>
                <w:rFonts w:ascii="Arial" w:hAnsi="Arial" w:cs="Arial"/>
                <w:sz w:val="20"/>
                <w:szCs w:val="20"/>
              </w:rPr>
              <w:t>100 mg</w:t>
            </w:r>
          </w:p>
        </w:tc>
      </w:tr>
      <w:tr w:rsidR="00601AAC" w:rsidRPr="00B918B7" w14:paraId="14748322" w14:textId="77777777" w:rsidTr="00042854">
        <w:trPr>
          <w:trHeight w:val="300"/>
        </w:trPr>
        <w:tc>
          <w:tcPr>
            <w:tcW w:w="946" w:type="pct"/>
            <w:hideMark/>
          </w:tcPr>
          <w:p w14:paraId="39463E2C"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56CC00D0"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B481BCE" w14:textId="77777777" w:rsidR="00601AAC" w:rsidRPr="00B918B7" w:rsidRDefault="00601AAC" w:rsidP="00042854">
            <w:pPr>
              <w:rPr>
                <w:rFonts w:ascii="Arial" w:hAnsi="Arial" w:cs="Arial"/>
                <w:sz w:val="20"/>
                <w:szCs w:val="20"/>
              </w:rPr>
            </w:pPr>
            <w:r w:rsidRPr="00B918B7">
              <w:rPr>
                <w:rFonts w:ascii="Arial" w:hAnsi="Arial" w:cs="Arial"/>
                <w:sz w:val="20"/>
                <w:szCs w:val="20"/>
              </w:rPr>
              <w:t>D538G (0.06%)</w:t>
            </w:r>
          </w:p>
        </w:tc>
        <w:tc>
          <w:tcPr>
            <w:tcW w:w="1393" w:type="pct"/>
            <w:hideMark/>
          </w:tcPr>
          <w:p w14:paraId="485F8B6C" w14:textId="77777777" w:rsidR="00601AAC" w:rsidRPr="00B918B7" w:rsidRDefault="00601AAC" w:rsidP="00042854">
            <w:pPr>
              <w:rPr>
                <w:rFonts w:ascii="Arial" w:hAnsi="Arial" w:cs="Arial"/>
                <w:sz w:val="20"/>
                <w:szCs w:val="20"/>
              </w:rPr>
            </w:pPr>
            <w:r w:rsidRPr="00B918B7">
              <w:rPr>
                <w:rFonts w:ascii="Arial" w:hAnsi="Arial" w:cs="Arial"/>
                <w:sz w:val="20"/>
                <w:szCs w:val="20"/>
              </w:rPr>
              <w:t>200 mg</w:t>
            </w:r>
          </w:p>
        </w:tc>
      </w:tr>
      <w:tr w:rsidR="00601AAC" w:rsidRPr="00B918B7" w14:paraId="06B8A2D9" w14:textId="77777777" w:rsidTr="00042854">
        <w:trPr>
          <w:trHeight w:val="300"/>
        </w:trPr>
        <w:tc>
          <w:tcPr>
            <w:tcW w:w="946" w:type="pct"/>
            <w:hideMark/>
          </w:tcPr>
          <w:p w14:paraId="54D75B1C" w14:textId="77777777" w:rsidR="00601AAC" w:rsidRPr="00B918B7" w:rsidRDefault="00601AAC" w:rsidP="00042854">
            <w:pPr>
              <w:rPr>
                <w:rFonts w:ascii="Arial" w:hAnsi="Arial" w:cs="Arial"/>
                <w:sz w:val="20"/>
                <w:szCs w:val="20"/>
              </w:rPr>
            </w:pPr>
            <w:r w:rsidRPr="00B918B7">
              <w:rPr>
                <w:rFonts w:ascii="Arial" w:hAnsi="Arial" w:cs="Arial"/>
                <w:sz w:val="20"/>
                <w:szCs w:val="20"/>
              </w:rPr>
              <w:t>WT (germline non-hot spot mutation)</w:t>
            </w:r>
          </w:p>
        </w:tc>
        <w:tc>
          <w:tcPr>
            <w:tcW w:w="790" w:type="pct"/>
            <w:hideMark/>
          </w:tcPr>
          <w:p w14:paraId="64CF1E02"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78BF0E96" w14:textId="77777777" w:rsidR="00601AAC" w:rsidRPr="00B918B7" w:rsidRDefault="00601AAC" w:rsidP="00042854">
            <w:pPr>
              <w:rPr>
                <w:rFonts w:ascii="Arial" w:hAnsi="Arial" w:cs="Arial"/>
                <w:sz w:val="20"/>
                <w:szCs w:val="20"/>
              </w:rPr>
            </w:pPr>
            <w:r w:rsidRPr="00B918B7">
              <w:rPr>
                <w:rFonts w:ascii="Arial" w:hAnsi="Arial" w:cs="Arial"/>
                <w:sz w:val="20"/>
                <w:szCs w:val="20"/>
              </w:rPr>
              <w:t>K299R germ</w:t>
            </w:r>
          </w:p>
        </w:tc>
        <w:tc>
          <w:tcPr>
            <w:tcW w:w="1393" w:type="pct"/>
            <w:hideMark/>
          </w:tcPr>
          <w:p w14:paraId="549F84DB" w14:textId="77777777" w:rsidR="00601AAC" w:rsidRPr="00B918B7" w:rsidRDefault="00601AAC" w:rsidP="00042854">
            <w:pPr>
              <w:rPr>
                <w:rFonts w:ascii="Arial" w:hAnsi="Arial" w:cs="Arial"/>
                <w:sz w:val="20"/>
                <w:szCs w:val="20"/>
              </w:rPr>
            </w:pPr>
            <w:r w:rsidRPr="00B918B7">
              <w:rPr>
                <w:rFonts w:ascii="Arial" w:hAnsi="Arial" w:cs="Arial"/>
                <w:sz w:val="20"/>
                <w:szCs w:val="20"/>
              </w:rPr>
              <w:t>200 mg</w:t>
            </w:r>
          </w:p>
        </w:tc>
      </w:tr>
      <w:tr w:rsidR="00601AAC" w:rsidRPr="00B918B7" w14:paraId="5950DE2B" w14:textId="77777777" w:rsidTr="00042854">
        <w:trPr>
          <w:trHeight w:val="300"/>
        </w:trPr>
        <w:tc>
          <w:tcPr>
            <w:tcW w:w="946" w:type="pct"/>
            <w:hideMark/>
          </w:tcPr>
          <w:p w14:paraId="744C17C6"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263908EF"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751871FE" w14:textId="77777777" w:rsidR="00601AAC" w:rsidRPr="00B918B7" w:rsidRDefault="00601AAC" w:rsidP="00042854">
            <w:pPr>
              <w:rPr>
                <w:rFonts w:ascii="Arial" w:hAnsi="Arial" w:cs="Arial"/>
                <w:sz w:val="20"/>
                <w:szCs w:val="20"/>
              </w:rPr>
            </w:pPr>
            <w:r w:rsidRPr="00B918B7">
              <w:rPr>
                <w:rFonts w:ascii="Arial" w:hAnsi="Arial" w:cs="Arial"/>
                <w:sz w:val="20"/>
                <w:szCs w:val="20"/>
              </w:rPr>
              <w:t>Y537S (2.14%)</w:t>
            </w:r>
          </w:p>
        </w:tc>
        <w:tc>
          <w:tcPr>
            <w:tcW w:w="1393" w:type="pct"/>
            <w:hideMark/>
          </w:tcPr>
          <w:p w14:paraId="45DA0DD1" w14:textId="77777777" w:rsidR="00601AAC" w:rsidRPr="00B918B7" w:rsidRDefault="00601AAC" w:rsidP="00042854">
            <w:pPr>
              <w:rPr>
                <w:rFonts w:ascii="Arial" w:hAnsi="Arial" w:cs="Arial"/>
                <w:sz w:val="20"/>
                <w:szCs w:val="20"/>
              </w:rPr>
            </w:pPr>
            <w:r w:rsidRPr="00B918B7">
              <w:rPr>
                <w:rFonts w:ascii="Arial" w:hAnsi="Arial" w:cs="Arial"/>
                <w:sz w:val="20"/>
                <w:szCs w:val="20"/>
              </w:rPr>
              <w:t>200 mg</w:t>
            </w:r>
          </w:p>
        </w:tc>
      </w:tr>
      <w:tr w:rsidR="00601AAC" w:rsidRPr="00B918B7" w14:paraId="5350AEB1" w14:textId="77777777" w:rsidTr="00042854">
        <w:trPr>
          <w:trHeight w:val="300"/>
        </w:trPr>
        <w:tc>
          <w:tcPr>
            <w:tcW w:w="946" w:type="pct"/>
            <w:hideMark/>
          </w:tcPr>
          <w:p w14:paraId="0E681042"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49447863"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2CB4195" w14:textId="77777777" w:rsidR="00601AAC" w:rsidRPr="00B918B7" w:rsidRDefault="00601AAC" w:rsidP="00042854">
            <w:pPr>
              <w:rPr>
                <w:rFonts w:ascii="Arial" w:hAnsi="Arial" w:cs="Arial"/>
                <w:sz w:val="20"/>
                <w:szCs w:val="20"/>
              </w:rPr>
            </w:pPr>
            <w:r w:rsidRPr="00B918B7">
              <w:rPr>
                <w:rFonts w:ascii="Arial" w:hAnsi="Arial" w:cs="Arial"/>
                <w:sz w:val="20"/>
                <w:szCs w:val="20"/>
              </w:rPr>
              <w:t>D538G (49.8%)</w:t>
            </w:r>
          </w:p>
        </w:tc>
        <w:tc>
          <w:tcPr>
            <w:tcW w:w="1393" w:type="pct"/>
            <w:hideMark/>
          </w:tcPr>
          <w:p w14:paraId="2A9FE63E" w14:textId="77777777" w:rsidR="00601AAC" w:rsidRPr="00B918B7" w:rsidRDefault="00601AAC" w:rsidP="00042854">
            <w:pPr>
              <w:rPr>
                <w:rFonts w:ascii="Arial" w:hAnsi="Arial" w:cs="Arial"/>
                <w:sz w:val="20"/>
                <w:szCs w:val="20"/>
              </w:rPr>
            </w:pPr>
            <w:r w:rsidRPr="00B918B7">
              <w:rPr>
                <w:rFonts w:ascii="Arial" w:hAnsi="Arial" w:cs="Arial"/>
                <w:sz w:val="20"/>
                <w:szCs w:val="20"/>
              </w:rPr>
              <w:t>200 mg</w:t>
            </w:r>
          </w:p>
        </w:tc>
      </w:tr>
      <w:tr w:rsidR="00601AAC" w:rsidRPr="00B918B7" w14:paraId="3EB092B0" w14:textId="77777777" w:rsidTr="00042854">
        <w:trPr>
          <w:trHeight w:val="300"/>
        </w:trPr>
        <w:tc>
          <w:tcPr>
            <w:tcW w:w="946" w:type="pct"/>
            <w:hideMark/>
          </w:tcPr>
          <w:p w14:paraId="594A91CB"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1CC7FC41"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3F25057B" w14:textId="77777777" w:rsidR="00601AAC" w:rsidRPr="00B918B7" w:rsidRDefault="00601AAC" w:rsidP="00042854">
            <w:pPr>
              <w:rPr>
                <w:rFonts w:ascii="Arial" w:hAnsi="Arial" w:cs="Arial"/>
                <w:sz w:val="20"/>
                <w:szCs w:val="20"/>
              </w:rPr>
            </w:pPr>
            <w:r w:rsidRPr="00B918B7">
              <w:rPr>
                <w:rFonts w:ascii="Arial" w:hAnsi="Arial" w:cs="Arial"/>
                <w:sz w:val="20"/>
                <w:szCs w:val="20"/>
              </w:rPr>
              <w:t>D538G (8.81%), F404L (3.71%)</w:t>
            </w:r>
          </w:p>
        </w:tc>
        <w:tc>
          <w:tcPr>
            <w:tcW w:w="1393" w:type="pct"/>
            <w:hideMark/>
          </w:tcPr>
          <w:p w14:paraId="0A501E8C" w14:textId="77777777" w:rsidR="00601AAC" w:rsidRPr="00B918B7" w:rsidRDefault="00601AAC" w:rsidP="00042854">
            <w:pPr>
              <w:rPr>
                <w:rFonts w:ascii="Arial" w:hAnsi="Arial" w:cs="Arial"/>
                <w:sz w:val="20"/>
                <w:szCs w:val="20"/>
              </w:rPr>
            </w:pPr>
            <w:r w:rsidRPr="00B918B7">
              <w:rPr>
                <w:rFonts w:ascii="Arial" w:hAnsi="Arial" w:cs="Arial"/>
                <w:sz w:val="20"/>
                <w:szCs w:val="20"/>
              </w:rPr>
              <w:t>300 mg</w:t>
            </w:r>
          </w:p>
        </w:tc>
      </w:tr>
      <w:tr w:rsidR="00601AAC" w:rsidRPr="00B918B7" w14:paraId="036EB0AF" w14:textId="77777777" w:rsidTr="00042854">
        <w:trPr>
          <w:trHeight w:val="300"/>
        </w:trPr>
        <w:tc>
          <w:tcPr>
            <w:tcW w:w="946" w:type="pct"/>
            <w:hideMark/>
          </w:tcPr>
          <w:p w14:paraId="16F83BC3"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4C1968CD"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5D66CD3" w14:textId="77777777" w:rsidR="00601AAC" w:rsidRPr="00B918B7" w:rsidRDefault="00601AAC" w:rsidP="00042854">
            <w:pPr>
              <w:rPr>
                <w:rFonts w:ascii="Arial" w:hAnsi="Arial" w:cs="Arial"/>
                <w:sz w:val="20"/>
                <w:szCs w:val="20"/>
              </w:rPr>
            </w:pPr>
            <w:r w:rsidRPr="00B918B7">
              <w:rPr>
                <w:rFonts w:ascii="Arial" w:hAnsi="Arial" w:cs="Arial"/>
                <w:sz w:val="20"/>
                <w:szCs w:val="20"/>
              </w:rPr>
              <w:t>Y537S (0.2%)</w:t>
            </w:r>
          </w:p>
        </w:tc>
        <w:tc>
          <w:tcPr>
            <w:tcW w:w="1393" w:type="pct"/>
            <w:hideMark/>
          </w:tcPr>
          <w:p w14:paraId="0E1980CB" w14:textId="77777777" w:rsidR="00601AAC" w:rsidRPr="00B918B7" w:rsidRDefault="00601AAC" w:rsidP="00042854">
            <w:pPr>
              <w:rPr>
                <w:rFonts w:ascii="Arial" w:hAnsi="Arial" w:cs="Arial"/>
                <w:sz w:val="20"/>
                <w:szCs w:val="20"/>
              </w:rPr>
            </w:pPr>
            <w:r w:rsidRPr="00B918B7">
              <w:rPr>
                <w:rFonts w:ascii="Arial" w:hAnsi="Arial" w:cs="Arial"/>
                <w:sz w:val="20"/>
                <w:szCs w:val="20"/>
              </w:rPr>
              <w:t>300 mg</w:t>
            </w:r>
          </w:p>
        </w:tc>
      </w:tr>
      <w:tr w:rsidR="00601AAC" w:rsidRPr="00B918B7" w14:paraId="5E86FDD8" w14:textId="77777777" w:rsidTr="00042854">
        <w:trPr>
          <w:trHeight w:val="300"/>
        </w:trPr>
        <w:tc>
          <w:tcPr>
            <w:tcW w:w="946" w:type="pct"/>
            <w:hideMark/>
          </w:tcPr>
          <w:p w14:paraId="487CE13F"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79DA0626"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3C2ADEF5" w14:textId="77777777" w:rsidR="00601AAC" w:rsidRPr="00B918B7" w:rsidRDefault="00601AAC" w:rsidP="00042854">
            <w:pPr>
              <w:rPr>
                <w:rFonts w:ascii="Arial" w:hAnsi="Arial" w:cs="Arial"/>
                <w:sz w:val="20"/>
                <w:szCs w:val="20"/>
              </w:rPr>
            </w:pPr>
            <w:r w:rsidRPr="00B918B7">
              <w:rPr>
                <w:rFonts w:ascii="Arial" w:hAnsi="Arial" w:cs="Arial"/>
                <w:sz w:val="20"/>
                <w:szCs w:val="20"/>
              </w:rPr>
              <w:t>Y537S (5.81%), F404L (0.26%), E353G (2.7%)</w:t>
            </w:r>
          </w:p>
        </w:tc>
        <w:tc>
          <w:tcPr>
            <w:tcW w:w="1393" w:type="pct"/>
            <w:hideMark/>
          </w:tcPr>
          <w:p w14:paraId="53B84048" w14:textId="77777777" w:rsidR="00601AAC" w:rsidRPr="00B918B7" w:rsidRDefault="00601AAC" w:rsidP="00042854">
            <w:pPr>
              <w:rPr>
                <w:rFonts w:ascii="Arial" w:hAnsi="Arial" w:cs="Arial"/>
                <w:sz w:val="20"/>
                <w:szCs w:val="20"/>
              </w:rPr>
            </w:pPr>
            <w:r w:rsidRPr="00B918B7">
              <w:rPr>
                <w:rFonts w:ascii="Arial" w:hAnsi="Arial" w:cs="Arial"/>
                <w:sz w:val="20"/>
                <w:szCs w:val="20"/>
              </w:rPr>
              <w:t>300 mg</w:t>
            </w:r>
          </w:p>
        </w:tc>
      </w:tr>
      <w:tr w:rsidR="00601AAC" w:rsidRPr="00B918B7" w14:paraId="145B4A96" w14:textId="77777777" w:rsidTr="00042854">
        <w:trPr>
          <w:trHeight w:val="300"/>
        </w:trPr>
        <w:tc>
          <w:tcPr>
            <w:tcW w:w="946" w:type="pct"/>
            <w:hideMark/>
          </w:tcPr>
          <w:p w14:paraId="7BC532B0"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5736875E"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1F3FDAF" w14:textId="77777777" w:rsidR="00601AAC" w:rsidRPr="00B918B7" w:rsidRDefault="00601AAC" w:rsidP="00042854">
            <w:pPr>
              <w:rPr>
                <w:rFonts w:ascii="Arial" w:hAnsi="Arial" w:cs="Arial"/>
                <w:sz w:val="20"/>
                <w:szCs w:val="20"/>
              </w:rPr>
            </w:pPr>
            <w:r w:rsidRPr="00B918B7">
              <w:rPr>
                <w:rFonts w:ascii="Arial" w:hAnsi="Arial" w:cs="Arial"/>
                <w:sz w:val="20"/>
                <w:szCs w:val="20"/>
              </w:rPr>
              <w:t>D538G (3.43%)</w:t>
            </w:r>
          </w:p>
        </w:tc>
        <w:tc>
          <w:tcPr>
            <w:tcW w:w="1393" w:type="pct"/>
            <w:hideMark/>
          </w:tcPr>
          <w:p w14:paraId="685808ED"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3F1C2864" w14:textId="77777777" w:rsidTr="00042854">
        <w:trPr>
          <w:trHeight w:val="300"/>
        </w:trPr>
        <w:tc>
          <w:tcPr>
            <w:tcW w:w="946" w:type="pct"/>
            <w:hideMark/>
          </w:tcPr>
          <w:p w14:paraId="0D4911D8"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473E4B88"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3BE485DC"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48F02083"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6E6558A7" w14:textId="77777777" w:rsidTr="00042854">
        <w:trPr>
          <w:trHeight w:val="300"/>
        </w:trPr>
        <w:tc>
          <w:tcPr>
            <w:tcW w:w="946" w:type="pct"/>
            <w:hideMark/>
          </w:tcPr>
          <w:p w14:paraId="36466643"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45CDDB53"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563E7D5"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64C18056"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5CCFBB6C" w14:textId="77777777" w:rsidTr="00042854">
        <w:trPr>
          <w:trHeight w:val="300"/>
        </w:trPr>
        <w:tc>
          <w:tcPr>
            <w:tcW w:w="946" w:type="pct"/>
            <w:hideMark/>
          </w:tcPr>
          <w:p w14:paraId="4106F0B6"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424D3B47"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27E7DF5F"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05710B6B"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0F26054F" w14:textId="77777777" w:rsidTr="00042854">
        <w:trPr>
          <w:trHeight w:val="300"/>
        </w:trPr>
        <w:tc>
          <w:tcPr>
            <w:tcW w:w="946" w:type="pct"/>
            <w:hideMark/>
          </w:tcPr>
          <w:p w14:paraId="2855F6E0"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04ECC4A6"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A40BC8B"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708DE8B9"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2658CDB8" w14:textId="77777777" w:rsidTr="00042854">
        <w:trPr>
          <w:trHeight w:val="300"/>
        </w:trPr>
        <w:tc>
          <w:tcPr>
            <w:tcW w:w="946" w:type="pct"/>
            <w:hideMark/>
          </w:tcPr>
          <w:p w14:paraId="40A6642B"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4A5D8F80"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256FF17"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5E84C3CF"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1914B0FB" w14:textId="77777777" w:rsidTr="00042854">
        <w:trPr>
          <w:trHeight w:val="300"/>
        </w:trPr>
        <w:tc>
          <w:tcPr>
            <w:tcW w:w="946" w:type="pct"/>
            <w:hideMark/>
          </w:tcPr>
          <w:p w14:paraId="37D8DD71"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15B40A7A"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3702964E"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794CF9B6"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725A5E32" w14:textId="77777777" w:rsidTr="00042854">
        <w:trPr>
          <w:trHeight w:val="300"/>
        </w:trPr>
        <w:tc>
          <w:tcPr>
            <w:tcW w:w="946" w:type="pct"/>
            <w:hideMark/>
          </w:tcPr>
          <w:p w14:paraId="49D65C62"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3FA2F537"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9A6221C" w14:textId="77777777" w:rsidR="00601AAC" w:rsidRPr="00B918B7" w:rsidRDefault="00601AAC" w:rsidP="00042854">
            <w:pPr>
              <w:rPr>
                <w:rFonts w:ascii="Arial" w:hAnsi="Arial" w:cs="Arial"/>
                <w:sz w:val="20"/>
                <w:szCs w:val="20"/>
              </w:rPr>
            </w:pPr>
            <w:r w:rsidRPr="00B918B7">
              <w:rPr>
                <w:rFonts w:ascii="Arial" w:hAnsi="Arial" w:cs="Arial"/>
                <w:sz w:val="20"/>
                <w:szCs w:val="20"/>
              </w:rPr>
              <w:t>Y537S (0.77%)</w:t>
            </w:r>
          </w:p>
        </w:tc>
        <w:tc>
          <w:tcPr>
            <w:tcW w:w="1393" w:type="pct"/>
            <w:hideMark/>
          </w:tcPr>
          <w:p w14:paraId="257771ED"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2CD0C719" w14:textId="77777777" w:rsidTr="00042854">
        <w:trPr>
          <w:trHeight w:val="300"/>
        </w:trPr>
        <w:tc>
          <w:tcPr>
            <w:tcW w:w="946" w:type="pct"/>
            <w:hideMark/>
          </w:tcPr>
          <w:p w14:paraId="0FDCA0D9"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1E1361E7"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89F8FD1"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4C5D27E8"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1DA1DC3B" w14:textId="77777777" w:rsidTr="00042854">
        <w:trPr>
          <w:trHeight w:val="300"/>
        </w:trPr>
        <w:tc>
          <w:tcPr>
            <w:tcW w:w="946" w:type="pct"/>
            <w:hideMark/>
          </w:tcPr>
          <w:p w14:paraId="6072DF6C"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31F22E2B"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32E1EBBB"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201D430C"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5E2BD262" w14:textId="77777777" w:rsidTr="00042854">
        <w:trPr>
          <w:trHeight w:val="300"/>
        </w:trPr>
        <w:tc>
          <w:tcPr>
            <w:tcW w:w="946" w:type="pct"/>
            <w:hideMark/>
          </w:tcPr>
          <w:p w14:paraId="658A981A"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10FA0107"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2062C61" w14:textId="77777777" w:rsidR="00601AAC" w:rsidRPr="00B918B7" w:rsidRDefault="00601AAC" w:rsidP="00042854">
            <w:pPr>
              <w:rPr>
                <w:rFonts w:ascii="Arial" w:hAnsi="Arial" w:cs="Arial"/>
                <w:sz w:val="20"/>
                <w:szCs w:val="20"/>
              </w:rPr>
            </w:pPr>
            <w:r w:rsidRPr="00B918B7">
              <w:rPr>
                <w:rFonts w:ascii="Arial" w:hAnsi="Arial" w:cs="Arial"/>
                <w:sz w:val="20"/>
                <w:szCs w:val="20"/>
              </w:rPr>
              <w:t>Y537S (7.57%), V422del (5.73%)</w:t>
            </w:r>
          </w:p>
        </w:tc>
        <w:tc>
          <w:tcPr>
            <w:tcW w:w="1393" w:type="pct"/>
            <w:hideMark/>
          </w:tcPr>
          <w:p w14:paraId="21E15FFB"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3272930E" w14:textId="77777777" w:rsidTr="00042854">
        <w:trPr>
          <w:trHeight w:val="300"/>
        </w:trPr>
        <w:tc>
          <w:tcPr>
            <w:tcW w:w="946" w:type="pct"/>
            <w:hideMark/>
          </w:tcPr>
          <w:p w14:paraId="5232EE44"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06EB796E"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129E1275" w14:textId="77777777" w:rsidR="00601AAC" w:rsidRPr="00B918B7" w:rsidRDefault="00601AAC" w:rsidP="00042854">
            <w:pPr>
              <w:rPr>
                <w:rFonts w:ascii="Arial" w:hAnsi="Arial" w:cs="Arial"/>
                <w:sz w:val="20"/>
                <w:szCs w:val="20"/>
              </w:rPr>
            </w:pPr>
            <w:r w:rsidRPr="00B918B7">
              <w:rPr>
                <w:rFonts w:ascii="Arial" w:hAnsi="Arial" w:cs="Arial"/>
                <w:sz w:val="20"/>
                <w:szCs w:val="20"/>
              </w:rPr>
              <w:t>D538G (0.61%)</w:t>
            </w:r>
          </w:p>
        </w:tc>
        <w:tc>
          <w:tcPr>
            <w:tcW w:w="1393" w:type="pct"/>
            <w:hideMark/>
          </w:tcPr>
          <w:p w14:paraId="5536CD66"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65BC1DF1" w14:textId="77777777" w:rsidTr="00042854">
        <w:trPr>
          <w:trHeight w:val="300"/>
        </w:trPr>
        <w:tc>
          <w:tcPr>
            <w:tcW w:w="946" w:type="pct"/>
            <w:hideMark/>
          </w:tcPr>
          <w:p w14:paraId="7080411F"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034F3595"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10C73739" w14:textId="77777777" w:rsidR="00601AAC" w:rsidRPr="00B918B7" w:rsidRDefault="00601AAC" w:rsidP="00042854">
            <w:pPr>
              <w:rPr>
                <w:rFonts w:ascii="Arial" w:hAnsi="Arial" w:cs="Arial"/>
                <w:sz w:val="20"/>
                <w:szCs w:val="20"/>
              </w:rPr>
            </w:pPr>
            <w:r w:rsidRPr="00B918B7">
              <w:rPr>
                <w:rFonts w:ascii="Arial" w:hAnsi="Arial" w:cs="Arial"/>
                <w:sz w:val="20"/>
                <w:szCs w:val="20"/>
              </w:rPr>
              <w:t>Y537S (24.09%), D538G (2%), Y537N (1.57%), L536P (1.17%), L536H (0.12%), G415-C417del (0.08%), L541del (0.04%)</w:t>
            </w:r>
          </w:p>
        </w:tc>
        <w:tc>
          <w:tcPr>
            <w:tcW w:w="1393" w:type="pct"/>
            <w:hideMark/>
          </w:tcPr>
          <w:p w14:paraId="459E51FD"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200 mg </w:t>
            </w:r>
          </w:p>
        </w:tc>
      </w:tr>
      <w:tr w:rsidR="00601AAC" w:rsidRPr="00B918B7" w14:paraId="032B5106" w14:textId="77777777" w:rsidTr="00042854">
        <w:trPr>
          <w:trHeight w:val="300"/>
        </w:trPr>
        <w:tc>
          <w:tcPr>
            <w:tcW w:w="946" w:type="pct"/>
            <w:hideMark/>
          </w:tcPr>
          <w:p w14:paraId="7CD587E1"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26CAC112"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4B5D8C9B" w14:textId="77777777" w:rsidR="00601AAC" w:rsidRPr="00B918B7" w:rsidRDefault="00601AAC" w:rsidP="00042854">
            <w:pPr>
              <w:rPr>
                <w:rFonts w:ascii="Arial" w:hAnsi="Arial" w:cs="Arial"/>
                <w:sz w:val="20"/>
                <w:szCs w:val="20"/>
              </w:rPr>
            </w:pPr>
            <w:r w:rsidRPr="00B918B7">
              <w:rPr>
                <w:rFonts w:ascii="Arial" w:hAnsi="Arial" w:cs="Arial"/>
                <w:sz w:val="20"/>
                <w:szCs w:val="20"/>
              </w:rPr>
              <w:t>D538G (65.77%), L549P (14.77%), D426E (9.42%)</w:t>
            </w:r>
          </w:p>
        </w:tc>
        <w:tc>
          <w:tcPr>
            <w:tcW w:w="1393" w:type="pct"/>
            <w:hideMark/>
          </w:tcPr>
          <w:p w14:paraId="5EE7F192"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50519B53" w14:textId="77777777" w:rsidTr="00042854">
        <w:trPr>
          <w:trHeight w:val="300"/>
        </w:trPr>
        <w:tc>
          <w:tcPr>
            <w:tcW w:w="946" w:type="pct"/>
            <w:hideMark/>
          </w:tcPr>
          <w:p w14:paraId="2FD004A2"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5A4E9032"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12FEBABD"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514E9FB4"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757B2343" w14:textId="77777777" w:rsidTr="00042854">
        <w:trPr>
          <w:trHeight w:val="300"/>
        </w:trPr>
        <w:tc>
          <w:tcPr>
            <w:tcW w:w="946" w:type="pct"/>
            <w:hideMark/>
          </w:tcPr>
          <w:p w14:paraId="65C09E4F"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298630C4"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1C09908B" w14:textId="77777777" w:rsidR="00601AAC" w:rsidRPr="00B918B7" w:rsidRDefault="00601AAC" w:rsidP="00042854">
            <w:pPr>
              <w:rPr>
                <w:rFonts w:ascii="Arial" w:hAnsi="Arial" w:cs="Arial"/>
                <w:sz w:val="20"/>
                <w:szCs w:val="20"/>
              </w:rPr>
            </w:pPr>
            <w:r w:rsidRPr="00B918B7">
              <w:rPr>
                <w:rFonts w:ascii="Arial" w:hAnsi="Arial" w:cs="Arial"/>
                <w:sz w:val="20"/>
                <w:szCs w:val="20"/>
              </w:rPr>
              <w:t>E380Q (0.36%), Y537C (0.17%)</w:t>
            </w:r>
          </w:p>
        </w:tc>
        <w:tc>
          <w:tcPr>
            <w:tcW w:w="1393" w:type="pct"/>
            <w:hideMark/>
          </w:tcPr>
          <w:p w14:paraId="35FAE6F5" w14:textId="77777777" w:rsidR="00601AAC" w:rsidRPr="00B918B7" w:rsidRDefault="00601AAC" w:rsidP="00042854">
            <w:pPr>
              <w:rPr>
                <w:rFonts w:ascii="Arial" w:hAnsi="Arial" w:cs="Arial"/>
                <w:sz w:val="20"/>
                <w:szCs w:val="20"/>
              </w:rPr>
            </w:pPr>
            <w:r w:rsidRPr="00B918B7">
              <w:rPr>
                <w:rFonts w:ascii="Arial" w:hAnsi="Arial" w:cs="Arial"/>
                <w:sz w:val="20"/>
                <w:szCs w:val="20"/>
              </w:rPr>
              <w:t xml:space="preserve">300 mg </w:t>
            </w:r>
          </w:p>
        </w:tc>
      </w:tr>
      <w:tr w:rsidR="00601AAC" w:rsidRPr="00B918B7" w14:paraId="0CABDEA9" w14:textId="77777777" w:rsidTr="00042854">
        <w:trPr>
          <w:trHeight w:val="300"/>
        </w:trPr>
        <w:tc>
          <w:tcPr>
            <w:tcW w:w="946" w:type="pct"/>
            <w:hideMark/>
          </w:tcPr>
          <w:p w14:paraId="1004AE83"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1EA7A418"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204EF1A8" w14:textId="77777777" w:rsidR="00601AAC" w:rsidRPr="00B918B7" w:rsidRDefault="00601AAC" w:rsidP="00042854">
            <w:pPr>
              <w:rPr>
                <w:rFonts w:ascii="Arial" w:hAnsi="Arial" w:cs="Arial"/>
                <w:sz w:val="20"/>
                <w:szCs w:val="20"/>
              </w:rPr>
            </w:pPr>
            <w:r w:rsidRPr="00B918B7">
              <w:rPr>
                <w:rFonts w:ascii="Arial" w:hAnsi="Arial" w:cs="Arial"/>
                <w:sz w:val="20"/>
                <w:szCs w:val="20"/>
              </w:rPr>
              <w:t>V422del (0.5%), D538G (0.2%)</w:t>
            </w:r>
          </w:p>
        </w:tc>
        <w:tc>
          <w:tcPr>
            <w:tcW w:w="1393" w:type="pct"/>
            <w:hideMark/>
          </w:tcPr>
          <w:p w14:paraId="0F9971B5" w14:textId="77777777" w:rsidR="00601AAC" w:rsidRPr="00B918B7" w:rsidRDefault="00601AAC" w:rsidP="00042854">
            <w:pPr>
              <w:rPr>
                <w:rFonts w:ascii="Arial" w:hAnsi="Arial" w:cs="Arial"/>
                <w:sz w:val="20"/>
                <w:szCs w:val="20"/>
              </w:rPr>
            </w:pPr>
            <w:r w:rsidRPr="00B918B7">
              <w:rPr>
                <w:rFonts w:ascii="Arial" w:hAnsi="Arial" w:cs="Arial"/>
                <w:sz w:val="20"/>
                <w:szCs w:val="20"/>
              </w:rPr>
              <w:t>400 mg</w:t>
            </w:r>
          </w:p>
        </w:tc>
      </w:tr>
      <w:tr w:rsidR="00601AAC" w:rsidRPr="00B918B7" w14:paraId="43DC6297" w14:textId="77777777" w:rsidTr="00042854">
        <w:trPr>
          <w:trHeight w:val="300"/>
        </w:trPr>
        <w:tc>
          <w:tcPr>
            <w:tcW w:w="946" w:type="pct"/>
            <w:hideMark/>
          </w:tcPr>
          <w:p w14:paraId="3889ABD2"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14917A7F"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2C15207F"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418C711E" w14:textId="77777777" w:rsidR="00601AAC" w:rsidRPr="00B918B7" w:rsidRDefault="00601AAC" w:rsidP="00042854">
            <w:pPr>
              <w:rPr>
                <w:rFonts w:ascii="Arial" w:hAnsi="Arial" w:cs="Arial"/>
                <w:sz w:val="20"/>
                <w:szCs w:val="20"/>
              </w:rPr>
            </w:pPr>
            <w:r w:rsidRPr="00B918B7">
              <w:rPr>
                <w:rFonts w:ascii="Arial" w:hAnsi="Arial" w:cs="Arial"/>
                <w:sz w:val="20"/>
                <w:szCs w:val="20"/>
              </w:rPr>
              <w:t>400 mg</w:t>
            </w:r>
          </w:p>
        </w:tc>
      </w:tr>
      <w:tr w:rsidR="00601AAC" w:rsidRPr="00B918B7" w14:paraId="3C1260CC" w14:textId="77777777" w:rsidTr="00042854">
        <w:trPr>
          <w:trHeight w:val="300"/>
        </w:trPr>
        <w:tc>
          <w:tcPr>
            <w:tcW w:w="946" w:type="pct"/>
            <w:hideMark/>
          </w:tcPr>
          <w:p w14:paraId="78BF1AC3"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567297DC"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538B7DB" w14:textId="77777777" w:rsidR="00601AAC" w:rsidRPr="00B918B7" w:rsidRDefault="00601AAC" w:rsidP="00042854">
            <w:pPr>
              <w:rPr>
                <w:rFonts w:ascii="Arial" w:hAnsi="Arial" w:cs="Arial"/>
                <w:sz w:val="20"/>
                <w:szCs w:val="20"/>
              </w:rPr>
            </w:pPr>
            <w:r w:rsidRPr="00B918B7">
              <w:rPr>
                <w:rFonts w:ascii="Arial" w:hAnsi="Arial" w:cs="Arial"/>
                <w:sz w:val="20"/>
                <w:szCs w:val="20"/>
              </w:rPr>
              <w:t>Y537N (2.54%), Y537S (0.65%), L536P (0.42%)</w:t>
            </w:r>
          </w:p>
        </w:tc>
        <w:tc>
          <w:tcPr>
            <w:tcW w:w="1393" w:type="pct"/>
            <w:hideMark/>
          </w:tcPr>
          <w:p w14:paraId="6BF1F35E" w14:textId="77777777" w:rsidR="00601AAC" w:rsidRPr="00B918B7" w:rsidRDefault="00601AAC" w:rsidP="00042854">
            <w:pPr>
              <w:rPr>
                <w:rFonts w:ascii="Arial" w:hAnsi="Arial" w:cs="Arial"/>
                <w:sz w:val="20"/>
                <w:szCs w:val="20"/>
              </w:rPr>
            </w:pPr>
            <w:r w:rsidRPr="00B918B7">
              <w:rPr>
                <w:rFonts w:ascii="Arial" w:hAnsi="Arial" w:cs="Arial"/>
                <w:sz w:val="20"/>
                <w:szCs w:val="20"/>
              </w:rPr>
              <w:t>400 mg</w:t>
            </w:r>
          </w:p>
        </w:tc>
      </w:tr>
      <w:tr w:rsidR="00601AAC" w:rsidRPr="00B918B7" w14:paraId="4D175664" w14:textId="77777777" w:rsidTr="00042854">
        <w:trPr>
          <w:trHeight w:val="300"/>
        </w:trPr>
        <w:tc>
          <w:tcPr>
            <w:tcW w:w="946" w:type="pct"/>
            <w:hideMark/>
          </w:tcPr>
          <w:p w14:paraId="2818517F" w14:textId="77777777" w:rsidR="00601AAC" w:rsidRPr="00B918B7" w:rsidRDefault="00601AAC" w:rsidP="00042854">
            <w:pPr>
              <w:rPr>
                <w:rFonts w:ascii="Arial" w:hAnsi="Arial" w:cs="Arial"/>
                <w:sz w:val="20"/>
                <w:szCs w:val="20"/>
              </w:rPr>
            </w:pPr>
            <w:r w:rsidRPr="00B918B7">
              <w:rPr>
                <w:rFonts w:ascii="Arial" w:hAnsi="Arial" w:cs="Arial"/>
                <w:sz w:val="20"/>
                <w:szCs w:val="20"/>
              </w:rPr>
              <w:lastRenderedPageBreak/>
              <w:t>WT</w:t>
            </w:r>
          </w:p>
        </w:tc>
        <w:tc>
          <w:tcPr>
            <w:tcW w:w="790" w:type="pct"/>
            <w:hideMark/>
          </w:tcPr>
          <w:p w14:paraId="47FB3161"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AA23194"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0B54BE5B" w14:textId="77777777" w:rsidR="00601AAC" w:rsidRPr="00B918B7" w:rsidRDefault="00601AAC" w:rsidP="00042854">
            <w:pPr>
              <w:rPr>
                <w:rFonts w:ascii="Arial" w:hAnsi="Arial" w:cs="Arial"/>
                <w:sz w:val="20"/>
                <w:szCs w:val="20"/>
              </w:rPr>
            </w:pPr>
            <w:r w:rsidRPr="00B918B7">
              <w:rPr>
                <w:rFonts w:ascii="Arial" w:hAnsi="Arial" w:cs="Arial"/>
                <w:sz w:val="20"/>
                <w:szCs w:val="20"/>
              </w:rPr>
              <w:t>400 mg</w:t>
            </w:r>
          </w:p>
        </w:tc>
      </w:tr>
      <w:tr w:rsidR="00601AAC" w:rsidRPr="00B918B7" w14:paraId="614DD8F9" w14:textId="77777777" w:rsidTr="00042854">
        <w:trPr>
          <w:trHeight w:val="300"/>
        </w:trPr>
        <w:tc>
          <w:tcPr>
            <w:tcW w:w="946" w:type="pct"/>
            <w:hideMark/>
          </w:tcPr>
          <w:p w14:paraId="135A100D" w14:textId="77777777" w:rsidR="00601AAC" w:rsidRPr="00B918B7" w:rsidRDefault="00601AAC" w:rsidP="00042854">
            <w:pPr>
              <w:rPr>
                <w:rFonts w:ascii="Arial" w:hAnsi="Arial" w:cs="Arial"/>
                <w:b/>
                <w:bCs/>
                <w:sz w:val="20"/>
                <w:szCs w:val="20"/>
              </w:rPr>
            </w:pPr>
            <w:r w:rsidRPr="00B918B7">
              <w:rPr>
                <w:rFonts w:ascii="Arial" w:hAnsi="Arial" w:cs="Arial"/>
                <w:b/>
                <w:bCs/>
                <w:sz w:val="20"/>
                <w:szCs w:val="20"/>
              </w:rPr>
              <w:t>Mutant</w:t>
            </w:r>
          </w:p>
        </w:tc>
        <w:tc>
          <w:tcPr>
            <w:tcW w:w="790" w:type="pct"/>
            <w:hideMark/>
          </w:tcPr>
          <w:p w14:paraId="01266E69"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3A6661A6" w14:textId="77777777" w:rsidR="00601AAC" w:rsidRPr="00B918B7" w:rsidRDefault="00601AAC" w:rsidP="00042854">
            <w:pPr>
              <w:rPr>
                <w:rFonts w:ascii="Arial" w:hAnsi="Arial" w:cs="Arial"/>
                <w:sz w:val="20"/>
                <w:szCs w:val="20"/>
                <w:lang w:val="it-IT"/>
              </w:rPr>
            </w:pPr>
            <w:r w:rsidRPr="00B918B7">
              <w:rPr>
                <w:rFonts w:ascii="Arial" w:hAnsi="Arial" w:cs="Arial"/>
                <w:sz w:val="20"/>
                <w:szCs w:val="20"/>
                <w:lang w:val="it-IT"/>
              </w:rPr>
              <w:t>D538G (32.98%), F404V (15.34%), F404I (1.46%), F404L (1.37%), L536R (0.66%), E380V (0.11%)</w:t>
            </w:r>
          </w:p>
        </w:tc>
        <w:tc>
          <w:tcPr>
            <w:tcW w:w="1393" w:type="pct"/>
            <w:hideMark/>
          </w:tcPr>
          <w:p w14:paraId="04BCFD4B" w14:textId="77777777" w:rsidR="00601AAC" w:rsidRPr="00B918B7" w:rsidRDefault="00601AAC" w:rsidP="00042854">
            <w:pPr>
              <w:rPr>
                <w:rFonts w:ascii="Arial" w:hAnsi="Arial" w:cs="Arial"/>
                <w:sz w:val="20"/>
                <w:szCs w:val="20"/>
              </w:rPr>
            </w:pPr>
            <w:r w:rsidRPr="00B918B7">
              <w:rPr>
                <w:rFonts w:ascii="Arial" w:hAnsi="Arial" w:cs="Arial"/>
                <w:sz w:val="20"/>
                <w:szCs w:val="20"/>
              </w:rPr>
              <w:t>600 mg</w:t>
            </w:r>
          </w:p>
        </w:tc>
      </w:tr>
      <w:tr w:rsidR="00601AAC" w:rsidRPr="00B918B7" w14:paraId="42871C61" w14:textId="77777777" w:rsidTr="00042854">
        <w:trPr>
          <w:trHeight w:val="300"/>
        </w:trPr>
        <w:tc>
          <w:tcPr>
            <w:tcW w:w="946" w:type="pct"/>
            <w:hideMark/>
          </w:tcPr>
          <w:p w14:paraId="0289A12D"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790" w:type="pct"/>
            <w:hideMark/>
          </w:tcPr>
          <w:p w14:paraId="74F8F138"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0D4AE231" w14:textId="77777777" w:rsidR="00601AAC" w:rsidRPr="00B918B7" w:rsidRDefault="00601AAC" w:rsidP="00042854">
            <w:pPr>
              <w:rPr>
                <w:rFonts w:ascii="Arial" w:hAnsi="Arial" w:cs="Arial"/>
                <w:sz w:val="20"/>
                <w:szCs w:val="20"/>
              </w:rPr>
            </w:pPr>
            <w:r w:rsidRPr="00B918B7">
              <w:rPr>
                <w:rFonts w:ascii="Arial" w:hAnsi="Arial" w:cs="Arial"/>
                <w:sz w:val="20"/>
                <w:szCs w:val="20"/>
              </w:rPr>
              <w:t>WT</w:t>
            </w:r>
          </w:p>
        </w:tc>
        <w:tc>
          <w:tcPr>
            <w:tcW w:w="1393" w:type="pct"/>
            <w:hideMark/>
          </w:tcPr>
          <w:p w14:paraId="0CD42B20" w14:textId="77777777" w:rsidR="00601AAC" w:rsidRPr="00B918B7" w:rsidRDefault="00601AAC" w:rsidP="00042854">
            <w:pPr>
              <w:rPr>
                <w:rFonts w:ascii="Arial" w:hAnsi="Arial" w:cs="Arial"/>
                <w:sz w:val="20"/>
                <w:szCs w:val="20"/>
              </w:rPr>
            </w:pPr>
            <w:r w:rsidRPr="00B918B7">
              <w:rPr>
                <w:rFonts w:ascii="Arial" w:hAnsi="Arial" w:cs="Arial"/>
                <w:sz w:val="20"/>
                <w:szCs w:val="20"/>
              </w:rPr>
              <w:t>600 mg</w:t>
            </w:r>
          </w:p>
        </w:tc>
      </w:tr>
      <w:tr w:rsidR="00601AAC" w:rsidRPr="00B918B7" w14:paraId="3D09E83A" w14:textId="77777777" w:rsidTr="00042854">
        <w:trPr>
          <w:trHeight w:val="300"/>
        </w:trPr>
        <w:tc>
          <w:tcPr>
            <w:tcW w:w="946" w:type="pct"/>
            <w:hideMark/>
          </w:tcPr>
          <w:p w14:paraId="54588017"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6236DDCD"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6DE7ED71" w14:textId="77777777" w:rsidR="00601AAC" w:rsidRPr="00B918B7" w:rsidRDefault="00601AAC" w:rsidP="00042854">
            <w:pPr>
              <w:rPr>
                <w:rFonts w:ascii="Arial" w:hAnsi="Arial" w:cs="Arial"/>
                <w:sz w:val="20"/>
                <w:szCs w:val="20"/>
              </w:rPr>
            </w:pPr>
            <w:r w:rsidRPr="00B918B7">
              <w:rPr>
                <w:rFonts w:ascii="Arial" w:hAnsi="Arial" w:cs="Arial"/>
                <w:sz w:val="20"/>
                <w:szCs w:val="20"/>
              </w:rPr>
              <w:t>C530_K531del (0.4%)</w:t>
            </w:r>
          </w:p>
        </w:tc>
        <w:tc>
          <w:tcPr>
            <w:tcW w:w="1393" w:type="pct"/>
            <w:hideMark/>
          </w:tcPr>
          <w:p w14:paraId="758CFE6F" w14:textId="77777777" w:rsidR="00601AAC" w:rsidRPr="00B918B7" w:rsidRDefault="00601AAC" w:rsidP="00042854">
            <w:pPr>
              <w:rPr>
                <w:rFonts w:ascii="Arial" w:hAnsi="Arial" w:cs="Arial"/>
                <w:sz w:val="20"/>
                <w:szCs w:val="20"/>
              </w:rPr>
            </w:pPr>
            <w:r w:rsidRPr="00B918B7">
              <w:rPr>
                <w:rFonts w:ascii="Arial" w:hAnsi="Arial" w:cs="Arial"/>
                <w:sz w:val="20"/>
                <w:szCs w:val="20"/>
              </w:rPr>
              <w:t>600 mg</w:t>
            </w:r>
          </w:p>
        </w:tc>
      </w:tr>
      <w:tr w:rsidR="00601AAC" w:rsidRPr="00B918B7" w14:paraId="5E180999" w14:textId="77777777" w:rsidTr="00042854">
        <w:trPr>
          <w:trHeight w:val="300"/>
        </w:trPr>
        <w:tc>
          <w:tcPr>
            <w:tcW w:w="946" w:type="pct"/>
            <w:hideMark/>
          </w:tcPr>
          <w:p w14:paraId="401ED54F"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79EA022D"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21626752" w14:textId="77777777" w:rsidR="00601AAC" w:rsidRPr="00B918B7" w:rsidRDefault="00601AAC" w:rsidP="00042854">
            <w:pPr>
              <w:rPr>
                <w:rFonts w:ascii="Arial" w:hAnsi="Arial" w:cs="Arial"/>
                <w:sz w:val="20"/>
                <w:szCs w:val="20"/>
              </w:rPr>
            </w:pPr>
            <w:r w:rsidRPr="00B918B7">
              <w:rPr>
                <w:rFonts w:ascii="Arial" w:hAnsi="Arial" w:cs="Arial"/>
                <w:sz w:val="20"/>
                <w:szCs w:val="20"/>
              </w:rPr>
              <w:t>D538G (0.34%), H524L (0.14%)</w:t>
            </w:r>
          </w:p>
        </w:tc>
        <w:tc>
          <w:tcPr>
            <w:tcW w:w="1393" w:type="pct"/>
            <w:hideMark/>
          </w:tcPr>
          <w:p w14:paraId="572268B7" w14:textId="77777777" w:rsidR="00601AAC" w:rsidRPr="00B918B7" w:rsidRDefault="00601AAC" w:rsidP="00042854">
            <w:pPr>
              <w:rPr>
                <w:rFonts w:ascii="Arial" w:hAnsi="Arial" w:cs="Arial"/>
                <w:sz w:val="20"/>
                <w:szCs w:val="20"/>
              </w:rPr>
            </w:pPr>
            <w:r w:rsidRPr="00B918B7">
              <w:rPr>
                <w:rFonts w:ascii="Arial" w:hAnsi="Arial" w:cs="Arial"/>
                <w:sz w:val="20"/>
                <w:szCs w:val="20"/>
              </w:rPr>
              <w:t>600 mg</w:t>
            </w:r>
          </w:p>
        </w:tc>
      </w:tr>
      <w:tr w:rsidR="00601AAC" w:rsidRPr="00B918B7" w14:paraId="60B6F7D0" w14:textId="77777777" w:rsidTr="00042854">
        <w:trPr>
          <w:trHeight w:val="300"/>
        </w:trPr>
        <w:tc>
          <w:tcPr>
            <w:tcW w:w="946" w:type="pct"/>
            <w:hideMark/>
          </w:tcPr>
          <w:p w14:paraId="5B35199B" w14:textId="77777777" w:rsidR="00601AAC" w:rsidRPr="00B918B7" w:rsidRDefault="00601AAC" w:rsidP="00042854">
            <w:pPr>
              <w:rPr>
                <w:rFonts w:ascii="Arial" w:hAnsi="Arial" w:cs="Arial"/>
                <w:sz w:val="20"/>
                <w:szCs w:val="20"/>
              </w:rPr>
            </w:pPr>
            <w:r w:rsidRPr="00B918B7">
              <w:rPr>
                <w:rFonts w:ascii="Arial" w:hAnsi="Arial" w:cs="Arial"/>
                <w:sz w:val="20"/>
                <w:szCs w:val="20"/>
              </w:rPr>
              <w:t>WT (cutoff &lt;1%)</w:t>
            </w:r>
          </w:p>
        </w:tc>
        <w:tc>
          <w:tcPr>
            <w:tcW w:w="790" w:type="pct"/>
            <w:hideMark/>
          </w:tcPr>
          <w:p w14:paraId="1F244626" w14:textId="77777777" w:rsidR="00601AAC" w:rsidRPr="00B918B7" w:rsidRDefault="00601AAC" w:rsidP="00042854">
            <w:pPr>
              <w:rPr>
                <w:rFonts w:ascii="Arial" w:hAnsi="Arial" w:cs="Arial"/>
                <w:sz w:val="20"/>
                <w:szCs w:val="20"/>
              </w:rPr>
            </w:pPr>
            <w:r w:rsidRPr="00B918B7">
              <w:rPr>
                <w:rFonts w:ascii="Arial" w:hAnsi="Arial" w:cs="Arial"/>
                <w:sz w:val="20"/>
                <w:szCs w:val="20"/>
              </w:rPr>
              <w:t>C1D1</w:t>
            </w:r>
          </w:p>
        </w:tc>
        <w:tc>
          <w:tcPr>
            <w:tcW w:w="1872" w:type="pct"/>
            <w:hideMark/>
          </w:tcPr>
          <w:p w14:paraId="4DA3D66D" w14:textId="77777777" w:rsidR="00601AAC" w:rsidRPr="00B918B7" w:rsidRDefault="00601AAC" w:rsidP="00042854">
            <w:pPr>
              <w:rPr>
                <w:rFonts w:ascii="Arial" w:hAnsi="Arial" w:cs="Arial"/>
                <w:sz w:val="20"/>
                <w:szCs w:val="20"/>
              </w:rPr>
            </w:pPr>
            <w:r w:rsidRPr="00B918B7">
              <w:rPr>
                <w:rFonts w:ascii="Arial" w:hAnsi="Arial" w:cs="Arial"/>
                <w:sz w:val="20"/>
                <w:szCs w:val="20"/>
              </w:rPr>
              <w:t>D538G (0.07)</w:t>
            </w:r>
          </w:p>
        </w:tc>
        <w:tc>
          <w:tcPr>
            <w:tcW w:w="1393" w:type="pct"/>
            <w:hideMark/>
          </w:tcPr>
          <w:p w14:paraId="2165FD66" w14:textId="77777777" w:rsidR="00601AAC" w:rsidRPr="00B918B7" w:rsidRDefault="00601AAC" w:rsidP="00042854">
            <w:pPr>
              <w:rPr>
                <w:rFonts w:ascii="Arial" w:hAnsi="Arial" w:cs="Arial"/>
                <w:sz w:val="20"/>
                <w:szCs w:val="20"/>
              </w:rPr>
            </w:pPr>
            <w:r w:rsidRPr="00B918B7">
              <w:rPr>
                <w:rFonts w:ascii="Arial" w:hAnsi="Arial" w:cs="Arial"/>
                <w:sz w:val="20"/>
                <w:szCs w:val="20"/>
              </w:rPr>
              <w:t>400 mg</w:t>
            </w:r>
          </w:p>
        </w:tc>
      </w:tr>
      <w:tr w:rsidR="00601AAC" w14:paraId="43261915" w14:textId="77777777" w:rsidTr="00042854">
        <w:trPr>
          <w:trHeight w:val="300"/>
        </w:trPr>
        <w:tc>
          <w:tcPr>
            <w:tcW w:w="946" w:type="pct"/>
            <w:hideMark/>
          </w:tcPr>
          <w:p w14:paraId="664DC485" w14:textId="77777777" w:rsidR="00601AAC" w:rsidRDefault="00601AAC" w:rsidP="00042854">
            <w:pPr>
              <w:rPr>
                <w:rFonts w:ascii="Arial" w:hAnsi="Arial" w:cs="Arial"/>
                <w:sz w:val="20"/>
                <w:szCs w:val="20"/>
              </w:rPr>
            </w:pPr>
            <w:r w:rsidRPr="216E3F6A">
              <w:rPr>
                <w:rFonts w:ascii="Arial" w:hAnsi="Arial" w:cs="Arial"/>
                <w:sz w:val="20"/>
                <w:szCs w:val="20"/>
              </w:rPr>
              <w:t>Pending</w:t>
            </w:r>
          </w:p>
        </w:tc>
        <w:tc>
          <w:tcPr>
            <w:tcW w:w="790" w:type="pct"/>
            <w:hideMark/>
          </w:tcPr>
          <w:p w14:paraId="507919FA" w14:textId="77777777" w:rsidR="00601AAC" w:rsidRDefault="00601AAC" w:rsidP="00042854">
            <w:pPr>
              <w:rPr>
                <w:rFonts w:ascii="Arial" w:hAnsi="Arial" w:cs="Arial"/>
                <w:sz w:val="20"/>
                <w:szCs w:val="20"/>
              </w:rPr>
            </w:pPr>
            <w:r w:rsidRPr="216E3F6A">
              <w:rPr>
                <w:rFonts w:ascii="Arial" w:hAnsi="Arial" w:cs="Arial"/>
                <w:sz w:val="20"/>
                <w:szCs w:val="20"/>
              </w:rPr>
              <w:t>C1D1</w:t>
            </w:r>
          </w:p>
        </w:tc>
        <w:tc>
          <w:tcPr>
            <w:tcW w:w="1872" w:type="pct"/>
            <w:hideMark/>
          </w:tcPr>
          <w:p w14:paraId="50E668BB" w14:textId="77777777" w:rsidR="00601AAC" w:rsidRDefault="00601AAC" w:rsidP="00042854">
            <w:pPr>
              <w:rPr>
                <w:rFonts w:ascii="Arial" w:hAnsi="Arial" w:cs="Arial"/>
                <w:sz w:val="20"/>
                <w:szCs w:val="20"/>
              </w:rPr>
            </w:pPr>
            <w:r w:rsidRPr="216E3F6A">
              <w:rPr>
                <w:rFonts w:ascii="Arial" w:hAnsi="Arial" w:cs="Arial"/>
                <w:sz w:val="20"/>
                <w:szCs w:val="20"/>
              </w:rPr>
              <w:t>Pending</w:t>
            </w:r>
          </w:p>
        </w:tc>
        <w:tc>
          <w:tcPr>
            <w:tcW w:w="1393" w:type="pct"/>
            <w:hideMark/>
          </w:tcPr>
          <w:p w14:paraId="324CB0C4" w14:textId="77777777" w:rsidR="00601AAC" w:rsidRDefault="00601AAC" w:rsidP="00042854">
            <w:pPr>
              <w:rPr>
                <w:rFonts w:ascii="Arial" w:hAnsi="Arial" w:cs="Arial"/>
                <w:sz w:val="20"/>
                <w:szCs w:val="20"/>
              </w:rPr>
            </w:pPr>
            <w:r w:rsidRPr="216E3F6A">
              <w:rPr>
                <w:rFonts w:ascii="Arial" w:hAnsi="Arial" w:cs="Arial"/>
                <w:sz w:val="20"/>
                <w:szCs w:val="20"/>
              </w:rPr>
              <w:t xml:space="preserve">400 mg </w:t>
            </w:r>
          </w:p>
        </w:tc>
      </w:tr>
    </w:tbl>
    <w:p w14:paraId="279D1837" w14:textId="77777777" w:rsidR="00601AAC" w:rsidRPr="00A66DF3" w:rsidRDefault="00601AAC" w:rsidP="00601AAC">
      <w:pPr>
        <w:pStyle w:val="Default"/>
        <w:spacing w:line="480" w:lineRule="auto"/>
        <w:rPr>
          <w:rFonts w:ascii="Arial" w:hAnsi="Arial" w:cs="Arial"/>
          <w:sz w:val="20"/>
          <w:szCs w:val="20"/>
        </w:rPr>
        <w:sectPr w:rsidR="00601AAC" w:rsidRPr="00A66DF3" w:rsidSect="00601AAC">
          <w:pgSz w:w="12240" w:h="15840"/>
          <w:pgMar w:top="1440" w:right="1440" w:bottom="1440" w:left="1440" w:header="720" w:footer="720" w:gutter="0"/>
          <w:cols w:space="720"/>
          <w:docGrid w:linePitch="360"/>
        </w:sectPr>
      </w:pPr>
      <w:r w:rsidRPr="00B918B7">
        <w:rPr>
          <w:rFonts w:ascii="Arial" w:hAnsi="Arial" w:cs="Arial"/>
          <w:sz w:val="20"/>
          <w:szCs w:val="20"/>
        </w:rPr>
        <w:t>C, cycle; D, day; WT, wild type, ER, estrogen receptor.</w:t>
      </w:r>
      <w:r>
        <w:rPr>
          <w:rFonts w:ascii="Arial" w:hAnsi="Arial" w:cs="Arial"/>
          <w:sz w:val="20"/>
          <w:szCs w:val="20"/>
        </w:rPr>
        <w:t xml:space="preserve"> </w:t>
      </w:r>
    </w:p>
    <w:p w14:paraId="50B6CACC" w14:textId="77777777" w:rsidR="00601AAC" w:rsidRDefault="00601AAC" w:rsidP="00601AAC">
      <w:pPr>
        <w:pStyle w:val="Heading2"/>
      </w:pPr>
      <w:r>
        <w:lastRenderedPageBreak/>
        <w:t xml:space="preserve">Extended Data Table 2. Most frequent TRAEs by preferred term in ≥10% of patients in any treatment group </w:t>
      </w:r>
    </w:p>
    <w:tbl>
      <w:tblPr>
        <w:tblStyle w:val="TableGrid"/>
        <w:tblW w:w="0" w:type="auto"/>
        <w:tblLook w:val="04A0" w:firstRow="1" w:lastRow="0" w:firstColumn="1" w:lastColumn="0" w:noHBand="0" w:noVBand="1"/>
      </w:tblPr>
      <w:tblGrid>
        <w:gridCol w:w="3116"/>
        <w:gridCol w:w="3117"/>
        <w:gridCol w:w="3117"/>
      </w:tblGrid>
      <w:tr w:rsidR="00601AAC" w:rsidRPr="00EA2516" w14:paraId="6A59197E" w14:textId="77777777" w:rsidTr="00042854">
        <w:tc>
          <w:tcPr>
            <w:tcW w:w="3116" w:type="dxa"/>
          </w:tcPr>
          <w:p w14:paraId="0F8EE5A1" w14:textId="77777777" w:rsidR="00601AAC" w:rsidRPr="00EA2516" w:rsidRDefault="00601AAC" w:rsidP="00042854">
            <w:pPr>
              <w:pStyle w:val="Default"/>
              <w:spacing w:line="480" w:lineRule="auto"/>
              <w:rPr>
                <w:rFonts w:ascii="Arial" w:hAnsi="Arial" w:cs="Arial"/>
                <w:b/>
                <w:bCs/>
                <w:sz w:val="22"/>
                <w:szCs w:val="22"/>
              </w:rPr>
            </w:pPr>
            <w:r w:rsidRPr="00EA2516">
              <w:rPr>
                <w:rFonts w:ascii="Arial" w:hAnsi="Arial" w:cs="Arial"/>
                <w:b/>
                <w:bCs/>
                <w:sz w:val="22"/>
                <w:szCs w:val="22"/>
              </w:rPr>
              <w:t>Preferred term</w:t>
            </w:r>
          </w:p>
        </w:tc>
        <w:tc>
          <w:tcPr>
            <w:tcW w:w="3117" w:type="dxa"/>
          </w:tcPr>
          <w:p w14:paraId="780C0C14" w14:textId="77777777" w:rsidR="00601AAC" w:rsidRPr="00EA2516" w:rsidRDefault="00601AAC" w:rsidP="00042854">
            <w:pPr>
              <w:pStyle w:val="Default"/>
              <w:spacing w:line="480" w:lineRule="auto"/>
              <w:rPr>
                <w:rFonts w:ascii="Arial" w:hAnsi="Arial" w:cs="Arial"/>
                <w:b/>
                <w:bCs/>
                <w:sz w:val="22"/>
                <w:szCs w:val="22"/>
              </w:rPr>
            </w:pPr>
            <w:r w:rsidRPr="00EA2516">
              <w:rPr>
                <w:rFonts w:ascii="Arial" w:hAnsi="Arial" w:cs="Arial"/>
                <w:b/>
                <w:bCs/>
                <w:sz w:val="22"/>
                <w:szCs w:val="22"/>
              </w:rPr>
              <w:t>All CTCAE grades</w:t>
            </w:r>
          </w:p>
        </w:tc>
        <w:tc>
          <w:tcPr>
            <w:tcW w:w="3117" w:type="dxa"/>
          </w:tcPr>
          <w:p w14:paraId="01385D1F" w14:textId="77777777" w:rsidR="00601AAC" w:rsidRPr="00EA2516" w:rsidRDefault="00601AAC" w:rsidP="00042854">
            <w:pPr>
              <w:pStyle w:val="Default"/>
              <w:spacing w:line="480" w:lineRule="auto"/>
              <w:rPr>
                <w:rFonts w:ascii="Arial" w:hAnsi="Arial" w:cs="Arial"/>
                <w:b/>
                <w:bCs/>
                <w:sz w:val="22"/>
                <w:szCs w:val="22"/>
              </w:rPr>
            </w:pPr>
            <w:r w:rsidRPr="00EA2516">
              <w:rPr>
                <w:rFonts w:ascii="Arial" w:hAnsi="Arial" w:cs="Arial"/>
                <w:b/>
                <w:bCs/>
                <w:sz w:val="22"/>
                <w:szCs w:val="22"/>
              </w:rPr>
              <w:t>CTCAE Grade ≥3</w:t>
            </w:r>
          </w:p>
        </w:tc>
      </w:tr>
      <w:tr w:rsidR="00601AAC" w:rsidRPr="00EA2516" w14:paraId="2CC4A3AF" w14:textId="77777777" w:rsidTr="00042854">
        <w:tc>
          <w:tcPr>
            <w:tcW w:w="3116" w:type="dxa"/>
          </w:tcPr>
          <w:p w14:paraId="7733EF8E"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 xml:space="preserve">Patients with any </w:t>
            </w:r>
            <w:r>
              <w:rPr>
                <w:rFonts w:ascii="Arial" w:hAnsi="Arial" w:cs="Arial"/>
                <w:sz w:val="22"/>
                <w:szCs w:val="22"/>
              </w:rPr>
              <w:t>TRAE</w:t>
            </w:r>
          </w:p>
        </w:tc>
        <w:tc>
          <w:tcPr>
            <w:tcW w:w="3117" w:type="dxa"/>
          </w:tcPr>
          <w:p w14:paraId="1E7A1EC3"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15 (40.5)</w:t>
            </w:r>
          </w:p>
        </w:tc>
        <w:tc>
          <w:tcPr>
            <w:tcW w:w="3117" w:type="dxa"/>
          </w:tcPr>
          <w:p w14:paraId="4DFAE233"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0</w:t>
            </w:r>
          </w:p>
        </w:tc>
      </w:tr>
      <w:tr w:rsidR="00601AAC" w:rsidRPr="00EA2516" w14:paraId="39C18E29" w14:textId="77777777" w:rsidTr="00042854">
        <w:tc>
          <w:tcPr>
            <w:tcW w:w="3116" w:type="dxa"/>
          </w:tcPr>
          <w:p w14:paraId="0EC82C4C"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Nausea</w:t>
            </w:r>
          </w:p>
        </w:tc>
        <w:tc>
          <w:tcPr>
            <w:tcW w:w="3117" w:type="dxa"/>
          </w:tcPr>
          <w:p w14:paraId="30580A2C"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5 (13.5)</w:t>
            </w:r>
          </w:p>
        </w:tc>
        <w:tc>
          <w:tcPr>
            <w:tcW w:w="3117" w:type="dxa"/>
          </w:tcPr>
          <w:p w14:paraId="3C8AF40E"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0</w:t>
            </w:r>
          </w:p>
        </w:tc>
      </w:tr>
      <w:tr w:rsidR="00601AAC" w:rsidRPr="00EA2516" w14:paraId="2FB77317" w14:textId="77777777" w:rsidTr="00042854">
        <w:tc>
          <w:tcPr>
            <w:tcW w:w="3116" w:type="dxa"/>
          </w:tcPr>
          <w:p w14:paraId="517782E6"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Hot flush</w:t>
            </w:r>
          </w:p>
        </w:tc>
        <w:tc>
          <w:tcPr>
            <w:tcW w:w="3117" w:type="dxa"/>
          </w:tcPr>
          <w:p w14:paraId="70E5A0BF"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5 (13.5)</w:t>
            </w:r>
          </w:p>
        </w:tc>
        <w:tc>
          <w:tcPr>
            <w:tcW w:w="3117" w:type="dxa"/>
          </w:tcPr>
          <w:p w14:paraId="3454AE82"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0</w:t>
            </w:r>
          </w:p>
        </w:tc>
      </w:tr>
      <w:tr w:rsidR="00601AAC" w:rsidRPr="00EA2516" w14:paraId="27B37880" w14:textId="77777777" w:rsidTr="00042854">
        <w:tc>
          <w:tcPr>
            <w:tcW w:w="3116" w:type="dxa"/>
          </w:tcPr>
          <w:p w14:paraId="2BC7063C"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Neutrophil count decreased</w:t>
            </w:r>
          </w:p>
        </w:tc>
        <w:tc>
          <w:tcPr>
            <w:tcW w:w="3117" w:type="dxa"/>
          </w:tcPr>
          <w:p w14:paraId="0D46ED36"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4 (10.8)</w:t>
            </w:r>
          </w:p>
        </w:tc>
        <w:tc>
          <w:tcPr>
            <w:tcW w:w="3117" w:type="dxa"/>
          </w:tcPr>
          <w:p w14:paraId="7506FA0B" w14:textId="77777777" w:rsidR="00601AAC" w:rsidRPr="00EA2516" w:rsidRDefault="00601AAC" w:rsidP="00042854">
            <w:pPr>
              <w:pStyle w:val="Default"/>
              <w:spacing w:line="480" w:lineRule="auto"/>
              <w:rPr>
                <w:rFonts w:ascii="Arial" w:hAnsi="Arial" w:cs="Arial"/>
                <w:sz w:val="22"/>
                <w:szCs w:val="22"/>
              </w:rPr>
            </w:pPr>
            <w:r w:rsidRPr="00EA2516">
              <w:rPr>
                <w:rFonts w:ascii="Arial" w:hAnsi="Arial" w:cs="Arial"/>
                <w:sz w:val="22"/>
                <w:szCs w:val="22"/>
              </w:rPr>
              <w:t>0</w:t>
            </w:r>
          </w:p>
        </w:tc>
      </w:tr>
    </w:tbl>
    <w:p w14:paraId="2B228DC2" w14:textId="77777777" w:rsidR="00601AAC" w:rsidRPr="008641C7" w:rsidRDefault="00601AAC" w:rsidP="00601AAC">
      <w:pPr>
        <w:pStyle w:val="Default"/>
        <w:spacing w:line="480" w:lineRule="auto"/>
        <w:rPr>
          <w:rFonts w:ascii="Arial" w:hAnsi="Arial" w:cs="Arial"/>
          <w:sz w:val="20"/>
          <w:szCs w:val="20"/>
        </w:rPr>
        <w:sectPr w:rsidR="00601AAC" w:rsidRPr="008641C7" w:rsidSect="00601AAC">
          <w:pgSz w:w="12240" w:h="15840"/>
          <w:pgMar w:top="1440" w:right="1440" w:bottom="1440" w:left="1440" w:header="720" w:footer="720" w:gutter="0"/>
          <w:cols w:space="720"/>
          <w:docGrid w:linePitch="360"/>
        </w:sectPr>
      </w:pPr>
      <w:r w:rsidRPr="008641C7">
        <w:rPr>
          <w:rFonts w:ascii="Arial" w:hAnsi="Arial" w:cs="Arial"/>
          <w:sz w:val="20"/>
          <w:szCs w:val="20"/>
        </w:rPr>
        <w:t>CTCAE, Common Terminology Criteria for Adverse Events;</w:t>
      </w:r>
      <w:r>
        <w:rPr>
          <w:rFonts w:ascii="Arial" w:hAnsi="Arial" w:cs="Arial"/>
          <w:sz w:val="20"/>
          <w:szCs w:val="20"/>
        </w:rPr>
        <w:t xml:space="preserve"> </w:t>
      </w:r>
      <w:r w:rsidRPr="008641C7">
        <w:rPr>
          <w:rFonts w:ascii="Arial" w:hAnsi="Arial" w:cs="Arial"/>
          <w:sz w:val="20"/>
          <w:szCs w:val="20"/>
        </w:rPr>
        <w:t xml:space="preserve">TRAE, treatment-related adverse event. </w:t>
      </w:r>
    </w:p>
    <w:p w14:paraId="67A51B59" w14:textId="77777777" w:rsidR="00601AAC" w:rsidRPr="00920ABC" w:rsidRDefault="00601AAC" w:rsidP="00601AAC">
      <w:pPr>
        <w:pStyle w:val="Heading1"/>
      </w:pPr>
      <w:r w:rsidRPr="00920ABC">
        <w:lastRenderedPageBreak/>
        <w:t>Supplemental information</w:t>
      </w:r>
    </w:p>
    <w:p w14:paraId="4417174C" w14:textId="77777777" w:rsidR="00601AAC" w:rsidRDefault="00601AAC" w:rsidP="00601AAC">
      <w:pPr>
        <w:pStyle w:val="Default"/>
        <w:spacing w:line="480" w:lineRule="auto"/>
        <w:rPr>
          <w:rFonts w:ascii="Arial" w:hAnsi="Arial" w:cs="Arial"/>
        </w:rPr>
      </w:pPr>
      <w:r w:rsidRPr="00105A56">
        <w:rPr>
          <w:rFonts w:ascii="Arial" w:hAnsi="Arial" w:cs="Arial"/>
        </w:rPr>
        <w:t xml:space="preserve">Dose-limiting toxicities </w:t>
      </w:r>
      <w:r>
        <w:rPr>
          <w:rFonts w:ascii="Arial" w:hAnsi="Arial" w:cs="Arial"/>
        </w:rPr>
        <w:t xml:space="preserve">(DLTs) </w:t>
      </w:r>
      <w:r w:rsidRPr="00105A56">
        <w:rPr>
          <w:rFonts w:ascii="Arial" w:hAnsi="Arial" w:cs="Arial"/>
        </w:rPr>
        <w:t>were defined as any</w:t>
      </w:r>
      <w:r w:rsidRPr="00987AF2">
        <w:rPr>
          <w:rFonts w:ascii="Arial" w:hAnsi="Arial" w:cs="Arial"/>
        </w:rPr>
        <w:t xml:space="preserve"> Grade 5 toxicit</w:t>
      </w:r>
      <w:r>
        <w:rPr>
          <w:rFonts w:ascii="Arial" w:hAnsi="Arial" w:cs="Arial"/>
        </w:rPr>
        <w:t>y;</w:t>
      </w:r>
      <w:r w:rsidRPr="00987AF2">
        <w:rPr>
          <w:rFonts w:ascii="Arial" w:hAnsi="Arial" w:cs="Arial"/>
        </w:rPr>
        <w:t xml:space="preserve"> </w:t>
      </w:r>
      <w:r>
        <w:rPr>
          <w:rFonts w:ascii="Arial" w:hAnsi="Arial" w:cs="Arial"/>
        </w:rPr>
        <w:t xml:space="preserve">a </w:t>
      </w:r>
      <w:r w:rsidRPr="00987AF2">
        <w:rPr>
          <w:rFonts w:ascii="Arial" w:hAnsi="Arial" w:cs="Arial"/>
        </w:rPr>
        <w:t xml:space="preserve">hematologic </w:t>
      </w:r>
      <w:r>
        <w:rPr>
          <w:rFonts w:ascii="Arial" w:hAnsi="Arial" w:cs="Arial"/>
        </w:rPr>
        <w:t>DLT was defined as</w:t>
      </w:r>
      <w:r w:rsidRPr="00987AF2">
        <w:rPr>
          <w:rFonts w:ascii="Arial" w:hAnsi="Arial" w:cs="Arial"/>
        </w:rPr>
        <w:t xml:space="preserve"> Grade 4 neutropenia lasting more than 7 days or febrile neutropenia (</w:t>
      </w:r>
      <w:r>
        <w:rPr>
          <w:rFonts w:ascii="Arial" w:hAnsi="Arial" w:cs="Arial"/>
        </w:rPr>
        <w:t>absolute neutrophil count [</w:t>
      </w:r>
      <w:r w:rsidRPr="00987AF2">
        <w:rPr>
          <w:rFonts w:ascii="Arial" w:hAnsi="Arial" w:cs="Arial"/>
        </w:rPr>
        <w:t>ANC</w:t>
      </w:r>
      <w:r>
        <w:rPr>
          <w:rFonts w:ascii="Arial" w:hAnsi="Arial" w:cs="Arial"/>
        </w:rPr>
        <w:t>]</w:t>
      </w:r>
      <w:r w:rsidRPr="00987AF2">
        <w:rPr>
          <w:rFonts w:ascii="Arial" w:hAnsi="Arial" w:cs="Arial"/>
        </w:rPr>
        <w:t xml:space="preserve"> &lt;1000/mm³ with a single temperature of &gt;38.3°C [101°F] or a sustained temperature of ≥38°C [100.4°F] for more than 1 hour), Grade 4 thrombocytopenia or Grade 3 thrombocytopenia associated with clinically significant bleeding, including any bleeding that warrants a platelet transfusion, </w:t>
      </w:r>
      <w:r>
        <w:rPr>
          <w:rFonts w:ascii="Arial" w:hAnsi="Arial" w:cs="Arial"/>
        </w:rPr>
        <w:t>or</w:t>
      </w:r>
      <w:r w:rsidRPr="00987AF2">
        <w:rPr>
          <w:rFonts w:ascii="Arial" w:hAnsi="Arial" w:cs="Arial"/>
        </w:rPr>
        <w:t xml:space="preserve"> Grade 4 anemia (life-threatening consequences requiring urgent interventions)</w:t>
      </w:r>
      <w:r>
        <w:rPr>
          <w:rFonts w:ascii="Arial" w:hAnsi="Arial" w:cs="Arial"/>
        </w:rPr>
        <w:t>. A</w:t>
      </w:r>
      <w:r w:rsidRPr="00987AF2">
        <w:rPr>
          <w:rFonts w:ascii="Arial" w:hAnsi="Arial" w:cs="Arial"/>
        </w:rPr>
        <w:t xml:space="preserve"> non-hematologic </w:t>
      </w:r>
      <w:r>
        <w:rPr>
          <w:rFonts w:ascii="Arial" w:hAnsi="Arial" w:cs="Arial"/>
        </w:rPr>
        <w:t xml:space="preserve">DLT was defined as a </w:t>
      </w:r>
      <w:r w:rsidRPr="00987AF2">
        <w:rPr>
          <w:rFonts w:ascii="Arial" w:hAnsi="Arial" w:cs="Arial"/>
        </w:rPr>
        <w:t xml:space="preserve">Grade 3 or 4 non-hematologic toxicity with </w:t>
      </w:r>
      <w:r>
        <w:rPr>
          <w:rFonts w:ascii="Arial" w:hAnsi="Arial" w:cs="Arial"/>
        </w:rPr>
        <w:t xml:space="preserve">the </w:t>
      </w:r>
      <w:r w:rsidRPr="00987AF2">
        <w:rPr>
          <w:rFonts w:ascii="Arial" w:hAnsi="Arial" w:cs="Arial"/>
        </w:rPr>
        <w:t xml:space="preserve">exceptions </w:t>
      </w:r>
      <w:r>
        <w:rPr>
          <w:rFonts w:ascii="Arial" w:hAnsi="Arial" w:cs="Arial"/>
        </w:rPr>
        <w:t>of</w:t>
      </w:r>
      <w:r w:rsidRPr="00987AF2">
        <w:rPr>
          <w:rFonts w:ascii="Arial" w:hAnsi="Arial" w:cs="Arial"/>
        </w:rPr>
        <w:t xml:space="preserve"> alopecia, Grade 3 nausea, vomiting, or diarrhea if well</w:t>
      </w:r>
      <w:r>
        <w:rPr>
          <w:rFonts w:ascii="Arial" w:hAnsi="Arial" w:cs="Arial"/>
        </w:rPr>
        <w:t xml:space="preserve"> </w:t>
      </w:r>
      <w:r w:rsidRPr="00987AF2">
        <w:rPr>
          <w:rFonts w:ascii="Arial" w:hAnsi="Arial" w:cs="Arial"/>
        </w:rPr>
        <w:t xml:space="preserve">controlled by supportive care within 72 hours, Grade 3 skin rash that improves </w:t>
      </w:r>
      <w:r>
        <w:rPr>
          <w:rFonts w:ascii="Arial" w:hAnsi="Arial" w:cs="Arial"/>
        </w:rPr>
        <w:t xml:space="preserve">within </w:t>
      </w:r>
      <w:r w:rsidRPr="00987AF2">
        <w:rPr>
          <w:rFonts w:ascii="Arial" w:hAnsi="Arial" w:cs="Arial"/>
        </w:rPr>
        <w:t xml:space="preserve">7 days with or without supportive care, Grade 3 fatigue that improves in </w:t>
      </w:r>
      <w:r>
        <w:rPr>
          <w:rFonts w:ascii="Arial" w:hAnsi="Arial" w:cs="Arial"/>
        </w:rPr>
        <w:t xml:space="preserve">within </w:t>
      </w:r>
      <w:r w:rsidRPr="00987AF2">
        <w:rPr>
          <w:rFonts w:ascii="Arial" w:hAnsi="Arial" w:cs="Arial"/>
        </w:rPr>
        <w:t xml:space="preserve">7 days with or without supportive care, Grade 3 endocrinopathies that only require treatment with hormone replacement therapy, </w:t>
      </w:r>
      <w:r>
        <w:rPr>
          <w:rFonts w:ascii="Arial" w:hAnsi="Arial" w:cs="Arial"/>
        </w:rPr>
        <w:t xml:space="preserve">and </w:t>
      </w:r>
      <w:r w:rsidRPr="00987AF2">
        <w:rPr>
          <w:rFonts w:ascii="Arial" w:hAnsi="Arial" w:cs="Arial"/>
        </w:rPr>
        <w:t>Grade 3 non-hematologic laboratory abnormalities other than liver function tests unless associated with clinical manifestations leading to medical intervention and/or hospitalization</w:t>
      </w:r>
      <w:r>
        <w:rPr>
          <w:rFonts w:ascii="Arial" w:hAnsi="Arial" w:cs="Arial"/>
        </w:rPr>
        <w:t>. Non-hematologic DLTs were also defined as</w:t>
      </w:r>
      <w:r w:rsidRPr="00987AF2">
        <w:rPr>
          <w:rFonts w:ascii="Arial" w:hAnsi="Arial" w:cs="Arial"/>
        </w:rPr>
        <w:t xml:space="preserve"> potential drug-induced liver injury consistent with Hy’s Law, defined as </w:t>
      </w:r>
      <w:r>
        <w:rPr>
          <w:rFonts w:ascii="Arial" w:hAnsi="Arial" w:cs="Arial"/>
        </w:rPr>
        <w:t>a</w:t>
      </w:r>
      <w:r w:rsidRPr="00B71AA5">
        <w:rPr>
          <w:rFonts w:ascii="Arial" w:hAnsi="Arial" w:cs="Arial"/>
        </w:rPr>
        <w:t>spartate transferase</w:t>
      </w:r>
      <w:r>
        <w:rPr>
          <w:rFonts w:ascii="Arial" w:hAnsi="Arial" w:cs="Arial"/>
        </w:rPr>
        <w:t xml:space="preserve"> (</w:t>
      </w:r>
      <w:r w:rsidRPr="00987AF2">
        <w:rPr>
          <w:rFonts w:ascii="Arial" w:hAnsi="Arial" w:cs="Arial"/>
        </w:rPr>
        <w:t>AST</w:t>
      </w:r>
      <w:r>
        <w:rPr>
          <w:rFonts w:ascii="Arial" w:hAnsi="Arial" w:cs="Arial"/>
        </w:rPr>
        <w:t>)</w:t>
      </w:r>
      <w:r w:rsidRPr="00987AF2">
        <w:rPr>
          <w:rFonts w:ascii="Arial" w:hAnsi="Arial" w:cs="Arial"/>
        </w:rPr>
        <w:t xml:space="preserve"> and/or </w:t>
      </w:r>
      <w:r>
        <w:rPr>
          <w:rFonts w:ascii="Arial" w:hAnsi="Arial" w:cs="Arial"/>
        </w:rPr>
        <w:t>alanine transaminase (</w:t>
      </w:r>
      <w:r w:rsidRPr="00987AF2">
        <w:rPr>
          <w:rFonts w:ascii="Arial" w:hAnsi="Arial" w:cs="Arial"/>
        </w:rPr>
        <w:t>ALT</w:t>
      </w:r>
      <w:r>
        <w:rPr>
          <w:rFonts w:ascii="Arial" w:hAnsi="Arial" w:cs="Arial"/>
        </w:rPr>
        <w:t>)</w:t>
      </w:r>
      <w:r w:rsidRPr="00987AF2">
        <w:rPr>
          <w:rFonts w:ascii="Arial" w:hAnsi="Arial" w:cs="Arial"/>
        </w:rPr>
        <w:t xml:space="preserve"> &gt;3</w:t>
      </w:r>
      <w:r>
        <w:rPr>
          <w:rFonts w:ascii="Arial" w:hAnsi="Arial" w:cs="Arial"/>
        </w:rPr>
        <w:t xml:space="preserve"> </w:t>
      </w:r>
      <w:r w:rsidRPr="00987AF2">
        <w:rPr>
          <w:rFonts w:ascii="Arial" w:hAnsi="Arial" w:cs="Arial"/>
        </w:rPr>
        <w:t>×</w:t>
      </w:r>
      <w:r>
        <w:rPr>
          <w:rFonts w:ascii="Arial" w:hAnsi="Arial" w:cs="Arial"/>
        </w:rPr>
        <w:t xml:space="preserve"> upper limit of normal [</w:t>
      </w:r>
      <w:r w:rsidRPr="00987AF2">
        <w:rPr>
          <w:rFonts w:ascii="Arial" w:hAnsi="Arial" w:cs="Arial"/>
        </w:rPr>
        <w:t>ULN</w:t>
      </w:r>
      <w:r>
        <w:rPr>
          <w:rFonts w:ascii="Arial" w:hAnsi="Arial" w:cs="Arial"/>
        </w:rPr>
        <w:t>]</w:t>
      </w:r>
      <w:r w:rsidRPr="00987AF2">
        <w:rPr>
          <w:rFonts w:ascii="Arial" w:hAnsi="Arial" w:cs="Arial"/>
        </w:rPr>
        <w:t xml:space="preserve"> with concurrent total bilirubin &gt;2</w:t>
      </w:r>
      <w:r>
        <w:rPr>
          <w:rFonts w:ascii="Arial" w:hAnsi="Arial" w:cs="Arial"/>
        </w:rPr>
        <w:t xml:space="preserve"> </w:t>
      </w:r>
      <w:r w:rsidRPr="00987AF2">
        <w:rPr>
          <w:rFonts w:ascii="Arial" w:hAnsi="Arial" w:cs="Arial"/>
        </w:rPr>
        <w:t>×</w:t>
      </w:r>
      <w:r>
        <w:rPr>
          <w:rFonts w:ascii="Arial" w:hAnsi="Arial" w:cs="Arial"/>
        </w:rPr>
        <w:t xml:space="preserve"> </w:t>
      </w:r>
      <w:r w:rsidRPr="00987AF2">
        <w:rPr>
          <w:rFonts w:ascii="Arial" w:hAnsi="Arial" w:cs="Arial"/>
        </w:rPr>
        <w:t xml:space="preserve">ULN without findings of cholestasis (alkaline phosphatase [ALP] </w:t>
      </w:r>
      <w:r>
        <w:rPr>
          <w:rFonts w:ascii="Arial" w:hAnsi="Arial" w:cs="Arial"/>
        </w:rPr>
        <w:t>&lt;</w:t>
      </w:r>
      <w:r w:rsidRPr="00987AF2">
        <w:rPr>
          <w:rFonts w:ascii="Arial" w:hAnsi="Arial" w:cs="Arial"/>
        </w:rPr>
        <w:t>2</w:t>
      </w:r>
      <w:r>
        <w:rPr>
          <w:rFonts w:ascii="Arial" w:hAnsi="Arial" w:cs="Arial"/>
        </w:rPr>
        <w:t xml:space="preserve"> </w:t>
      </w:r>
      <w:r w:rsidRPr="00987AF2">
        <w:rPr>
          <w:rFonts w:ascii="Arial" w:hAnsi="Arial" w:cs="Arial"/>
        </w:rPr>
        <w:t>×</w:t>
      </w:r>
      <w:r>
        <w:rPr>
          <w:rFonts w:ascii="Arial" w:hAnsi="Arial" w:cs="Arial"/>
        </w:rPr>
        <w:t xml:space="preserve"> </w:t>
      </w:r>
      <w:r w:rsidRPr="00987AF2">
        <w:rPr>
          <w:rFonts w:ascii="Arial" w:hAnsi="Arial" w:cs="Arial"/>
        </w:rPr>
        <w:t>ULN) and Grade 3 or higher electrolyte abnormality that lasts &gt;72 hours unless the patient has clinical symptoms, in which case all Grade 3 or higher electrolyte abnormalities regardless of duration should count as a DLT.</w:t>
      </w:r>
    </w:p>
    <w:p w14:paraId="786C20B6"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Proxima Nova">
    <w:altName w:val="Times New Roman"/>
    <w:charset w:val="00"/>
    <w:family w:val="auto"/>
    <w:pitch w:val="variable"/>
    <w:sig w:usb0="20000287" w:usb1="00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AC"/>
    <w:rsid w:val="002978F5"/>
    <w:rsid w:val="003852CF"/>
    <w:rsid w:val="004E780C"/>
    <w:rsid w:val="00601AAC"/>
    <w:rsid w:val="006B641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03382"/>
  <w15:chartTrackingRefBased/>
  <w15:docId w15:val="{B93994DD-E2BA-4AFE-9DB6-E0328F7BD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AAC"/>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601AA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601AA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01AAC"/>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01AAC"/>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601AAC"/>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601AAC"/>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601AAC"/>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601AAC"/>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601AAC"/>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A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01A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1A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1A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1A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1A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1A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1A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1AAC"/>
    <w:rPr>
      <w:rFonts w:eastAsiaTheme="majorEastAsia" w:cstheme="majorBidi"/>
      <w:color w:val="272727" w:themeColor="text1" w:themeTint="D8"/>
    </w:rPr>
  </w:style>
  <w:style w:type="paragraph" w:styleId="Title">
    <w:name w:val="Title"/>
    <w:basedOn w:val="Normal"/>
    <w:next w:val="Normal"/>
    <w:link w:val="TitleChar"/>
    <w:uiPriority w:val="10"/>
    <w:qFormat/>
    <w:rsid w:val="00601AAC"/>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01A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1AAC"/>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601A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1AAC"/>
    <w:pPr>
      <w:spacing w:before="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601AAC"/>
    <w:rPr>
      <w:i/>
      <w:iCs/>
      <w:color w:val="404040" w:themeColor="text1" w:themeTint="BF"/>
    </w:rPr>
  </w:style>
  <w:style w:type="paragraph" w:styleId="ListParagraph">
    <w:name w:val="List Paragraph"/>
    <w:basedOn w:val="Normal"/>
    <w:uiPriority w:val="34"/>
    <w:qFormat/>
    <w:rsid w:val="00601AAC"/>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601AAC"/>
    <w:rPr>
      <w:i/>
      <w:iCs/>
      <w:color w:val="0F4761" w:themeColor="accent1" w:themeShade="BF"/>
    </w:rPr>
  </w:style>
  <w:style w:type="paragraph" w:styleId="IntenseQuote">
    <w:name w:val="Intense Quote"/>
    <w:basedOn w:val="Normal"/>
    <w:next w:val="Normal"/>
    <w:link w:val="IntenseQuoteChar"/>
    <w:uiPriority w:val="30"/>
    <w:qFormat/>
    <w:rsid w:val="00601AA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601AAC"/>
    <w:rPr>
      <w:i/>
      <w:iCs/>
      <w:color w:val="0F4761" w:themeColor="accent1" w:themeShade="BF"/>
    </w:rPr>
  </w:style>
  <w:style w:type="character" w:styleId="IntenseReference">
    <w:name w:val="Intense Reference"/>
    <w:basedOn w:val="DefaultParagraphFont"/>
    <w:uiPriority w:val="32"/>
    <w:qFormat/>
    <w:rsid w:val="00601AAC"/>
    <w:rPr>
      <w:b/>
      <w:bCs/>
      <w:smallCaps/>
      <w:color w:val="0F4761" w:themeColor="accent1" w:themeShade="BF"/>
      <w:spacing w:val="5"/>
    </w:rPr>
  </w:style>
  <w:style w:type="paragraph" w:customStyle="1" w:styleId="Default">
    <w:name w:val="Default"/>
    <w:link w:val="DefaultChar"/>
    <w:rsid w:val="00601AAC"/>
    <w:pPr>
      <w:autoSpaceDE w:val="0"/>
      <w:autoSpaceDN w:val="0"/>
      <w:adjustRightInd w:val="0"/>
      <w:spacing w:after="0" w:line="240" w:lineRule="auto"/>
    </w:pPr>
    <w:rPr>
      <w:rFonts w:ascii="Times New Roman" w:eastAsiaTheme="minorEastAsia" w:hAnsi="Times New Roman" w:cs="Times New Roman"/>
      <w:color w:val="000000"/>
      <w:kern w:val="0"/>
      <w:lang w:val="en-GB" w:eastAsia="ja-JP"/>
      <w14:ligatures w14:val="none"/>
    </w:rPr>
  </w:style>
  <w:style w:type="character" w:customStyle="1" w:styleId="DefaultChar">
    <w:name w:val="Default Char"/>
    <w:basedOn w:val="DefaultParagraphFont"/>
    <w:link w:val="Default"/>
    <w:rsid w:val="00601AAC"/>
    <w:rPr>
      <w:rFonts w:ascii="Times New Roman" w:eastAsiaTheme="minorEastAsia" w:hAnsi="Times New Roman" w:cs="Times New Roman"/>
      <w:color w:val="000000"/>
      <w:kern w:val="0"/>
      <w:lang w:val="en-GB" w:eastAsia="ja-JP"/>
      <w14:ligatures w14:val="none"/>
    </w:rPr>
  </w:style>
  <w:style w:type="table" w:styleId="TableGrid">
    <w:name w:val="Table Grid"/>
    <w:basedOn w:val="TableNormal"/>
    <w:rsid w:val="00601AAC"/>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01AAC"/>
    <w:pPr>
      <w:spacing w:after="0" w:line="240" w:lineRule="auto"/>
    </w:pPr>
    <w:rPr>
      <w:rFonts w:eastAsia="Calibri"/>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01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sv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738</Words>
  <Characters>4212</Characters>
  <Application>Microsoft Office Word</Application>
  <DocSecurity>0</DocSecurity>
  <Lines>35</Lines>
  <Paragraphs>9</Paragraphs>
  <ScaleCrop>false</ScaleCrop>
  <Company/>
  <LinksUpToDate>false</LinksUpToDate>
  <CharactersWithSpaces>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2025-09-10T09:36:00Z</dcterms:created>
  <dcterms:modified xsi:type="dcterms:W3CDTF">2025-09-10T09:36:00Z</dcterms:modified>
</cp:coreProperties>
</file>