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3377A6" w14:textId="77777777" w:rsidR="00827A3B" w:rsidRDefault="00827A3B" w:rsidP="00827A3B">
      <w:pPr>
        <w:pStyle w:val="References"/>
        <w:spacing w:line="240" w:lineRule="atLeast"/>
        <w:ind w:left="360" w:firstLine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References from Supplementary Materials:</w:t>
      </w:r>
    </w:p>
    <w:p w14:paraId="4281EDE1" w14:textId="77777777" w:rsidR="00827A3B" w:rsidRPr="00C36C83" w:rsidRDefault="00827A3B" w:rsidP="00827A3B">
      <w:pPr>
        <w:pStyle w:val="References"/>
        <w:spacing w:line="240" w:lineRule="atLeast"/>
        <w:ind w:left="360" w:firstLine="0"/>
        <w:rPr>
          <w:rFonts w:ascii="Times New Roman" w:hAnsi="Times New Roman"/>
          <w:sz w:val="24"/>
          <w:szCs w:val="24"/>
          <w:lang w:val="en-US"/>
        </w:rPr>
      </w:pPr>
    </w:p>
    <w:p w14:paraId="0D8FA1AA" w14:textId="77777777" w:rsidR="00827A3B" w:rsidRPr="001110FD" w:rsidRDefault="00827A3B" w:rsidP="00827A3B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4"/>
          <w:szCs w:val="24"/>
        </w:rPr>
      </w:pPr>
      <w:r w:rsidRPr="001110FD">
        <w:rPr>
          <w:sz w:val="24"/>
          <w:szCs w:val="24"/>
        </w:rPr>
        <w:t>Gaussian 16, Revision A.03, Frisch,</w:t>
      </w:r>
      <w:r w:rsidRPr="002046E2">
        <w:rPr>
          <w:sz w:val="24"/>
          <w:szCs w:val="24"/>
        </w:rPr>
        <w:t xml:space="preserve"> </w:t>
      </w:r>
      <w:r w:rsidRPr="001110FD">
        <w:rPr>
          <w:sz w:val="24"/>
          <w:szCs w:val="24"/>
        </w:rPr>
        <w:t xml:space="preserve">M. J. </w:t>
      </w:r>
      <w:r>
        <w:rPr>
          <w:sz w:val="24"/>
          <w:szCs w:val="24"/>
        </w:rPr>
        <w:t>et al.</w:t>
      </w:r>
      <w:r w:rsidRPr="001110FD">
        <w:rPr>
          <w:sz w:val="24"/>
          <w:szCs w:val="24"/>
        </w:rPr>
        <w:t xml:space="preserve"> Gaussian, Inc., Wallingford CT (2016). </w:t>
      </w:r>
    </w:p>
    <w:p w14:paraId="5A39B0D3" w14:textId="77777777" w:rsidR="00827A3B" w:rsidRPr="008D5B83" w:rsidRDefault="00827A3B" w:rsidP="00827A3B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4"/>
          <w:szCs w:val="24"/>
          <w:lang w:val="de-DE"/>
        </w:rPr>
      </w:pPr>
      <w:r w:rsidRPr="008D5B83">
        <w:rPr>
          <w:sz w:val="24"/>
          <w:szCs w:val="24"/>
        </w:rPr>
        <w:t>a) Weigend,</w:t>
      </w:r>
      <w:r w:rsidRPr="002046E2">
        <w:rPr>
          <w:sz w:val="24"/>
          <w:szCs w:val="24"/>
        </w:rPr>
        <w:t xml:space="preserve"> </w:t>
      </w:r>
      <w:r w:rsidRPr="008D5B83">
        <w:rPr>
          <w:sz w:val="24"/>
          <w:szCs w:val="24"/>
        </w:rPr>
        <w:t>F.</w:t>
      </w:r>
      <w:r>
        <w:rPr>
          <w:sz w:val="24"/>
          <w:szCs w:val="24"/>
        </w:rPr>
        <w:t>,</w:t>
      </w:r>
      <w:r w:rsidRPr="008D5B83">
        <w:rPr>
          <w:sz w:val="24"/>
          <w:szCs w:val="24"/>
        </w:rPr>
        <w:t xml:space="preserve"> Accurate Coulomb-fitting basis sets for H to Rn</w:t>
      </w:r>
      <w:r>
        <w:rPr>
          <w:sz w:val="24"/>
          <w:szCs w:val="24"/>
        </w:rPr>
        <w:t xml:space="preserve">. </w:t>
      </w:r>
      <w:r w:rsidRPr="008D5B83">
        <w:rPr>
          <w:i/>
          <w:iCs/>
          <w:sz w:val="24"/>
          <w:szCs w:val="24"/>
        </w:rPr>
        <w:t>Phys.</w:t>
      </w:r>
      <w:r w:rsidRPr="008D5B83">
        <w:rPr>
          <w:sz w:val="24"/>
          <w:szCs w:val="24"/>
        </w:rPr>
        <w:t xml:space="preserve"> </w:t>
      </w:r>
      <w:r w:rsidRPr="008D5B83">
        <w:rPr>
          <w:i/>
          <w:iCs/>
          <w:sz w:val="24"/>
          <w:szCs w:val="24"/>
        </w:rPr>
        <w:t>Chem. Chem. Phys.</w:t>
      </w:r>
      <w:r w:rsidRPr="008D5B83">
        <w:rPr>
          <w:sz w:val="24"/>
          <w:szCs w:val="24"/>
        </w:rPr>
        <w:t xml:space="preserve"> </w:t>
      </w:r>
      <w:r w:rsidRPr="008D5B83">
        <w:rPr>
          <w:b/>
          <w:bCs/>
          <w:sz w:val="24"/>
          <w:szCs w:val="24"/>
        </w:rPr>
        <w:t>8</w:t>
      </w:r>
      <w:r w:rsidRPr="008D5B83">
        <w:rPr>
          <w:sz w:val="24"/>
          <w:szCs w:val="24"/>
        </w:rPr>
        <w:t>, 1057–1065 (2006); b) Weigend, F.</w:t>
      </w:r>
      <w:r>
        <w:rPr>
          <w:sz w:val="24"/>
          <w:szCs w:val="24"/>
        </w:rPr>
        <w:t>,</w:t>
      </w:r>
      <w:r w:rsidRPr="008D5B8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&amp; </w:t>
      </w:r>
      <w:r w:rsidRPr="008D5B83">
        <w:rPr>
          <w:sz w:val="24"/>
          <w:szCs w:val="24"/>
        </w:rPr>
        <w:t>Ahlrichs,</w:t>
      </w:r>
      <w:r w:rsidRPr="002046E2">
        <w:rPr>
          <w:sz w:val="24"/>
          <w:szCs w:val="24"/>
        </w:rPr>
        <w:t xml:space="preserve"> </w:t>
      </w:r>
      <w:r w:rsidRPr="008D5B83">
        <w:rPr>
          <w:sz w:val="24"/>
          <w:szCs w:val="24"/>
        </w:rPr>
        <w:t xml:space="preserve">R. Balanced basis sets of split valence, triple zeta valence and quadruple zeta valence quality for H to Rn: Design and assessment of accuracy. </w:t>
      </w:r>
      <w:r w:rsidRPr="00E0548B">
        <w:rPr>
          <w:i/>
          <w:iCs/>
          <w:sz w:val="24"/>
          <w:szCs w:val="24"/>
        </w:rPr>
        <w:t xml:space="preserve">Phys. </w:t>
      </w:r>
      <w:r w:rsidRPr="008D5B83">
        <w:rPr>
          <w:i/>
          <w:iCs/>
          <w:sz w:val="24"/>
          <w:szCs w:val="24"/>
          <w:lang w:val="de-DE"/>
        </w:rPr>
        <w:t>Chem. Chem. Phys.</w:t>
      </w:r>
      <w:r w:rsidRPr="008D5B83">
        <w:rPr>
          <w:sz w:val="24"/>
          <w:szCs w:val="24"/>
          <w:lang w:val="de-DE"/>
        </w:rPr>
        <w:t xml:space="preserve"> </w:t>
      </w:r>
      <w:r w:rsidRPr="008D5B83">
        <w:rPr>
          <w:b/>
          <w:bCs/>
          <w:sz w:val="24"/>
          <w:szCs w:val="24"/>
          <w:lang w:val="de-DE"/>
        </w:rPr>
        <w:t>7</w:t>
      </w:r>
      <w:r w:rsidRPr="008D5B83">
        <w:rPr>
          <w:sz w:val="24"/>
          <w:szCs w:val="24"/>
          <w:lang w:val="de-DE"/>
        </w:rPr>
        <w:t>, 3297–3305 (2005).</w:t>
      </w:r>
    </w:p>
    <w:p w14:paraId="72418616" w14:textId="77777777" w:rsidR="00827A3B" w:rsidRPr="001110FD" w:rsidRDefault="00827A3B" w:rsidP="00827A3B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4"/>
          <w:szCs w:val="24"/>
        </w:rPr>
      </w:pPr>
      <w:r w:rsidRPr="001110FD">
        <w:rPr>
          <w:sz w:val="24"/>
          <w:szCs w:val="24"/>
        </w:rPr>
        <w:t xml:space="preserve">Chai, J.-D. </w:t>
      </w:r>
      <w:r>
        <w:rPr>
          <w:sz w:val="24"/>
          <w:szCs w:val="24"/>
        </w:rPr>
        <w:t xml:space="preserve">&amp; </w:t>
      </w:r>
      <w:r w:rsidRPr="001110FD">
        <w:rPr>
          <w:sz w:val="24"/>
          <w:szCs w:val="24"/>
        </w:rPr>
        <w:t>Head-Gordon,</w:t>
      </w:r>
      <w:r w:rsidRPr="002046E2">
        <w:rPr>
          <w:sz w:val="24"/>
          <w:szCs w:val="24"/>
        </w:rPr>
        <w:t xml:space="preserve"> </w:t>
      </w:r>
      <w:r w:rsidRPr="001110FD">
        <w:rPr>
          <w:sz w:val="24"/>
          <w:szCs w:val="24"/>
        </w:rPr>
        <w:t xml:space="preserve">M. </w:t>
      </w:r>
      <w:r w:rsidRPr="00AA1075">
        <w:rPr>
          <w:sz w:val="24"/>
          <w:szCs w:val="24"/>
        </w:rPr>
        <w:t>Long-range corrected hybrid density functionals with damped atom–atom dispersion corrections</w:t>
      </w:r>
      <w:r>
        <w:rPr>
          <w:sz w:val="24"/>
          <w:szCs w:val="24"/>
        </w:rPr>
        <w:t xml:space="preserve">. </w:t>
      </w:r>
      <w:r w:rsidRPr="001110FD">
        <w:rPr>
          <w:i/>
          <w:iCs/>
          <w:sz w:val="24"/>
          <w:szCs w:val="24"/>
        </w:rPr>
        <w:t>Phys. Chem. Chem. Phys.</w:t>
      </w:r>
      <w:r w:rsidRPr="001110FD">
        <w:rPr>
          <w:sz w:val="24"/>
          <w:szCs w:val="24"/>
        </w:rPr>
        <w:t xml:space="preserve"> </w:t>
      </w:r>
      <w:r w:rsidRPr="001110FD">
        <w:rPr>
          <w:b/>
          <w:bCs/>
          <w:sz w:val="24"/>
          <w:szCs w:val="24"/>
        </w:rPr>
        <w:t>10</w:t>
      </w:r>
      <w:r w:rsidRPr="001110FD">
        <w:rPr>
          <w:sz w:val="24"/>
          <w:szCs w:val="24"/>
        </w:rPr>
        <w:t>, 6615–6620 (2008).</w:t>
      </w:r>
    </w:p>
    <w:p w14:paraId="56C1E85C" w14:textId="77777777" w:rsidR="00827A3B" w:rsidRPr="001110FD" w:rsidRDefault="00827A3B" w:rsidP="00827A3B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4"/>
          <w:szCs w:val="24"/>
        </w:rPr>
      </w:pPr>
      <w:r w:rsidRPr="001110FD">
        <w:rPr>
          <w:sz w:val="24"/>
          <w:szCs w:val="24"/>
        </w:rPr>
        <w:t>Marenich, A.V.</w:t>
      </w:r>
      <w:r>
        <w:rPr>
          <w:sz w:val="24"/>
          <w:szCs w:val="24"/>
        </w:rPr>
        <w:t>,</w:t>
      </w:r>
      <w:r w:rsidRPr="001110FD">
        <w:rPr>
          <w:sz w:val="24"/>
          <w:szCs w:val="24"/>
        </w:rPr>
        <w:t xml:space="preserve"> Cramer,</w:t>
      </w:r>
      <w:r w:rsidRPr="002046E2">
        <w:rPr>
          <w:sz w:val="24"/>
          <w:szCs w:val="24"/>
        </w:rPr>
        <w:t xml:space="preserve"> </w:t>
      </w:r>
      <w:r w:rsidRPr="001110FD">
        <w:rPr>
          <w:sz w:val="24"/>
          <w:szCs w:val="24"/>
        </w:rPr>
        <w:t>C. J.</w:t>
      </w:r>
      <w:r>
        <w:rPr>
          <w:sz w:val="24"/>
          <w:szCs w:val="24"/>
        </w:rPr>
        <w:t xml:space="preserve"> &amp;</w:t>
      </w:r>
      <w:r w:rsidRPr="001110FD">
        <w:rPr>
          <w:sz w:val="24"/>
          <w:szCs w:val="24"/>
        </w:rPr>
        <w:t xml:space="preserve"> Truhlar, D. G. </w:t>
      </w:r>
      <w:r w:rsidRPr="000B7230">
        <w:rPr>
          <w:sz w:val="24"/>
          <w:szCs w:val="24"/>
        </w:rPr>
        <w:t>Universal Solvation Model Based on Solute Electron Density and on a Continuum Model of the Solvent Defined by the Bulk Dielectric Constant and Atomic Surface Tensions</w:t>
      </w:r>
      <w:r>
        <w:rPr>
          <w:sz w:val="24"/>
          <w:szCs w:val="24"/>
        </w:rPr>
        <w:t xml:space="preserve">. </w:t>
      </w:r>
      <w:r w:rsidRPr="001110FD">
        <w:rPr>
          <w:i/>
          <w:iCs/>
          <w:sz w:val="24"/>
          <w:szCs w:val="24"/>
        </w:rPr>
        <w:t>J. Phys. Chem. B</w:t>
      </w:r>
      <w:r w:rsidRPr="001110FD">
        <w:rPr>
          <w:sz w:val="24"/>
          <w:szCs w:val="24"/>
        </w:rPr>
        <w:t xml:space="preserve"> </w:t>
      </w:r>
      <w:r w:rsidRPr="001110FD">
        <w:rPr>
          <w:b/>
          <w:bCs/>
          <w:iCs/>
          <w:sz w:val="24"/>
          <w:szCs w:val="24"/>
        </w:rPr>
        <w:t>113</w:t>
      </w:r>
      <w:r w:rsidRPr="001110FD">
        <w:rPr>
          <w:i/>
          <w:sz w:val="24"/>
          <w:szCs w:val="24"/>
        </w:rPr>
        <w:t xml:space="preserve">, </w:t>
      </w:r>
      <w:r w:rsidRPr="001110FD">
        <w:rPr>
          <w:sz w:val="24"/>
          <w:szCs w:val="24"/>
        </w:rPr>
        <w:t>6378–6396 (2009).</w:t>
      </w:r>
    </w:p>
    <w:p w14:paraId="67FC00B0" w14:textId="77777777" w:rsidR="00827A3B" w:rsidRPr="001110FD" w:rsidRDefault="00827A3B" w:rsidP="00827A3B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4"/>
          <w:szCs w:val="24"/>
        </w:rPr>
      </w:pPr>
      <w:r w:rsidRPr="001110FD">
        <w:rPr>
          <w:sz w:val="24"/>
          <w:szCs w:val="24"/>
        </w:rPr>
        <w:t xml:space="preserve">Domingo, L. R. </w:t>
      </w:r>
      <w:r>
        <w:rPr>
          <w:sz w:val="24"/>
          <w:szCs w:val="24"/>
        </w:rPr>
        <w:t xml:space="preserve">&amp; </w:t>
      </w:r>
      <w:r w:rsidRPr="001110FD">
        <w:rPr>
          <w:sz w:val="24"/>
          <w:szCs w:val="24"/>
        </w:rPr>
        <w:t xml:space="preserve">Pérez, P. </w:t>
      </w:r>
      <w:r w:rsidRPr="001F6391">
        <w:rPr>
          <w:sz w:val="24"/>
          <w:szCs w:val="24"/>
        </w:rPr>
        <w:t>Global and local reactivity indices for electrophilic/nucleophilic free radicals</w:t>
      </w:r>
      <w:r>
        <w:rPr>
          <w:sz w:val="24"/>
          <w:szCs w:val="24"/>
        </w:rPr>
        <w:t>.</w:t>
      </w:r>
      <w:r w:rsidRPr="001110FD">
        <w:rPr>
          <w:sz w:val="24"/>
          <w:szCs w:val="24"/>
        </w:rPr>
        <w:t xml:space="preserve"> </w:t>
      </w:r>
      <w:r w:rsidRPr="001110FD">
        <w:rPr>
          <w:i/>
          <w:iCs/>
          <w:sz w:val="24"/>
          <w:szCs w:val="24"/>
        </w:rPr>
        <w:t>Org. Biomol. Chem.</w:t>
      </w:r>
      <w:r w:rsidRPr="001110FD">
        <w:rPr>
          <w:sz w:val="24"/>
          <w:szCs w:val="24"/>
        </w:rPr>
        <w:t xml:space="preserve"> </w:t>
      </w:r>
      <w:r w:rsidRPr="001110FD">
        <w:rPr>
          <w:b/>
          <w:bCs/>
          <w:sz w:val="24"/>
          <w:szCs w:val="24"/>
        </w:rPr>
        <w:t>11</w:t>
      </w:r>
      <w:r w:rsidRPr="001110FD">
        <w:rPr>
          <w:sz w:val="24"/>
          <w:szCs w:val="24"/>
        </w:rPr>
        <w:t>, 4350–4358 (2013).</w:t>
      </w:r>
    </w:p>
    <w:p w14:paraId="49B35606" w14:textId="77777777" w:rsidR="00827A3B" w:rsidRPr="001110FD" w:rsidRDefault="00827A3B" w:rsidP="00827A3B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4"/>
          <w:szCs w:val="24"/>
        </w:rPr>
      </w:pPr>
      <w:r w:rsidRPr="001110FD">
        <w:rPr>
          <w:sz w:val="24"/>
          <w:szCs w:val="24"/>
        </w:rPr>
        <w:t>Ribeiro, R. F.</w:t>
      </w:r>
      <w:r>
        <w:rPr>
          <w:sz w:val="24"/>
          <w:szCs w:val="24"/>
        </w:rPr>
        <w:t>,</w:t>
      </w:r>
      <w:r w:rsidRPr="001110FD">
        <w:rPr>
          <w:sz w:val="24"/>
          <w:szCs w:val="24"/>
        </w:rPr>
        <w:t xml:space="preserve"> Marenich,</w:t>
      </w:r>
      <w:r w:rsidRPr="002046E2">
        <w:rPr>
          <w:sz w:val="24"/>
          <w:szCs w:val="24"/>
        </w:rPr>
        <w:t xml:space="preserve"> </w:t>
      </w:r>
      <w:r w:rsidRPr="001110FD">
        <w:rPr>
          <w:sz w:val="24"/>
          <w:szCs w:val="24"/>
        </w:rPr>
        <w:t>A.V.</w:t>
      </w:r>
      <w:r>
        <w:rPr>
          <w:sz w:val="24"/>
          <w:szCs w:val="24"/>
        </w:rPr>
        <w:t>,</w:t>
      </w:r>
      <w:r w:rsidRPr="001110FD">
        <w:rPr>
          <w:sz w:val="24"/>
          <w:szCs w:val="24"/>
        </w:rPr>
        <w:t xml:space="preserve"> Cramer, C. J.</w:t>
      </w:r>
      <w:r>
        <w:rPr>
          <w:sz w:val="24"/>
          <w:szCs w:val="24"/>
        </w:rPr>
        <w:t xml:space="preserve"> &amp;</w:t>
      </w:r>
      <w:r w:rsidRPr="001110FD">
        <w:rPr>
          <w:sz w:val="24"/>
          <w:szCs w:val="24"/>
        </w:rPr>
        <w:t xml:space="preserve"> Truhlar,</w:t>
      </w:r>
      <w:r w:rsidRPr="002046E2">
        <w:rPr>
          <w:sz w:val="24"/>
          <w:szCs w:val="24"/>
        </w:rPr>
        <w:t xml:space="preserve"> </w:t>
      </w:r>
      <w:r w:rsidRPr="001110FD">
        <w:rPr>
          <w:sz w:val="24"/>
          <w:szCs w:val="24"/>
        </w:rPr>
        <w:t>D</w:t>
      </w:r>
      <w:r>
        <w:rPr>
          <w:sz w:val="24"/>
          <w:szCs w:val="24"/>
        </w:rPr>
        <w:t>.</w:t>
      </w:r>
      <w:r w:rsidRPr="001110FD">
        <w:rPr>
          <w:sz w:val="24"/>
          <w:szCs w:val="24"/>
        </w:rPr>
        <w:t xml:space="preserve"> G. </w:t>
      </w:r>
      <w:r w:rsidRPr="001F6391">
        <w:rPr>
          <w:sz w:val="24"/>
          <w:szCs w:val="24"/>
        </w:rPr>
        <w:t>The solvation, partitioning, hydrogen bonding, and dimerization of nucleotide bases: a multifaceted challenge for quantum chemistry</w:t>
      </w:r>
      <w:r>
        <w:rPr>
          <w:sz w:val="24"/>
          <w:szCs w:val="24"/>
        </w:rPr>
        <w:t xml:space="preserve">. </w:t>
      </w:r>
      <w:r w:rsidRPr="001110FD">
        <w:rPr>
          <w:i/>
          <w:iCs/>
          <w:sz w:val="24"/>
          <w:szCs w:val="24"/>
        </w:rPr>
        <w:t>Phys. Chem. Chem. Phys.</w:t>
      </w:r>
      <w:r w:rsidRPr="001110FD">
        <w:rPr>
          <w:sz w:val="24"/>
          <w:szCs w:val="24"/>
        </w:rPr>
        <w:t xml:space="preserve"> </w:t>
      </w:r>
      <w:r w:rsidRPr="001110FD">
        <w:rPr>
          <w:b/>
          <w:bCs/>
          <w:sz w:val="24"/>
          <w:szCs w:val="24"/>
        </w:rPr>
        <w:t>13</w:t>
      </w:r>
      <w:r w:rsidRPr="001110FD">
        <w:rPr>
          <w:sz w:val="24"/>
          <w:szCs w:val="24"/>
        </w:rPr>
        <w:t>, 10908–10922 (2011).</w:t>
      </w:r>
    </w:p>
    <w:p w14:paraId="7FF80835" w14:textId="77777777" w:rsidR="00827A3B" w:rsidRPr="001110FD" w:rsidRDefault="00827A3B" w:rsidP="00827A3B">
      <w:pPr>
        <w:pStyle w:val="referencesni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1110FD">
        <w:rPr>
          <w:rFonts w:ascii="Times New Roman" w:hAnsi="Times New Roman" w:cs="Times New Roman"/>
          <w:sz w:val="24"/>
        </w:rPr>
        <w:t xml:space="preserve">Bruker, </w:t>
      </w:r>
      <w:r w:rsidRPr="001110FD">
        <w:rPr>
          <w:rFonts w:ascii="Times New Roman" w:hAnsi="Times New Roman" w:cs="Times New Roman"/>
          <w:i/>
          <w:sz w:val="24"/>
        </w:rPr>
        <w:t>SAINT</w:t>
      </w:r>
      <w:r w:rsidRPr="001110FD">
        <w:rPr>
          <w:rFonts w:ascii="Times New Roman" w:hAnsi="Times New Roman" w:cs="Times New Roman"/>
          <w:sz w:val="24"/>
        </w:rPr>
        <w:t xml:space="preserve">, </w:t>
      </w:r>
      <w:r w:rsidRPr="001110FD">
        <w:rPr>
          <w:rFonts w:ascii="Times New Roman" w:hAnsi="Times New Roman" w:cs="Times New Roman"/>
          <w:i/>
          <w:sz w:val="24"/>
        </w:rPr>
        <w:t>V8.40B</w:t>
      </w:r>
      <w:r w:rsidRPr="001110FD">
        <w:rPr>
          <w:rFonts w:ascii="Times New Roman" w:hAnsi="Times New Roman" w:cs="Times New Roman"/>
          <w:sz w:val="24"/>
        </w:rPr>
        <w:t>, Bruker AXS Inc., Madison, Wisconsin, USA (2015).</w:t>
      </w:r>
    </w:p>
    <w:p w14:paraId="695FC5E6" w14:textId="77777777" w:rsidR="00827A3B" w:rsidRDefault="00827A3B" w:rsidP="00827A3B">
      <w:pPr>
        <w:pStyle w:val="referencesni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77FD0">
        <w:rPr>
          <w:rFonts w:ascii="Times New Roman" w:hAnsi="Times New Roman" w:cs="Times New Roman"/>
          <w:sz w:val="24"/>
        </w:rPr>
        <w:t>Krause, L.</w:t>
      </w:r>
      <w:r>
        <w:rPr>
          <w:rFonts w:ascii="Times New Roman" w:hAnsi="Times New Roman" w:cs="Times New Roman"/>
          <w:sz w:val="24"/>
        </w:rPr>
        <w:t xml:space="preserve">, </w:t>
      </w:r>
      <w:r w:rsidRPr="00377FD0">
        <w:rPr>
          <w:rFonts w:ascii="Times New Roman" w:hAnsi="Times New Roman" w:cs="Times New Roman"/>
          <w:sz w:val="24"/>
        </w:rPr>
        <w:t>Herbst-Irmer,</w:t>
      </w:r>
      <w:r w:rsidRPr="002046E2">
        <w:rPr>
          <w:rFonts w:ascii="Times New Roman" w:hAnsi="Times New Roman" w:cs="Times New Roman"/>
          <w:sz w:val="24"/>
        </w:rPr>
        <w:t xml:space="preserve"> </w:t>
      </w:r>
      <w:r w:rsidRPr="00377FD0">
        <w:rPr>
          <w:rFonts w:ascii="Times New Roman" w:hAnsi="Times New Roman" w:cs="Times New Roman"/>
          <w:sz w:val="24"/>
        </w:rPr>
        <w:t>R.</w:t>
      </w:r>
      <w:r>
        <w:rPr>
          <w:rFonts w:ascii="Times New Roman" w:hAnsi="Times New Roman" w:cs="Times New Roman"/>
          <w:sz w:val="24"/>
        </w:rPr>
        <w:t>,</w:t>
      </w:r>
      <w:r w:rsidRPr="00377FD0">
        <w:rPr>
          <w:rFonts w:ascii="Times New Roman" w:hAnsi="Times New Roman" w:cs="Times New Roman"/>
          <w:sz w:val="24"/>
        </w:rPr>
        <w:t xml:space="preserve"> Sheldrick, G. </w:t>
      </w:r>
      <w:r>
        <w:rPr>
          <w:rFonts w:ascii="Times New Roman" w:hAnsi="Times New Roman" w:cs="Times New Roman"/>
          <w:sz w:val="24"/>
        </w:rPr>
        <w:t xml:space="preserve">&amp; </w:t>
      </w:r>
      <w:r w:rsidRPr="00377FD0">
        <w:rPr>
          <w:rFonts w:ascii="Times New Roman" w:hAnsi="Times New Roman" w:cs="Times New Roman"/>
          <w:sz w:val="24"/>
        </w:rPr>
        <w:t>Stalke, D.</w:t>
      </w:r>
      <w:r>
        <w:rPr>
          <w:rFonts w:ascii="Times New Roman" w:hAnsi="Times New Roman" w:cs="Times New Roman"/>
          <w:sz w:val="24"/>
        </w:rPr>
        <w:t xml:space="preserve">, </w:t>
      </w:r>
      <w:r w:rsidRPr="00377FD0">
        <w:rPr>
          <w:rFonts w:ascii="Times New Roman" w:hAnsi="Times New Roman" w:cs="Times New Roman"/>
          <w:sz w:val="24"/>
        </w:rPr>
        <w:t xml:space="preserve">Comparison of silver and molybdenum microfocus X-ray sources for single-crystal structure determination. </w:t>
      </w:r>
      <w:r w:rsidRPr="00377FD0">
        <w:rPr>
          <w:rFonts w:ascii="Times New Roman" w:hAnsi="Times New Roman" w:cs="Times New Roman"/>
          <w:i/>
          <w:iCs/>
          <w:sz w:val="24"/>
        </w:rPr>
        <w:t>J. Appl. Crystallogr.</w:t>
      </w:r>
      <w:r w:rsidRPr="00377FD0">
        <w:rPr>
          <w:rFonts w:ascii="Times New Roman" w:hAnsi="Times New Roman" w:cs="Times New Roman"/>
          <w:sz w:val="24"/>
        </w:rPr>
        <w:t xml:space="preserve"> </w:t>
      </w:r>
      <w:r w:rsidRPr="00377FD0">
        <w:rPr>
          <w:rFonts w:ascii="Times New Roman" w:hAnsi="Times New Roman" w:cs="Times New Roman"/>
          <w:b/>
          <w:bCs/>
          <w:sz w:val="24"/>
        </w:rPr>
        <w:t>48</w:t>
      </w:r>
      <w:r w:rsidRPr="00377FD0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3–10 </w:t>
      </w:r>
      <w:r w:rsidRPr="00377FD0">
        <w:rPr>
          <w:rFonts w:ascii="Times New Roman" w:hAnsi="Times New Roman" w:cs="Times New Roman"/>
          <w:sz w:val="24"/>
        </w:rPr>
        <w:t xml:space="preserve">(2015). </w:t>
      </w:r>
    </w:p>
    <w:p w14:paraId="1A37F115" w14:textId="77777777" w:rsidR="00827A3B" w:rsidRDefault="00827A3B" w:rsidP="00827A3B">
      <w:pPr>
        <w:pStyle w:val="referencesni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F442D1">
        <w:rPr>
          <w:rFonts w:ascii="Times New Roman" w:hAnsi="Times New Roman" w:cs="Times New Roman"/>
          <w:sz w:val="24"/>
        </w:rPr>
        <w:t>Sheldrick,</w:t>
      </w:r>
      <w:r>
        <w:rPr>
          <w:rFonts w:ascii="Times New Roman" w:hAnsi="Times New Roman" w:cs="Times New Roman"/>
          <w:sz w:val="24"/>
        </w:rPr>
        <w:t xml:space="preserve"> G.</w:t>
      </w:r>
      <w:r w:rsidRPr="00F442D1">
        <w:rPr>
          <w:rFonts w:ascii="Times New Roman" w:hAnsi="Times New Roman" w:cs="Times New Roman"/>
          <w:sz w:val="24"/>
        </w:rPr>
        <w:t xml:space="preserve"> SHELXT – Integrated space-group and crystal-structure determination. </w:t>
      </w:r>
      <w:r w:rsidRPr="00F442D1">
        <w:rPr>
          <w:rFonts w:ascii="Times New Roman" w:hAnsi="Times New Roman" w:cs="Times New Roman"/>
          <w:i/>
          <w:iCs/>
          <w:sz w:val="24"/>
        </w:rPr>
        <w:t>Acta Crystallogr. Section A</w:t>
      </w:r>
      <w:r w:rsidRPr="00F442D1">
        <w:rPr>
          <w:rFonts w:ascii="Times New Roman" w:hAnsi="Times New Roman" w:cs="Times New Roman"/>
          <w:sz w:val="24"/>
        </w:rPr>
        <w:t xml:space="preserve"> </w:t>
      </w:r>
      <w:r w:rsidRPr="00F442D1">
        <w:rPr>
          <w:rFonts w:ascii="Times New Roman" w:hAnsi="Times New Roman" w:cs="Times New Roman"/>
          <w:b/>
          <w:bCs/>
          <w:sz w:val="24"/>
        </w:rPr>
        <w:t>71</w:t>
      </w:r>
      <w:r w:rsidRPr="00F442D1">
        <w:rPr>
          <w:rFonts w:ascii="Times New Roman" w:hAnsi="Times New Roman" w:cs="Times New Roman"/>
          <w:sz w:val="24"/>
        </w:rPr>
        <w:t>, 3</w:t>
      </w:r>
      <w:r>
        <w:rPr>
          <w:rFonts w:ascii="Times New Roman" w:hAnsi="Times New Roman" w:cs="Times New Roman"/>
          <w:sz w:val="24"/>
        </w:rPr>
        <w:t>–</w:t>
      </w:r>
      <w:r w:rsidRPr="00F442D1">
        <w:rPr>
          <w:rFonts w:ascii="Times New Roman" w:hAnsi="Times New Roman" w:cs="Times New Roman"/>
          <w:sz w:val="24"/>
        </w:rPr>
        <w:t xml:space="preserve">8 (2015). </w:t>
      </w:r>
    </w:p>
    <w:p w14:paraId="6F287503" w14:textId="77777777" w:rsidR="00827A3B" w:rsidRPr="004F1555" w:rsidRDefault="00827A3B" w:rsidP="00827A3B">
      <w:pPr>
        <w:pStyle w:val="referencesni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4F1555">
        <w:rPr>
          <w:rFonts w:ascii="Times New Roman" w:hAnsi="Times New Roman" w:cs="Times New Roman"/>
          <w:sz w:val="24"/>
        </w:rPr>
        <w:t>Sheldrick</w:t>
      </w:r>
      <w:r>
        <w:rPr>
          <w:rFonts w:ascii="Times New Roman" w:hAnsi="Times New Roman" w:cs="Times New Roman"/>
          <w:sz w:val="24"/>
        </w:rPr>
        <w:t>, G.</w:t>
      </w:r>
      <w:r w:rsidRPr="004F1555">
        <w:rPr>
          <w:rFonts w:ascii="Times New Roman" w:hAnsi="Times New Roman" w:cs="Times New Roman"/>
          <w:sz w:val="24"/>
        </w:rPr>
        <w:t xml:space="preserve">, Crystal structure refinement with SHELXL. </w:t>
      </w:r>
      <w:r w:rsidRPr="004F1555">
        <w:rPr>
          <w:rFonts w:ascii="Times New Roman" w:hAnsi="Times New Roman" w:cs="Times New Roman"/>
          <w:i/>
          <w:iCs/>
          <w:sz w:val="24"/>
        </w:rPr>
        <w:t>Acta Crystallogr. Section C</w:t>
      </w:r>
      <w:r w:rsidRPr="004F1555">
        <w:rPr>
          <w:rFonts w:ascii="Times New Roman" w:hAnsi="Times New Roman" w:cs="Times New Roman"/>
          <w:sz w:val="24"/>
        </w:rPr>
        <w:t xml:space="preserve"> </w:t>
      </w:r>
      <w:r w:rsidRPr="004F1555">
        <w:rPr>
          <w:rFonts w:ascii="Times New Roman" w:hAnsi="Times New Roman" w:cs="Times New Roman"/>
          <w:b/>
          <w:bCs/>
          <w:sz w:val="24"/>
        </w:rPr>
        <w:t>71</w:t>
      </w:r>
      <w:r w:rsidRPr="004F1555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3–8 </w:t>
      </w:r>
      <w:r w:rsidRPr="004F1555">
        <w:rPr>
          <w:rFonts w:ascii="Times New Roman" w:hAnsi="Times New Roman" w:cs="Times New Roman"/>
          <w:sz w:val="24"/>
        </w:rPr>
        <w:t>(2015).</w:t>
      </w:r>
    </w:p>
    <w:p w14:paraId="7E1DF1BE" w14:textId="77777777" w:rsidR="00827A3B" w:rsidRDefault="00827A3B" w:rsidP="00827A3B">
      <w:pPr>
        <w:pStyle w:val="referencesni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3D7805">
        <w:rPr>
          <w:rFonts w:ascii="Times New Roman" w:hAnsi="Times New Roman" w:cs="Times New Roman"/>
          <w:sz w:val="24"/>
        </w:rPr>
        <w:t xml:space="preserve">Dolomanov, </w:t>
      </w:r>
      <w:r>
        <w:rPr>
          <w:rFonts w:ascii="Times New Roman" w:hAnsi="Times New Roman" w:cs="Times New Roman"/>
          <w:sz w:val="24"/>
        </w:rPr>
        <w:t xml:space="preserve">O., </w:t>
      </w:r>
      <w:r w:rsidRPr="003D7805">
        <w:rPr>
          <w:rFonts w:ascii="Times New Roman" w:hAnsi="Times New Roman" w:cs="Times New Roman"/>
          <w:sz w:val="24"/>
        </w:rPr>
        <w:t>Bourhis, L.</w:t>
      </w:r>
      <w:r>
        <w:rPr>
          <w:rFonts w:ascii="Times New Roman" w:hAnsi="Times New Roman" w:cs="Times New Roman"/>
          <w:sz w:val="24"/>
        </w:rPr>
        <w:t>,</w:t>
      </w:r>
      <w:r w:rsidRPr="003D7805">
        <w:rPr>
          <w:rFonts w:ascii="Times New Roman" w:hAnsi="Times New Roman" w:cs="Times New Roman"/>
          <w:sz w:val="24"/>
        </w:rPr>
        <w:t xml:space="preserve"> Gildea, R.</w:t>
      </w:r>
      <w:r>
        <w:rPr>
          <w:rFonts w:ascii="Times New Roman" w:hAnsi="Times New Roman" w:cs="Times New Roman"/>
          <w:sz w:val="24"/>
        </w:rPr>
        <w:t>,</w:t>
      </w:r>
      <w:r w:rsidRPr="003D7805">
        <w:rPr>
          <w:rFonts w:ascii="Times New Roman" w:hAnsi="Times New Roman" w:cs="Times New Roman"/>
          <w:sz w:val="24"/>
        </w:rPr>
        <w:t xml:space="preserve"> Howard,</w:t>
      </w:r>
      <w:r w:rsidRPr="002046E2">
        <w:rPr>
          <w:rFonts w:ascii="Times New Roman" w:hAnsi="Times New Roman" w:cs="Times New Roman"/>
          <w:sz w:val="24"/>
        </w:rPr>
        <w:t xml:space="preserve"> </w:t>
      </w:r>
      <w:r w:rsidRPr="003D7805">
        <w:rPr>
          <w:rFonts w:ascii="Times New Roman" w:hAnsi="Times New Roman" w:cs="Times New Roman"/>
          <w:sz w:val="24"/>
        </w:rPr>
        <w:t>J.</w:t>
      </w:r>
      <w:r>
        <w:rPr>
          <w:rFonts w:ascii="Times New Roman" w:hAnsi="Times New Roman" w:cs="Times New Roman"/>
          <w:sz w:val="24"/>
        </w:rPr>
        <w:t>,</w:t>
      </w:r>
      <w:r w:rsidRPr="003D780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&amp;</w:t>
      </w:r>
      <w:r w:rsidRPr="003D7805">
        <w:rPr>
          <w:rFonts w:ascii="Times New Roman" w:hAnsi="Times New Roman" w:cs="Times New Roman"/>
          <w:sz w:val="24"/>
        </w:rPr>
        <w:t xml:space="preserve"> Puschmann, H. OLEX2: A complete structure solution, refinement and analysis program. </w:t>
      </w:r>
      <w:r w:rsidRPr="003D7805">
        <w:rPr>
          <w:rFonts w:ascii="Times New Roman" w:hAnsi="Times New Roman" w:cs="Times New Roman"/>
          <w:i/>
          <w:iCs/>
          <w:sz w:val="24"/>
        </w:rPr>
        <w:t>J. Appl. Cryst. J. Appl. Cryst</w:t>
      </w:r>
      <w:r w:rsidRPr="003D7805">
        <w:rPr>
          <w:rFonts w:ascii="Times New Roman" w:hAnsi="Times New Roman" w:cs="Times New Roman"/>
          <w:sz w:val="24"/>
        </w:rPr>
        <w:t xml:space="preserve"> </w:t>
      </w:r>
      <w:r w:rsidRPr="003D7805">
        <w:rPr>
          <w:rFonts w:ascii="Times New Roman" w:hAnsi="Times New Roman" w:cs="Times New Roman"/>
          <w:b/>
          <w:bCs/>
          <w:sz w:val="24"/>
        </w:rPr>
        <w:t>42</w:t>
      </w:r>
      <w:r w:rsidRPr="003D7805">
        <w:rPr>
          <w:rFonts w:ascii="Times New Roman" w:hAnsi="Times New Roman" w:cs="Times New Roman"/>
          <w:sz w:val="24"/>
        </w:rPr>
        <w:t>, 339</w:t>
      </w:r>
      <w:r>
        <w:rPr>
          <w:rFonts w:ascii="Times New Roman" w:hAnsi="Times New Roman" w:cs="Times New Roman"/>
          <w:sz w:val="24"/>
        </w:rPr>
        <w:t>–</w:t>
      </w:r>
      <w:r w:rsidRPr="003D7805">
        <w:rPr>
          <w:rFonts w:ascii="Times New Roman" w:hAnsi="Times New Roman" w:cs="Times New Roman"/>
          <w:sz w:val="24"/>
        </w:rPr>
        <w:t xml:space="preserve">341 (2009). </w:t>
      </w:r>
    </w:p>
    <w:p w14:paraId="5DCFF763" w14:textId="77777777" w:rsidR="00827A3B" w:rsidRPr="008D7E0B" w:rsidRDefault="00827A3B" w:rsidP="00827A3B">
      <w:pPr>
        <w:pStyle w:val="referencesni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1110FD">
        <w:rPr>
          <w:rFonts w:ascii="Times New Roman" w:hAnsi="Times New Roman" w:cs="Times New Roman"/>
          <w:sz w:val="24"/>
        </w:rPr>
        <w:t>Groom,</w:t>
      </w:r>
      <w:r w:rsidRPr="002046E2">
        <w:rPr>
          <w:rFonts w:ascii="Times New Roman" w:hAnsi="Times New Roman" w:cs="Times New Roman"/>
          <w:sz w:val="24"/>
        </w:rPr>
        <w:t xml:space="preserve"> </w:t>
      </w:r>
      <w:r w:rsidRPr="001110FD">
        <w:rPr>
          <w:rFonts w:ascii="Times New Roman" w:hAnsi="Times New Roman" w:cs="Times New Roman"/>
          <w:sz w:val="24"/>
        </w:rPr>
        <w:t>C. R.</w:t>
      </w:r>
      <w:r>
        <w:rPr>
          <w:rFonts w:ascii="Times New Roman" w:hAnsi="Times New Roman" w:cs="Times New Roman"/>
          <w:sz w:val="24"/>
        </w:rPr>
        <w:t>,</w:t>
      </w:r>
      <w:r w:rsidRPr="001110FD">
        <w:rPr>
          <w:rFonts w:ascii="Times New Roman" w:hAnsi="Times New Roman" w:cs="Times New Roman"/>
          <w:sz w:val="24"/>
        </w:rPr>
        <w:t xml:space="preserve"> Bruno,</w:t>
      </w:r>
      <w:r w:rsidRPr="002046E2">
        <w:rPr>
          <w:rFonts w:ascii="Times New Roman" w:hAnsi="Times New Roman" w:cs="Times New Roman"/>
          <w:sz w:val="24"/>
        </w:rPr>
        <w:t xml:space="preserve"> </w:t>
      </w:r>
      <w:r w:rsidRPr="001110FD">
        <w:rPr>
          <w:rFonts w:ascii="Times New Roman" w:hAnsi="Times New Roman" w:cs="Times New Roman"/>
          <w:sz w:val="24"/>
        </w:rPr>
        <w:t>I. J.</w:t>
      </w:r>
      <w:r>
        <w:rPr>
          <w:rFonts w:ascii="Times New Roman" w:hAnsi="Times New Roman" w:cs="Times New Roman"/>
          <w:sz w:val="24"/>
        </w:rPr>
        <w:t>,</w:t>
      </w:r>
      <w:r w:rsidRPr="001110FD">
        <w:rPr>
          <w:rFonts w:ascii="Times New Roman" w:hAnsi="Times New Roman" w:cs="Times New Roman"/>
          <w:sz w:val="24"/>
        </w:rPr>
        <w:t xml:space="preserve"> Lightfoot,</w:t>
      </w:r>
      <w:r w:rsidRPr="002046E2">
        <w:rPr>
          <w:rFonts w:ascii="Times New Roman" w:hAnsi="Times New Roman" w:cs="Times New Roman"/>
          <w:sz w:val="24"/>
        </w:rPr>
        <w:t xml:space="preserve"> </w:t>
      </w:r>
      <w:r w:rsidRPr="001110FD">
        <w:rPr>
          <w:rFonts w:ascii="Times New Roman" w:hAnsi="Times New Roman" w:cs="Times New Roman"/>
          <w:sz w:val="24"/>
        </w:rPr>
        <w:t>M. P.</w:t>
      </w:r>
      <w:r>
        <w:rPr>
          <w:rFonts w:ascii="Times New Roman" w:hAnsi="Times New Roman" w:cs="Times New Roman"/>
          <w:sz w:val="24"/>
        </w:rPr>
        <w:t>,</w:t>
      </w:r>
      <w:r w:rsidRPr="001110F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&amp; </w:t>
      </w:r>
      <w:r w:rsidRPr="001110FD">
        <w:rPr>
          <w:rFonts w:ascii="Times New Roman" w:hAnsi="Times New Roman" w:cs="Times New Roman"/>
          <w:sz w:val="24"/>
        </w:rPr>
        <w:t>Ward,</w:t>
      </w:r>
      <w:r w:rsidRPr="002046E2">
        <w:rPr>
          <w:rFonts w:ascii="Times New Roman" w:hAnsi="Times New Roman" w:cs="Times New Roman"/>
          <w:sz w:val="24"/>
        </w:rPr>
        <w:t xml:space="preserve"> </w:t>
      </w:r>
      <w:r w:rsidRPr="001110FD">
        <w:rPr>
          <w:rFonts w:ascii="Times New Roman" w:hAnsi="Times New Roman" w:cs="Times New Roman"/>
          <w:sz w:val="24"/>
        </w:rPr>
        <w:t xml:space="preserve">S. C. </w:t>
      </w:r>
      <w:r w:rsidRPr="008D7E0B">
        <w:rPr>
          <w:rFonts w:ascii="Times New Roman" w:hAnsi="Times New Roman" w:cs="Times New Roman"/>
          <w:sz w:val="24"/>
        </w:rPr>
        <w:t>The Cambridge Structural Database. </w:t>
      </w:r>
      <w:r w:rsidRPr="008D7E0B">
        <w:rPr>
          <w:rFonts w:ascii="Times New Roman" w:hAnsi="Times New Roman" w:cs="Times New Roman"/>
          <w:i/>
          <w:sz w:val="24"/>
        </w:rPr>
        <w:t xml:space="preserve"> </w:t>
      </w:r>
      <w:r w:rsidRPr="001110FD">
        <w:rPr>
          <w:rFonts w:ascii="Times New Roman" w:hAnsi="Times New Roman" w:cs="Times New Roman"/>
          <w:i/>
          <w:sz w:val="24"/>
        </w:rPr>
        <w:t>Acta Cryst.</w:t>
      </w:r>
      <w:r w:rsidRPr="001110FD">
        <w:rPr>
          <w:rFonts w:ascii="Times New Roman" w:hAnsi="Times New Roman" w:cs="Times New Roman"/>
          <w:sz w:val="24"/>
        </w:rPr>
        <w:t xml:space="preserve"> </w:t>
      </w:r>
      <w:r w:rsidRPr="001110FD">
        <w:rPr>
          <w:rFonts w:ascii="Times New Roman" w:hAnsi="Times New Roman" w:cs="Times New Roman"/>
          <w:i/>
          <w:sz w:val="24"/>
        </w:rPr>
        <w:t>B72</w:t>
      </w:r>
      <w:r w:rsidRPr="001110FD">
        <w:rPr>
          <w:rFonts w:ascii="Times New Roman" w:hAnsi="Times New Roman" w:cs="Times New Roman"/>
          <w:sz w:val="24"/>
        </w:rPr>
        <w:t>, 171–179, (2016).</w:t>
      </w:r>
    </w:p>
    <w:p w14:paraId="0087B3B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Textkörper CS)">
    <w:altName w:val="Times New Roman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69358C"/>
    <w:multiLevelType w:val="hybridMultilevel"/>
    <w:tmpl w:val="7980997C"/>
    <w:lvl w:ilvl="0" w:tplc="8382BBE4">
      <w:start w:val="5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4335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A3B"/>
    <w:rsid w:val="003C2EF4"/>
    <w:rsid w:val="00827A3B"/>
    <w:rsid w:val="009D2CE8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14B77"/>
  <w15:chartTrackingRefBased/>
  <w15:docId w15:val="{FA3506FC-06E5-4EDD-A7FC-1ED1AFC93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A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A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A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A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A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A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A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A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A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A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A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A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A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A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A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A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A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A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72"/>
    <w:qFormat/>
    <w:rsid w:val="00827A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A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A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A3B"/>
    <w:rPr>
      <w:b/>
      <w:bCs/>
      <w:smallCaps/>
      <w:color w:val="0F4761" w:themeColor="accent1" w:themeShade="BF"/>
      <w:spacing w:val="5"/>
    </w:rPr>
  </w:style>
  <w:style w:type="paragraph" w:customStyle="1" w:styleId="References">
    <w:name w:val="References"/>
    <w:basedOn w:val="Normal"/>
    <w:qFormat/>
    <w:rsid w:val="00827A3B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kern w:val="0"/>
      <w:sz w:val="14"/>
      <w:szCs w:val="14"/>
      <w:lang w:val="en-GB" w:eastAsia="ja-JP"/>
      <w14:ligatures w14:val="none"/>
    </w:rPr>
  </w:style>
  <w:style w:type="paragraph" w:customStyle="1" w:styleId="referencesni">
    <w:name w:val="references_ni"/>
    <w:basedOn w:val="References"/>
    <w:next w:val="Normal"/>
    <w:qFormat/>
    <w:rsid w:val="00827A3B"/>
    <w:pPr>
      <w:spacing w:line="252" w:lineRule="auto"/>
      <w:ind w:left="284" w:hanging="284"/>
      <w:jc w:val="left"/>
    </w:pPr>
    <w:rPr>
      <w:rFonts w:asciiTheme="minorHAnsi" w:eastAsiaTheme="minorHAnsi" w:hAnsiTheme="minorHAnsi" w:cs="Times New Roman (Textkörper CS)"/>
      <w:sz w:val="2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E732F-F382-490B-98E3-5A233843A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313</Words>
  <Characters>1790</Characters>
  <Application>Microsoft Office Word</Application>
  <DocSecurity>0</DocSecurity>
  <Lines>14</Lines>
  <Paragraphs>4</Paragraphs>
  <ScaleCrop>false</ScaleCrop>
  <Company>Springer Nature</Company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2024-12-12T05:54:00Z</dcterms:created>
  <dcterms:modified xsi:type="dcterms:W3CDTF">2024-12-12T05:56:00Z</dcterms:modified>
</cp:coreProperties>
</file>