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410785" w14:textId="77777777" w:rsidR="00DC132F" w:rsidRPr="00DC132F" w:rsidRDefault="00DC132F" w:rsidP="00DC132F">
      <w:pPr>
        <w:pStyle w:val="Titolo1"/>
        <w:rPr>
          <w:lang w:val="en-US"/>
        </w:rPr>
      </w:pPr>
      <w:r w:rsidRPr="00DC132F">
        <w:rPr>
          <w:lang w:val="en-US"/>
        </w:rPr>
        <w:t>Appendix</w:t>
      </w:r>
    </w:p>
    <w:p w14:paraId="0FCA4C91" w14:textId="77777777" w:rsidR="00DC132F" w:rsidRDefault="00DC132F" w:rsidP="00DC132F">
      <w:pPr>
        <w:pStyle w:val="FirstParagraph"/>
      </w:pPr>
      <w:r>
        <w:t>A relevant aspect of spline fitting is the selection of the basis function, the selection of the position and the number of knots. Usually, the number and the position of the knots is specified considering previous knowledge in the field. When this is not possible, the number of the knots is directly inserted into the model selection algorithm, while the position is pre-specified at quantiles of the distribution of the event-times of the primary outcome.</w:t>
      </w:r>
    </w:p>
    <w:p w14:paraId="5EE80295" w14:textId="77777777" w:rsidR="00DC132F" w:rsidRPr="00DC132F" w:rsidRDefault="00DC132F" w:rsidP="00DC132F">
      <w:pPr>
        <w:pStyle w:val="Titolo3"/>
        <w:rPr>
          <w:lang w:val="en-US"/>
        </w:rPr>
      </w:pPr>
      <w:bookmarkStart w:id="0" w:name="b-splines"/>
      <w:r w:rsidRPr="00DC132F">
        <w:rPr>
          <w:i/>
          <w:iCs/>
          <w:lang w:val="en-US"/>
        </w:rPr>
        <w:t>B-splines</w:t>
      </w:r>
    </w:p>
    <w:p w14:paraId="05B7F8E8" w14:textId="77777777" w:rsidR="00DC132F" w:rsidRDefault="00DC132F" w:rsidP="00DC132F">
      <w:pPr>
        <w:pStyle w:val="FirstParagraph"/>
      </w:pPr>
      <w:r>
        <w:t xml:space="preserve">B-splines are defined by a set of </w:t>
      </w:r>
      <w:proofErr w:type="spellStart"/>
      <w:r>
        <w:t>basis</w:t>
      </w:r>
      <w:proofErr w:type="spellEnd"/>
      <w:r>
        <w:t xml:space="preserve"> functions. The degree of the B-spline (often denoted as </w:t>
      </w:r>
      <m:oMath>
        <m:r>
          <w:rPr>
            <w:rFonts w:ascii="Cambria Math" w:hAnsi="Cambria Math"/>
          </w:rPr>
          <m:t>p</m:t>
        </m:r>
      </m:oMath>
      <w:r>
        <w:t xml:space="preserve">) determines the order of these basis functions. The most used B-splines are cubic (degree </w:t>
      </w:r>
      <m:oMath>
        <m:r>
          <w:rPr>
            <w:rFonts w:ascii="Cambria Math" w:hAnsi="Cambria Math"/>
          </w:rPr>
          <m:t>p</m:t>
        </m:r>
        <m:r>
          <m:rPr>
            <m:sty m:val="p"/>
          </m:rPr>
          <w:rPr>
            <w:rFonts w:ascii="Cambria Math" w:hAnsi="Cambria Math"/>
          </w:rPr>
          <m:t>=</m:t>
        </m:r>
        <m:r>
          <w:rPr>
            <w:rFonts w:ascii="Cambria Math" w:hAnsi="Cambria Math"/>
          </w:rPr>
          <m:t>3</m:t>
        </m:r>
      </m:oMath>
      <w:r>
        <w:t>)</w:t>
      </w:r>
      <w:proofErr w:type="gramStart"/>
      <w:r>
        <w:t>. )</w:t>
      </w:r>
      <w:proofErr w:type="gramEnd"/>
      <w:r>
        <w:t>. A B-spline curve is determined through a unique vector of time-points $\bf{t}$</w:t>
      </w:r>
      <w:r>
        <w:rPr>
          <w:b/>
          <w:bCs/>
        </w:rPr>
        <w:t>,</w:t>
      </w:r>
      <w:r>
        <w:t xml:space="preserve"> called knots, which identify the function domains of the polynomial segments. Essentially, the dimension of the knot vector determines the flexibility of the spline. A higher number of knots lead to higher flexibility of the curve.</w:t>
      </w:r>
    </w:p>
    <w:p w14:paraId="7DD48989" w14:textId="77777777" w:rsidR="00DC132F" w:rsidRDefault="00DC132F" w:rsidP="00DC132F">
      <w:pPr>
        <w:pStyle w:val="Corpotesto"/>
      </w:pPr>
      <w:r>
        <w:t xml:space="preserve">A B-spline function </w:t>
      </w:r>
      <m:oMath>
        <m:r>
          <w:rPr>
            <w:rFonts w:ascii="Cambria Math" w:hAnsi="Cambria Math"/>
          </w:rPr>
          <m:t>B</m:t>
        </m:r>
        <m:d>
          <m:dPr>
            <m:ctrlPr>
              <w:rPr>
                <w:rFonts w:ascii="Cambria Math" w:hAnsi="Cambria Math"/>
              </w:rPr>
            </m:ctrlPr>
          </m:dPr>
          <m:e>
            <m:r>
              <w:rPr>
                <w:rFonts w:ascii="Cambria Math" w:hAnsi="Cambria Math"/>
              </w:rPr>
              <m:t>t</m:t>
            </m:r>
          </m:e>
        </m:d>
      </m:oMath>
      <w:r>
        <w:t xml:space="preserve"> of degree </w:t>
      </w:r>
      <m:oMath>
        <m:r>
          <w:rPr>
            <w:rFonts w:ascii="Cambria Math" w:hAnsi="Cambria Math"/>
          </w:rPr>
          <m:t>p</m:t>
        </m:r>
      </m:oMath>
      <w:r>
        <w:t xml:space="preserve"> with </w:t>
      </w:r>
      <m:oMath>
        <m:sSub>
          <m:sSubPr>
            <m:ctrlPr>
              <w:rPr>
                <w:rFonts w:ascii="Cambria Math" w:hAnsi="Cambria Math"/>
              </w:rPr>
            </m:ctrlPr>
          </m:sSubPr>
          <m:e>
            <m:r>
              <w:rPr>
                <w:rFonts w:ascii="Cambria Math" w:hAnsi="Cambria Math"/>
              </w:rPr>
              <m:t>N</m:t>
            </m:r>
          </m:e>
          <m:sub>
            <m:r>
              <w:rPr>
                <w:rFonts w:ascii="Cambria Math" w:hAnsi="Cambria Math"/>
              </w:rPr>
              <m:t>kn</m:t>
            </m:r>
          </m:sub>
        </m:sSub>
      </m:oMath>
      <w:r>
        <w:t xml:space="preserve"> interior knots is a linear combination of the K+p basis functions:</w:t>
      </w:r>
    </w:p>
    <w:p w14:paraId="5DAD41E2" w14:textId="77777777" w:rsidR="00DC132F" w:rsidRDefault="00DC132F" w:rsidP="00DC132F">
      <w:pPr>
        <w:pStyle w:val="Corpotesto"/>
      </w:pPr>
      <m:oMathPara>
        <m:oMathParaPr>
          <m:jc m:val="center"/>
        </m:oMathParaPr>
        <m:oMath>
          <m:r>
            <w:rPr>
              <w:rFonts w:ascii="Cambria Math" w:hAnsi="Cambria Math"/>
            </w:rPr>
            <m:t>B</m:t>
          </m:r>
          <m:d>
            <m:dPr>
              <m:ctrlPr>
                <w:rPr>
                  <w:rFonts w:ascii="Cambria Math" w:hAnsi="Cambria Math"/>
                </w:rPr>
              </m:ctrlPr>
            </m:dPr>
            <m:e>
              <m:r>
                <w:rPr>
                  <w:rFonts w:ascii="Cambria Math" w:hAnsi="Cambria Math"/>
                </w:rPr>
                <m:t>t</m:t>
              </m:r>
            </m:e>
          </m:d>
          <m:r>
            <m:rPr>
              <m:sty m:val="p"/>
            </m:rPr>
            <w:rPr>
              <w:rFonts w:ascii="Cambria Math" w:hAnsi="Cambria Math"/>
            </w:rPr>
            <m:t>=</m:t>
          </m:r>
          <m:nary>
            <m:naryPr>
              <m:chr m:val="∑"/>
              <m:limLoc m:val="undOvr"/>
              <m:ctrlPr>
                <w:rPr>
                  <w:rFonts w:ascii="Cambria Math" w:hAnsi="Cambria Math"/>
                </w:rPr>
              </m:ctrlPr>
            </m:naryPr>
            <m:sub>
              <m:r>
                <w:rPr>
                  <w:rFonts w:ascii="Cambria Math" w:hAnsi="Cambria Math"/>
                </w:rPr>
                <m:t>j</m:t>
              </m:r>
              <m:r>
                <m:rPr>
                  <m:sty m:val="p"/>
                </m:rPr>
                <w:rPr>
                  <w:rFonts w:ascii="Cambria Math" w:hAnsi="Cambria Math"/>
                </w:rPr>
                <m:t>=-</m:t>
              </m:r>
              <m:r>
                <w:rPr>
                  <w:rFonts w:ascii="Cambria Math" w:hAnsi="Cambria Math"/>
                </w:rPr>
                <m:t>p</m:t>
              </m:r>
            </m:sub>
            <m:sup>
              <m:sSub>
                <m:sSubPr>
                  <m:ctrlPr>
                    <w:rPr>
                      <w:rFonts w:ascii="Cambria Math" w:hAnsi="Cambria Math"/>
                    </w:rPr>
                  </m:ctrlPr>
                </m:sSubPr>
                <m:e>
                  <m:r>
                    <w:rPr>
                      <w:rFonts w:ascii="Cambria Math" w:hAnsi="Cambria Math"/>
                    </w:rPr>
                    <m:t>N</m:t>
                  </m:r>
                </m:e>
                <m:sub>
                  <m:r>
                    <w:rPr>
                      <w:rFonts w:ascii="Cambria Math" w:hAnsi="Cambria Math"/>
                    </w:rPr>
                    <m:t>kn</m:t>
                  </m:r>
                </m:sub>
              </m:sSub>
            </m:sup>
            <m:e>
              <m:sSub>
                <m:sSubPr>
                  <m:ctrlPr>
                    <w:rPr>
                      <w:rFonts w:ascii="Cambria Math" w:hAnsi="Cambria Math"/>
                    </w:rPr>
                  </m:ctrlPr>
                </m:sSubPr>
                <m:e>
                  <m:r>
                    <w:rPr>
                      <w:rFonts w:ascii="Cambria Math" w:hAnsi="Cambria Math"/>
                    </w:rPr>
                    <m:t>α</m:t>
                  </m:r>
                </m:e>
                <m:sub>
                  <m:r>
                    <w:rPr>
                      <w:rFonts w:ascii="Cambria Math" w:hAnsi="Cambria Math"/>
                    </w:rPr>
                    <m:t>j</m:t>
                  </m:r>
                </m:sub>
              </m:sSub>
            </m:e>
          </m:nary>
          <m:sSub>
            <m:sSubPr>
              <m:ctrlPr>
                <w:rPr>
                  <w:rFonts w:ascii="Cambria Math" w:hAnsi="Cambria Math"/>
                </w:rPr>
              </m:ctrlPr>
            </m:sSubPr>
            <m:e>
              <m:r>
                <w:rPr>
                  <w:rFonts w:ascii="Cambria Math" w:hAnsi="Cambria Math"/>
                </w:rPr>
                <m:t>B</m:t>
              </m:r>
            </m:e>
            <m:sub>
              <m:r>
                <w:rPr>
                  <w:rFonts w:ascii="Cambria Math" w:hAnsi="Cambria Math"/>
                </w:rPr>
                <m:t>j</m:t>
              </m:r>
              <m:r>
                <m:rPr>
                  <m:sty m:val="p"/>
                </m:rPr>
                <w:rPr>
                  <w:rFonts w:ascii="Cambria Math" w:hAnsi="Cambria Math"/>
                </w:rPr>
                <m:t>,</m:t>
              </m:r>
              <m:r>
                <w:rPr>
                  <w:rFonts w:ascii="Cambria Math" w:hAnsi="Cambria Math"/>
                </w:rPr>
                <m:t>p</m:t>
              </m:r>
            </m:sub>
          </m:sSub>
          <m:d>
            <m:dPr>
              <m:ctrlPr>
                <w:rPr>
                  <w:rFonts w:ascii="Cambria Math" w:hAnsi="Cambria Math"/>
                </w:rPr>
              </m:ctrlPr>
            </m:dPr>
            <m:e>
              <m:r>
                <w:rPr>
                  <w:rFonts w:ascii="Cambria Math" w:hAnsi="Cambria Math"/>
                </w:rPr>
                <m:t>t</m:t>
              </m:r>
            </m:e>
          </m:d>
          <m:r>
            <m:rPr>
              <m:sty m:val="p"/>
            </m:rPr>
            <w:rPr>
              <w:rFonts w:ascii="Cambria Math" w:hAnsi="Cambria Math"/>
            </w:rPr>
            <m:t>,</m:t>
          </m:r>
          <m:r>
            <w:rPr>
              <w:rFonts w:ascii="Cambria Math" w:hAnsi="Cambria Math"/>
            </w:rPr>
            <m:t>  t</m:t>
          </m:r>
          <m:r>
            <m:rPr>
              <m:sty m:val="p"/>
            </m:rP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r>
                    <m:rPr>
                      <m:sty m:val="p"/>
                    </m:rPr>
                    <w:rPr>
                      <w:rFonts w:ascii="Cambria Math" w:hAnsi="Cambria Math"/>
                    </w:rPr>
                    <m:t>-</m:t>
                  </m:r>
                  <m:r>
                    <w:rPr>
                      <w:rFonts w:ascii="Cambria Math" w:hAnsi="Cambria Math"/>
                    </w:rPr>
                    <m:t>1</m:t>
                  </m:r>
                </m:sub>
              </m:sSub>
            </m:e>
          </m:d>
        </m:oMath>
      </m:oMathPara>
    </w:p>
    <w:p w14:paraId="5AC55158" w14:textId="77777777" w:rsidR="00DC132F" w:rsidRDefault="00DC132F" w:rsidP="00DC132F">
      <w:pPr>
        <w:pStyle w:val="FirstParagraph"/>
      </w:pPr>
      <w:r>
        <w:t xml:space="preserve">B-splines have the property of local support. Considering a knot </w:t>
      </w:r>
      <m:oMath>
        <m:sSub>
          <m:sSubPr>
            <m:ctrlPr>
              <w:rPr>
                <w:rFonts w:ascii="Cambria Math" w:hAnsi="Cambria Math"/>
              </w:rPr>
            </m:ctrlPr>
          </m:sSubPr>
          <m:e>
            <m:r>
              <w:rPr>
                <w:rFonts w:ascii="Cambria Math" w:hAnsi="Cambria Math"/>
              </w:rPr>
              <m:t>t</m:t>
            </m:r>
          </m:e>
          <m:sub>
            <m:r>
              <w:rPr>
                <w:rFonts w:ascii="Cambria Math" w:hAnsi="Cambria Math"/>
              </w:rPr>
              <m:t>k</m:t>
            </m:r>
          </m:sub>
        </m:sSub>
      </m:oMath>
      <w:r>
        <w:t xml:space="preserve"> each basis spans on </w:t>
      </w:r>
      <m:oMath>
        <m:sSub>
          <m:sSubPr>
            <m:ctrlPr>
              <w:rPr>
                <w:rFonts w:ascii="Cambria Math" w:hAnsi="Cambria Math"/>
              </w:rPr>
            </m:ctrlPr>
          </m:sSubPr>
          <m:e>
            <m:r>
              <w:rPr>
                <w:rFonts w:ascii="Cambria Math" w:hAnsi="Cambria Math"/>
              </w:rPr>
              <m:t>t</m:t>
            </m:r>
          </m:e>
          <m:sub>
            <m:r>
              <w:rPr>
                <w:rFonts w:ascii="Cambria Math" w:hAnsi="Cambria Math"/>
              </w:rPr>
              <m:t>k</m:t>
            </m:r>
            <m:r>
              <m:rPr>
                <m:sty m:val="p"/>
              </m:rPr>
              <w:rPr>
                <w:rFonts w:ascii="Cambria Math" w:hAnsi="Cambria Math"/>
              </w:rPr>
              <m:t>-</m:t>
            </m:r>
            <m:r>
              <w:rPr>
                <w:rFonts w:ascii="Cambria Math" w:hAnsi="Cambria Math"/>
              </w:rPr>
              <m:t>2</m:t>
            </m:r>
          </m:sub>
        </m:sSub>
      </m:oMath>
      <w:r>
        <w:t xml:space="preserve"> to </w:t>
      </w:r>
      <m:oMath>
        <m:sSub>
          <m:sSubPr>
            <m:ctrlPr>
              <w:rPr>
                <w:rFonts w:ascii="Cambria Math" w:hAnsi="Cambria Math"/>
              </w:rPr>
            </m:ctrlPr>
          </m:sSubPr>
          <m:e>
            <m:r>
              <w:rPr>
                <w:rFonts w:ascii="Cambria Math" w:hAnsi="Cambria Math"/>
              </w:rPr>
              <m:t>t</m:t>
            </m:r>
          </m:e>
          <m:sub>
            <m:r>
              <w:rPr>
                <w:rFonts w:ascii="Cambria Math" w:hAnsi="Cambria Math"/>
              </w:rPr>
              <m:t>k</m:t>
            </m:r>
            <m:r>
              <m:rPr>
                <m:sty m:val="p"/>
              </m:rPr>
              <w:rPr>
                <w:rFonts w:ascii="Cambria Math" w:hAnsi="Cambria Math"/>
              </w:rPr>
              <m:t>+</m:t>
            </m:r>
            <m:r>
              <w:rPr>
                <w:rFonts w:ascii="Cambria Math" w:hAnsi="Cambria Math"/>
              </w:rPr>
              <m:t>2</m:t>
            </m:r>
          </m:sub>
        </m:sSub>
      </m:oMath>
      <w:r>
        <w:t>. For each datapoint the sum of the basis functions is equal to 1.</w:t>
      </w:r>
    </w:p>
    <w:bookmarkEnd w:id="0"/>
    <w:p w14:paraId="5ECE796E" w14:textId="77777777" w:rsidR="00DC132F" w:rsidRPr="00DC132F" w:rsidRDefault="00DC132F" w:rsidP="00DC132F">
      <w:pPr>
        <w:pStyle w:val="Titolo3"/>
        <w:rPr>
          <w:lang w:val="en-US"/>
        </w:rPr>
      </w:pPr>
      <w:r w:rsidRPr="00DC132F">
        <w:rPr>
          <w:i/>
          <w:iCs/>
          <w:lang w:val="en-US"/>
        </w:rPr>
        <w:t>Restricted cubic splines</w:t>
      </w:r>
    </w:p>
    <w:p w14:paraId="32155059" w14:textId="77777777" w:rsidR="00DC132F" w:rsidRDefault="00DC132F" w:rsidP="00DC132F">
      <w:pPr>
        <w:pStyle w:val="FirstParagraph"/>
      </w:pPr>
      <w:r>
        <w:t>Restricted cubic splines consist in truncated power basis function. Basis functions are defined as follows:</w:t>
      </w:r>
    </w:p>
    <w:p w14:paraId="76B82292" w14:textId="77777777" w:rsidR="00DC132F" w:rsidRDefault="00DC132F" w:rsidP="00DC132F">
      <w:pPr>
        <w:pStyle w:val="Corpotesto"/>
      </w:pPr>
      <m:oMathPara>
        <m:oMathParaPr>
          <m:jc m:val="center"/>
        </m:oMathParaPr>
        <m:oMath>
          <m:sSub>
            <m:sSubPr>
              <m:ctrlPr>
                <w:rPr>
                  <w:rFonts w:ascii="Cambria Math" w:hAnsi="Cambria Math"/>
                </w:rPr>
              </m:ctrlPr>
            </m:sSubPr>
            <m:e>
              <m:r>
                <w:rPr>
                  <w:rFonts w:ascii="Cambria Math" w:hAnsi="Cambria Math"/>
                </w:rPr>
                <m:t>B</m:t>
              </m:r>
            </m:e>
            <m:sub>
              <m:r>
                <w:rPr>
                  <w:rFonts w:ascii="Cambria Math" w:hAnsi="Cambria Math"/>
                </w:rPr>
                <m:t>1</m:t>
              </m:r>
            </m:sub>
          </m:sSub>
          <m:d>
            <m:dPr>
              <m:ctrlPr>
                <w:rPr>
                  <w:rFonts w:ascii="Cambria Math" w:hAnsi="Cambria Math"/>
                </w:rPr>
              </m:ctrlPr>
            </m:dPr>
            <m:e>
              <m:r>
                <w:rPr>
                  <w:rFonts w:ascii="Cambria Math" w:hAnsi="Cambria Math"/>
                </w:rPr>
                <m:t>x</m:t>
              </m:r>
            </m:e>
          </m:d>
          <m:r>
            <m:rPr>
              <m:sty m:val="p"/>
            </m:rPr>
            <w:rPr>
              <w:rFonts w:ascii="Cambria Math" w:hAnsi="Cambria Math"/>
            </w:rPr>
            <m:t>=</m:t>
          </m:r>
          <m:r>
            <w:rPr>
              <w:rFonts w:ascii="Cambria Math" w:hAnsi="Cambria Math"/>
            </w:rPr>
            <m:t>1</m:t>
          </m:r>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2</m:t>
              </m:r>
            </m:sub>
          </m:sSub>
          <m:d>
            <m:dPr>
              <m:ctrlPr>
                <w:rPr>
                  <w:rFonts w:ascii="Cambria Math" w:hAnsi="Cambria Math"/>
                </w:rPr>
              </m:ctrlPr>
            </m:dPr>
            <m:e>
              <m:r>
                <w:rPr>
                  <w:rFonts w:ascii="Cambria Math" w:hAnsi="Cambria Math"/>
                </w:rPr>
                <m:t>x</m:t>
              </m:r>
            </m:e>
          </m:d>
          <m:r>
            <m:rPr>
              <m:sty m:val="p"/>
            </m:rPr>
            <w:rPr>
              <w:rFonts w:ascii="Cambria Math" w:hAnsi="Cambria Math"/>
            </w:rPr>
            <m:t>=</m:t>
          </m:r>
          <m:r>
            <w:rPr>
              <w:rFonts w:ascii="Cambria Math" w:hAnsi="Cambria Math"/>
            </w:rPr>
            <m:t>x</m:t>
          </m:r>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d</m:t>
              </m:r>
              <m:r>
                <m:rPr>
                  <m:sty m:val="p"/>
                </m:rPr>
                <w:rPr>
                  <w:rFonts w:ascii="Cambria Math" w:hAnsi="Cambria Math"/>
                </w:rPr>
                <m:t>+</m:t>
              </m:r>
              <m:r>
                <w:rPr>
                  <w:rFonts w:ascii="Cambria Math" w:hAnsi="Cambria Math"/>
                </w:rPr>
                <m:t>1</m:t>
              </m:r>
            </m:sub>
          </m:sSub>
          <m:d>
            <m:dPr>
              <m:ctrlPr>
                <w:rPr>
                  <w:rFonts w:ascii="Cambria Math" w:hAnsi="Cambria Math"/>
                </w:rPr>
              </m:ctrlPr>
            </m:dPr>
            <m:e>
              <m:r>
                <w:rPr>
                  <w:rFonts w:ascii="Cambria Math" w:hAnsi="Cambria Math"/>
                </w:rPr>
                <m:t>x</m:t>
              </m:r>
            </m:e>
          </m:d>
          <m:r>
            <m:rPr>
              <m:sty m:val="p"/>
            </m:rP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d</m:t>
              </m:r>
            </m:sup>
          </m:sSup>
        </m:oMath>
      </m:oMathPara>
    </w:p>
    <w:p w14:paraId="11133CBE" w14:textId="77777777" w:rsidR="00DC132F" w:rsidRDefault="00DC132F" w:rsidP="00DC132F">
      <w:pPr>
        <w:pStyle w:val="FirstParagraph"/>
      </w:pPr>
      <m:oMathPara>
        <m:oMathParaPr>
          <m:jc m:val="center"/>
        </m:oMathParaPr>
        <m:oMath>
          <m:sSub>
            <m:sSubPr>
              <m:ctrlPr>
                <w:rPr>
                  <w:rFonts w:ascii="Cambria Math" w:hAnsi="Cambria Math"/>
                </w:rPr>
              </m:ctrlPr>
            </m:sSubPr>
            <m:e>
              <m:r>
                <w:rPr>
                  <w:rFonts w:ascii="Cambria Math" w:hAnsi="Cambria Math"/>
                </w:rPr>
                <m:t>B</m:t>
              </m:r>
            </m:e>
            <m:sub>
              <m:r>
                <w:rPr>
                  <w:rFonts w:ascii="Cambria Math" w:hAnsi="Cambria Math"/>
                </w:rPr>
                <m:t>d</m:t>
              </m:r>
              <m:r>
                <m:rPr>
                  <m:sty m:val="p"/>
                </m:rPr>
                <w:rPr>
                  <w:rFonts w:ascii="Cambria Math" w:hAnsi="Cambria Math"/>
                </w:rPr>
                <m:t>+</m:t>
              </m:r>
              <m:r>
                <w:rPr>
                  <w:rFonts w:ascii="Cambria Math" w:hAnsi="Cambria Math"/>
                </w:rPr>
                <m:t>2</m:t>
              </m:r>
            </m:sub>
          </m:sSub>
          <m:d>
            <m:dPr>
              <m:ctrlPr>
                <w:rPr>
                  <w:rFonts w:ascii="Cambria Math" w:hAnsi="Cambria Math"/>
                </w:rPr>
              </m:ctrlPr>
            </m:dPr>
            <m:e>
              <m:r>
                <w:rPr>
                  <w:rFonts w:ascii="Cambria Math" w:hAnsi="Cambria Math"/>
                </w:rPr>
                <m:t>x</m:t>
              </m:r>
            </m:e>
          </m:d>
          <m:r>
            <m:rPr>
              <m:sty m:val="p"/>
            </m:rPr>
            <w:rPr>
              <w:rFonts w:ascii="Cambria Math" w:hAnsi="Cambria Math"/>
            </w:rPr>
            <m:t>=</m:t>
          </m:r>
          <m:sSubSup>
            <m:sSubSupPr>
              <m:ctrlPr>
                <w:rPr>
                  <w:rFonts w:ascii="Cambria Math" w:hAnsi="Cambria Math"/>
                </w:rPr>
              </m:ctrlPr>
            </m:sSubSupPr>
            <m:e>
              <m:d>
                <m:dPr>
                  <m:ctrlPr>
                    <w:rPr>
                      <w:rFonts w:ascii="Cambria Math" w:hAnsi="Cambria Math"/>
                    </w:rPr>
                  </m:ctrlPr>
                </m:dPr>
                <m:e>
                  <m:r>
                    <w:rPr>
                      <w:rFonts w:ascii="Cambria Math" w:hAnsi="Cambria Math"/>
                    </w:rPr>
                    <m:t>x</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1</m:t>
                      </m:r>
                    </m:sub>
                  </m:sSub>
                </m:e>
              </m:d>
            </m:e>
            <m:sub>
              <m:r>
                <m:rPr>
                  <m:sty m:val="p"/>
                </m:rPr>
                <w:rPr>
                  <w:rFonts w:ascii="Cambria Math" w:hAnsi="Cambria Math"/>
                </w:rPr>
                <m:t>+</m:t>
              </m:r>
            </m:sub>
            <m:sup>
              <m:r>
                <w:rPr>
                  <w:rFonts w:ascii="Cambria Math" w:hAnsi="Cambria Math"/>
                </w:rPr>
                <m:t>d</m:t>
              </m:r>
            </m:sup>
          </m:sSubSup>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K</m:t>
              </m:r>
              <m:r>
                <m:rPr>
                  <m:sty m:val="p"/>
                </m:rPr>
                <w:rPr>
                  <w:rFonts w:ascii="Cambria Math" w:hAnsi="Cambria Math"/>
                </w:rPr>
                <m:t>+</m:t>
              </m:r>
              <m:r>
                <w:rPr>
                  <w:rFonts w:ascii="Cambria Math" w:hAnsi="Cambria Math"/>
                </w:rPr>
                <m:t>d</m:t>
              </m:r>
              <m:r>
                <m:rPr>
                  <m:sty m:val="p"/>
                </m:rPr>
                <w:rPr>
                  <w:rFonts w:ascii="Cambria Math" w:hAnsi="Cambria Math"/>
                </w:rPr>
                <m:t>+</m:t>
              </m:r>
              <m:r>
                <w:rPr>
                  <w:rFonts w:ascii="Cambria Math" w:hAnsi="Cambria Math"/>
                </w:rPr>
                <m:t>1</m:t>
              </m:r>
            </m:sub>
          </m:sSub>
          <m:r>
            <m:rPr>
              <m:sty m:val="p"/>
            </m:rPr>
            <w:rPr>
              <w:rFonts w:ascii="Cambria Math" w:hAnsi="Cambria Math"/>
            </w:rPr>
            <m:t>=</m:t>
          </m:r>
          <m:sSubSup>
            <m:sSubSupPr>
              <m:ctrlPr>
                <w:rPr>
                  <w:rFonts w:ascii="Cambria Math" w:hAnsi="Cambria Math"/>
                </w:rPr>
              </m:ctrlPr>
            </m:sSubSupPr>
            <m:e>
              <m:d>
                <m:dPr>
                  <m:ctrlPr>
                    <w:rPr>
                      <w:rFonts w:ascii="Cambria Math" w:hAnsi="Cambria Math"/>
                    </w:rPr>
                  </m:ctrlPr>
                </m:dPr>
                <m:e>
                  <m:r>
                    <w:rPr>
                      <w:rFonts w:ascii="Cambria Math" w:hAnsi="Cambria Math"/>
                    </w:rPr>
                    <m:t>x</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e>
              </m:d>
            </m:e>
            <m:sub>
              <m:r>
                <m:rPr>
                  <m:sty m:val="p"/>
                </m:rPr>
                <w:rPr>
                  <w:rFonts w:ascii="Cambria Math" w:hAnsi="Cambria Math"/>
                </w:rPr>
                <m:t>+</m:t>
              </m:r>
            </m:sub>
            <m:sup>
              <m:r>
                <w:rPr>
                  <w:rFonts w:ascii="Cambria Math" w:hAnsi="Cambria Math"/>
                </w:rPr>
                <m:t>d</m:t>
              </m:r>
            </m:sup>
          </m:sSubSup>
        </m:oMath>
      </m:oMathPara>
    </w:p>
    <w:p w14:paraId="2A0E08AF" w14:textId="77777777" w:rsidR="00DC132F" w:rsidRDefault="00DC132F" w:rsidP="00DC132F">
      <w:pPr>
        <w:pStyle w:val="FirstParagraph"/>
      </w:pPr>
      <w:r>
        <w:t>The restricted cubic splines have linearity constraints before the first and after the last knot of the knot vector K. The constraints are appealing in the specification of the baseline risk function, as they mitigate possible non-monotonic estimation of the functions towards the end of the follow-up. Due to the constraints applied the number of the bases are K-1.</w:t>
      </w:r>
    </w:p>
    <w:p w14:paraId="6018149D" w14:textId="77777777" w:rsidR="00C46899" w:rsidRPr="00DC132F" w:rsidRDefault="00C46899">
      <w:pPr>
        <w:rPr>
          <w:lang w:val="en-US"/>
        </w:rPr>
      </w:pPr>
    </w:p>
    <w:sectPr w:rsidR="00C46899" w:rsidRPr="00DC132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3"/>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32F"/>
    <w:rsid w:val="001D29F5"/>
    <w:rsid w:val="002B2571"/>
    <w:rsid w:val="00510ECE"/>
    <w:rsid w:val="00762F46"/>
    <w:rsid w:val="00C46899"/>
    <w:rsid w:val="00D25215"/>
    <w:rsid w:val="00DC13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5022B1C"/>
  <w15:chartTrackingRefBased/>
  <w15:docId w15:val="{01D9EC6F-F7CD-2749-9558-8B6F362E2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DC13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C13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DC132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C132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C132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C132F"/>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C132F"/>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C132F"/>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C132F"/>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C132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C132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DC132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C132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C132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C132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C132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C132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C132F"/>
    <w:rPr>
      <w:rFonts w:eastAsiaTheme="majorEastAsia" w:cstheme="majorBidi"/>
      <w:color w:val="272727" w:themeColor="text1" w:themeTint="D8"/>
    </w:rPr>
  </w:style>
  <w:style w:type="paragraph" w:styleId="Titolo">
    <w:name w:val="Title"/>
    <w:basedOn w:val="Normale"/>
    <w:next w:val="Normale"/>
    <w:link w:val="TitoloCarattere"/>
    <w:uiPriority w:val="10"/>
    <w:qFormat/>
    <w:rsid w:val="00DC132F"/>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C132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C132F"/>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C132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C132F"/>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DC132F"/>
    <w:rPr>
      <w:i/>
      <w:iCs/>
      <w:color w:val="404040" w:themeColor="text1" w:themeTint="BF"/>
    </w:rPr>
  </w:style>
  <w:style w:type="paragraph" w:styleId="Paragrafoelenco">
    <w:name w:val="List Paragraph"/>
    <w:basedOn w:val="Normale"/>
    <w:uiPriority w:val="34"/>
    <w:qFormat/>
    <w:rsid w:val="00DC132F"/>
    <w:pPr>
      <w:ind w:left="720"/>
      <w:contextualSpacing/>
    </w:pPr>
  </w:style>
  <w:style w:type="character" w:styleId="Enfasiintensa">
    <w:name w:val="Intense Emphasis"/>
    <w:basedOn w:val="Carpredefinitoparagrafo"/>
    <w:uiPriority w:val="21"/>
    <w:qFormat/>
    <w:rsid w:val="00DC132F"/>
    <w:rPr>
      <w:i/>
      <w:iCs/>
      <w:color w:val="0F4761" w:themeColor="accent1" w:themeShade="BF"/>
    </w:rPr>
  </w:style>
  <w:style w:type="paragraph" w:styleId="Citazioneintensa">
    <w:name w:val="Intense Quote"/>
    <w:basedOn w:val="Normale"/>
    <w:next w:val="Normale"/>
    <w:link w:val="CitazioneintensaCarattere"/>
    <w:uiPriority w:val="30"/>
    <w:qFormat/>
    <w:rsid w:val="00DC13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C132F"/>
    <w:rPr>
      <w:i/>
      <w:iCs/>
      <w:color w:val="0F4761" w:themeColor="accent1" w:themeShade="BF"/>
    </w:rPr>
  </w:style>
  <w:style w:type="character" w:styleId="Riferimentointenso">
    <w:name w:val="Intense Reference"/>
    <w:basedOn w:val="Carpredefinitoparagrafo"/>
    <w:uiPriority w:val="32"/>
    <w:qFormat/>
    <w:rsid w:val="00DC132F"/>
    <w:rPr>
      <w:b/>
      <w:bCs/>
      <w:smallCaps/>
      <w:color w:val="0F4761" w:themeColor="accent1" w:themeShade="BF"/>
      <w:spacing w:val="5"/>
    </w:rPr>
  </w:style>
  <w:style w:type="paragraph" w:styleId="Corpotesto">
    <w:name w:val="Body Text"/>
    <w:basedOn w:val="Normale"/>
    <w:link w:val="CorpotestoCarattere"/>
    <w:qFormat/>
    <w:rsid w:val="00DC132F"/>
    <w:pPr>
      <w:spacing w:before="180" w:after="180"/>
    </w:pPr>
    <w:rPr>
      <w:lang w:val="en-US"/>
    </w:rPr>
  </w:style>
  <w:style w:type="character" w:customStyle="1" w:styleId="CorpotestoCarattere">
    <w:name w:val="Corpo testo Carattere"/>
    <w:basedOn w:val="Carpredefinitoparagrafo"/>
    <w:link w:val="Corpotesto"/>
    <w:rsid w:val="00DC132F"/>
    <w:rPr>
      <w:lang w:val="en-US"/>
    </w:rPr>
  </w:style>
  <w:style w:type="paragraph" w:customStyle="1" w:styleId="FirstParagraph">
    <w:name w:val="First Paragraph"/>
    <w:basedOn w:val="Corpotesto"/>
    <w:next w:val="Corpotesto"/>
    <w:qFormat/>
    <w:rsid w:val="00DC13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296</Words>
  <Characters>1693</Characters>
  <Application>Microsoft Office Word</Application>
  <DocSecurity>0</DocSecurity>
  <Lines>14</Lines>
  <Paragraphs>3</Paragraphs>
  <ScaleCrop>false</ScaleCrop>
  <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Giacomo Biganzoli</dc:creator>
  <cp:keywords/>
  <dc:description/>
  <cp:lastModifiedBy>Giacomo Biganzoli</cp:lastModifiedBy>
  <cp:revision>1</cp:revision>
  <dcterms:created xsi:type="dcterms:W3CDTF">2024-11-05T13:36:00Z</dcterms:created>
  <dcterms:modified xsi:type="dcterms:W3CDTF">2024-11-05T13:37:00Z</dcterms:modified>
</cp:coreProperties>
</file>