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819B5" w14:textId="0C02DF77" w:rsidR="00C7468B" w:rsidRPr="00963AB0" w:rsidRDefault="0094785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Table 1. Baseline characteristics of the respondents</w:t>
      </w:r>
      <w:r w:rsidR="00762275">
        <w:rPr>
          <w:rFonts w:ascii="Times New Roman" w:hAnsi="Times New Roman" w:cs="Times New Roman"/>
          <w:sz w:val="20"/>
          <w:szCs w:val="20"/>
          <w:lang w:val="en-US"/>
        </w:rPr>
        <w:t xml:space="preserve"> [N(%)]</w:t>
      </w:r>
    </w:p>
    <w:p w14:paraId="20FEF9C4" w14:textId="77777777" w:rsidR="00947853" w:rsidRPr="00963AB0" w:rsidRDefault="00947853" w:rsidP="00947853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</w:p>
    <w:p w14:paraId="70C092D7" w14:textId="77777777" w:rsidR="00947853" w:rsidRPr="00963AB0" w:rsidRDefault="00947853" w:rsidP="00947853">
      <w:pPr>
        <w:ind w:left="2880" w:firstLine="720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Respondents (n = 204)</w:t>
      </w:r>
    </w:p>
    <w:p w14:paraId="26CE3C9D" w14:textId="77777777" w:rsidR="00947853" w:rsidRPr="00963AB0" w:rsidRDefault="00947853" w:rsidP="00947853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</w:p>
    <w:p w14:paraId="50F82C46" w14:textId="77777777" w:rsidR="00947853" w:rsidRPr="00963AB0" w:rsidRDefault="0094785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Gender</w:t>
      </w:r>
    </w:p>
    <w:p w14:paraId="5BC76014" w14:textId="77777777" w:rsidR="00947853" w:rsidRPr="00963AB0" w:rsidRDefault="00947853" w:rsidP="00947853">
      <w:pPr>
        <w:ind w:firstLine="720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Male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128 (62.7%)</w:t>
      </w:r>
    </w:p>
    <w:p w14:paraId="0ABDD9A1" w14:textId="77777777" w:rsidR="00947853" w:rsidRPr="00963AB0" w:rsidRDefault="00947853" w:rsidP="00947853">
      <w:pPr>
        <w:ind w:firstLine="720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Female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76 (37.3%)</w:t>
      </w:r>
    </w:p>
    <w:p w14:paraId="30529A5B" w14:textId="77777777" w:rsidR="00947853" w:rsidRPr="00963AB0" w:rsidRDefault="00947853" w:rsidP="00947853">
      <w:pPr>
        <w:ind w:firstLine="720"/>
        <w:rPr>
          <w:rFonts w:ascii="Times New Roman" w:hAnsi="Times New Roman" w:cs="Times New Roman"/>
          <w:sz w:val="20"/>
          <w:szCs w:val="20"/>
          <w:lang w:val="en-US"/>
        </w:rPr>
      </w:pPr>
    </w:p>
    <w:p w14:paraId="6BF8569E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Age (years)</w:t>
      </w:r>
    </w:p>
    <w:p w14:paraId="311FE921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&lt; 35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63 (30.9%)</w:t>
      </w:r>
    </w:p>
    <w:p w14:paraId="303F6909" w14:textId="77777777" w:rsidR="00947853" w:rsidRPr="00963AB0" w:rsidRDefault="00947853" w:rsidP="00947853">
      <w:pPr>
        <w:ind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36 – 45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75 (36.8%)</w:t>
      </w:r>
    </w:p>
    <w:p w14:paraId="0BAD5424" w14:textId="77777777" w:rsidR="00947853" w:rsidRPr="00963AB0" w:rsidRDefault="00947853" w:rsidP="00947853">
      <w:pPr>
        <w:ind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46 – 60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57 (27.9%)</w:t>
      </w:r>
    </w:p>
    <w:p w14:paraId="1381A2B3" w14:textId="096232DF" w:rsidR="00947853" w:rsidRPr="00963AB0" w:rsidRDefault="00947853" w:rsidP="00947853">
      <w:pPr>
        <w:ind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&gt;60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ED62C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>9 (4.4%)</w:t>
      </w:r>
    </w:p>
    <w:p w14:paraId="6F4B7AA7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DAD3967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Specialty</w:t>
      </w:r>
    </w:p>
    <w:p w14:paraId="397FEB13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Anesthesia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98 (48%)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7B6A1CC1" w14:textId="543620FE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Intensive care medicine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12</w:t>
      </w:r>
      <w:r w:rsidR="00ED62C3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 xml:space="preserve"> (6</w:t>
      </w:r>
      <w:r w:rsidR="00ED62C3">
        <w:rPr>
          <w:rFonts w:ascii="Times New Roman" w:hAnsi="Times New Roman" w:cs="Times New Roman"/>
          <w:sz w:val="20"/>
          <w:szCs w:val="20"/>
          <w:lang w:val="en-US"/>
        </w:rPr>
        <w:t>1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ED62C3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>%)</w:t>
      </w:r>
    </w:p>
    <w:p w14:paraId="30DE04B0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Neurointensive care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54 (26.5%)</w:t>
      </w:r>
    </w:p>
    <w:p w14:paraId="50668F0E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Neurology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4 (2%)</w:t>
      </w:r>
    </w:p>
    <w:p w14:paraId="098AF1FE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Neurosurgery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10 (4.9%)</w:t>
      </w:r>
    </w:p>
    <w:p w14:paraId="327251F3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General physician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20 (9.8%)</w:t>
      </w:r>
    </w:p>
    <w:p w14:paraId="66BEA55A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Pulmonary/respiratory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12 (5.9%)</w:t>
      </w:r>
    </w:p>
    <w:p w14:paraId="3ADA51E0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483D298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Area of practice</w:t>
      </w:r>
    </w:p>
    <w:p w14:paraId="3032F15A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Urban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198 (97.1%)</w:t>
      </w:r>
    </w:p>
    <w:p w14:paraId="2D61E542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Rural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6 (2.9%)</w:t>
      </w:r>
    </w:p>
    <w:p w14:paraId="1FA4ED78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536DBEE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Professional category</w:t>
      </w:r>
    </w:p>
    <w:p w14:paraId="749FE9F0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Consultant doctor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148 (72.5%)</w:t>
      </w:r>
    </w:p>
    <w:p w14:paraId="35DE8A09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Resident doctor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40 (19.6%)</w:t>
      </w:r>
    </w:p>
    <w:p w14:paraId="356239D6" w14:textId="54952C02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Nurse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ED62C3">
        <w:rPr>
          <w:rFonts w:ascii="Times New Roman" w:hAnsi="Times New Roman" w:cs="Times New Roman"/>
          <w:sz w:val="20"/>
          <w:szCs w:val="20"/>
          <w:lang w:val="en-US"/>
        </w:rPr>
        <w:t>6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(2.</w:t>
      </w:r>
      <w:r w:rsidR="00ED62C3">
        <w:rPr>
          <w:rFonts w:ascii="Times New Roman" w:hAnsi="Times New Roman" w:cs="Times New Roman"/>
          <w:sz w:val="20"/>
          <w:szCs w:val="20"/>
          <w:lang w:val="en-US"/>
        </w:rPr>
        <w:t>9</w:t>
      </w:r>
      <w:r>
        <w:rPr>
          <w:rFonts w:ascii="Times New Roman" w:hAnsi="Times New Roman" w:cs="Times New Roman"/>
          <w:sz w:val="20"/>
          <w:szCs w:val="20"/>
          <w:lang w:val="en-US"/>
        </w:rPr>
        <w:t>%)</w:t>
      </w:r>
    </w:p>
    <w:p w14:paraId="145193EC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Respiratory therapist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10 (4.9%)</w:t>
      </w:r>
    </w:p>
    <w:p w14:paraId="7928BB56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AA7D43F" w14:textId="77777777" w:rsidR="00947853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Post specialization experience (years)</w:t>
      </w:r>
    </w:p>
    <w:p w14:paraId="03862E10" w14:textId="372CC34B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1 – 5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>8</w:t>
      </w:r>
      <w:r w:rsidR="001768EC">
        <w:rPr>
          <w:rFonts w:ascii="Times New Roman" w:hAnsi="Times New Roman" w:cs="Times New Roman"/>
          <w:sz w:val="20"/>
          <w:szCs w:val="20"/>
          <w:lang w:val="en-US"/>
        </w:rPr>
        <w:t>2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1768EC">
        <w:rPr>
          <w:rFonts w:ascii="Times New Roman" w:hAnsi="Times New Roman" w:cs="Times New Roman"/>
          <w:sz w:val="20"/>
          <w:szCs w:val="20"/>
          <w:lang w:val="en-US"/>
        </w:rPr>
        <w:t>40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1768EC">
        <w:rPr>
          <w:rFonts w:ascii="Times New Roman" w:hAnsi="Times New Roman" w:cs="Times New Roman"/>
          <w:sz w:val="20"/>
          <w:szCs w:val="20"/>
          <w:lang w:val="en-US"/>
        </w:rPr>
        <w:t>2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>%)</w:t>
      </w:r>
    </w:p>
    <w:p w14:paraId="4DA1BFA1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6 – 10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30 (14.7%)</w:t>
      </w:r>
    </w:p>
    <w:p w14:paraId="51415695" w14:textId="2C30DA20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11 – 15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3</w:t>
      </w:r>
      <w:r w:rsidR="001768EC">
        <w:rPr>
          <w:rFonts w:ascii="Times New Roman" w:hAnsi="Times New Roman" w:cs="Times New Roman"/>
          <w:sz w:val="20"/>
          <w:szCs w:val="20"/>
          <w:lang w:val="en-US"/>
        </w:rPr>
        <w:t>3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 xml:space="preserve"> (16.</w:t>
      </w:r>
      <w:r w:rsidR="001768EC">
        <w:rPr>
          <w:rFonts w:ascii="Times New Roman" w:hAnsi="Times New Roman" w:cs="Times New Roman"/>
          <w:sz w:val="20"/>
          <w:szCs w:val="20"/>
          <w:lang w:val="en-US"/>
        </w:rPr>
        <w:t>2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>%)</w:t>
      </w:r>
    </w:p>
    <w:p w14:paraId="52A37CD3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&gt;15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  <w:t>59 (28.9%)</w:t>
      </w:r>
    </w:p>
    <w:p w14:paraId="64F89DAA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0C57BFE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Type of ICU</w:t>
      </w:r>
    </w:p>
    <w:p w14:paraId="23329512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General ICU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158 (77.5%)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668D8630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Neuro ICU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46 (22.5%)</w:t>
      </w:r>
    </w:p>
    <w:p w14:paraId="5E61D78C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A96F637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ICU Beds</w:t>
      </w:r>
    </w:p>
    <w:p w14:paraId="3C708C73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&lt; 5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39 (19.1%)</w:t>
      </w:r>
    </w:p>
    <w:p w14:paraId="44C8E3E8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6 – 10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87 (42.6%)</w:t>
      </w:r>
    </w:p>
    <w:p w14:paraId="69DC03BC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11 – 15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37 (18.1%)</w:t>
      </w:r>
    </w:p>
    <w:p w14:paraId="388835F0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&gt; 15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41 (20.1%)</w:t>
      </w:r>
    </w:p>
    <w:p w14:paraId="5C8A0E94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75E2E2A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Affiliation</w:t>
      </w:r>
    </w:p>
    <w:p w14:paraId="331DD867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Government Teaching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119 (58.3%)</w:t>
      </w:r>
    </w:p>
    <w:p w14:paraId="1B03A46A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Government Non-teaching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9 (4.4%)</w:t>
      </w:r>
    </w:p>
    <w:p w14:paraId="75C72470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Private Teaching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47 (23%)</w:t>
      </w:r>
    </w:p>
    <w:p w14:paraId="73CDC3C9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Private Non-teaching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  <w:t>29 (14.2%)</w:t>
      </w:r>
    </w:p>
    <w:p w14:paraId="37DCF3D3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282BE98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Available bedside monitoring</w:t>
      </w:r>
    </w:p>
    <w:p w14:paraId="5CD697FF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ICP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107 (52.5%)</w:t>
      </w:r>
    </w:p>
    <w:p w14:paraId="2F91F61E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NIRS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42 (20.6%)</w:t>
      </w:r>
    </w:p>
    <w:p w14:paraId="0D9BA6A2" w14:textId="77777777" w:rsidR="003D6CE0" w:rsidRPr="007945B1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PbtO</w:t>
      </w:r>
      <w:r w:rsidRPr="00963AB0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45B1" w:rsidRPr="007945B1">
        <w:rPr>
          <w:rFonts w:ascii="Times New Roman" w:hAnsi="Times New Roman" w:cs="Times New Roman"/>
          <w:sz w:val="20"/>
          <w:szCs w:val="20"/>
          <w:lang w:val="en-US"/>
        </w:rPr>
        <w:t>22 (10.8%)</w:t>
      </w:r>
    </w:p>
    <w:p w14:paraId="27543E24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TCD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79 (38.7%)</w:t>
      </w:r>
    </w:p>
    <w:p w14:paraId="65E0A1C6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lastRenderedPageBreak/>
        <w:tab/>
        <w:t>Cerebral Microdialysis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6 (2.9%)</w:t>
      </w:r>
    </w:p>
    <w:p w14:paraId="75AB19B2" w14:textId="1F6C5B39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Intermittent EEG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11</w:t>
      </w:r>
      <w:r w:rsidR="008D6BBC">
        <w:rPr>
          <w:rFonts w:ascii="Times New Roman" w:hAnsi="Times New Roman" w:cs="Times New Roman"/>
          <w:sz w:val="20"/>
          <w:szCs w:val="20"/>
          <w:lang w:val="en-US"/>
        </w:rPr>
        <w:t>8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 xml:space="preserve"> (57.</w:t>
      </w:r>
      <w:r w:rsidR="008D6BBC">
        <w:rPr>
          <w:rFonts w:ascii="Times New Roman" w:hAnsi="Times New Roman" w:cs="Times New Roman"/>
          <w:sz w:val="20"/>
          <w:szCs w:val="20"/>
          <w:lang w:val="en-US"/>
        </w:rPr>
        <w:t>8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>%)</w:t>
      </w:r>
    </w:p>
    <w:p w14:paraId="4005A9AA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Continuous EEG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54 (26.5%)</w:t>
      </w:r>
    </w:p>
    <w:p w14:paraId="344ABD18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Automated Pupillometer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  <w:t>28 (13.7%)</w:t>
      </w:r>
    </w:p>
    <w:p w14:paraId="32450F7F" w14:textId="77777777" w:rsidR="003D6CE0" w:rsidRPr="007945B1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SjVO</w:t>
      </w:r>
      <w:r w:rsidRPr="00963AB0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>46 (22.5%)</w:t>
      </w:r>
    </w:p>
    <w:p w14:paraId="1E704372" w14:textId="1EA9F525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POCUS</w:t>
      </w:r>
      <w:r w:rsidR="00F71C9D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71C9D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71C9D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71C9D">
        <w:rPr>
          <w:rFonts w:ascii="Times New Roman" w:hAnsi="Times New Roman" w:cs="Times New Roman"/>
          <w:sz w:val="20"/>
          <w:szCs w:val="20"/>
          <w:lang w:val="en-US"/>
        </w:rPr>
        <w:tab/>
        <w:t>14</w:t>
      </w:r>
      <w:r w:rsidR="00130B31">
        <w:rPr>
          <w:rFonts w:ascii="Times New Roman" w:hAnsi="Times New Roman" w:cs="Times New Roman"/>
          <w:sz w:val="20"/>
          <w:szCs w:val="20"/>
          <w:lang w:val="en-US"/>
        </w:rPr>
        <w:t>0</w:t>
      </w:r>
      <w:r w:rsidR="00F71C9D">
        <w:rPr>
          <w:rFonts w:ascii="Times New Roman" w:hAnsi="Times New Roman" w:cs="Times New Roman"/>
          <w:sz w:val="20"/>
          <w:szCs w:val="20"/>
          <w:lang w:val="en-US"/>
        </w:rPr>
        <w:t xml:space="preserve"> (6</w:t>
      </w:r>
      <w:r w:rsidR="00130B31">
        <w:rPr>
          <w:rFonts w:ascii="Times New Roman" w:hAnsi="Times New Roman" w:cs="Times New Roman"/>
          <w:sz w:val="20"/>
          <w:szCs w:val="20"/>
          <w:lang w:val="en-US"/>
        </w:rPr>
        <w:t>8</w:t>
      </w:r>
      <w:r w:rsidR="00F71C9D">
        <w:rPr>
          <w:rFonts w:ascii="Times New Roman" w:hAnsi="Times New Roman" w:cs="Times New Roman"/>
          <w:sz w:val="20"/>
          <w:szCs w:val="20"/>
          <w:lang w:val="en-US"/>
        </w:rPr>
        <w:t>.6%)</w:t>
      </w:r>
    </w:p>
    <w:p w14:paraId="53D82AC1" w14:textId="77777777" w:rsidR="000D03D4" w:rsidRPr="00963AB0" w:rsidRDefault="000D03D4" w:rsidP="00A815AB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6ED0CC0" w14:textId="77777777" w:rsidR="000D03D4" w:rsidRDefault="000D03D4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8C92796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ICU: Intensive care unit</w:t>
      </w:r>
    </w:p>
    <w:p w14:paraId="26D42FA7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ICP: Intracranial pressure</w:t>
      </w:r>
    </w:p>
    <w:p w14:paraId="3BCA93C1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NIRS:</w:t>
      </w:r>
      <w:r w:rsidR="007144C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Near infrared spectroscopy</w:t>
      </w:r>
    </w:p>
    <w:p w14:paraId="0E49E0D0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PbtO</w:t>
      </w:r>
      <w:r w:rsidRPr="007C5DD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Brain tissue oxygenation</w:t>
      </w:r>
    </w:p>
    <w:p w14:paraId="74B0F901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TCD: Transcranial Doppler</w:t>
      </w:r>
    </w:p>
    <w:p w14:paraId="6CEFEA58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EEG: Electroencephalograph</w:t>
      </w:r>
    </w:p>
    <w:p w14:paraId="1FF93461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SjVO</w:t>
      </w:r>
      <w:r w:rsidRPr="007C5DD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Jugular venous oximetry</w:t>
      </w:r>
    </w:p>
    <w:p w14:paraId="17FC0DA7" w14:textId="4758426D" w:rsidR="007C5DDA" w:rsidRPr="00963AB0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POCUS: Point of care ultrasound</w:t>
      </w:r>
    </w:p>
    <w:sectPr w:rsidR="007C5DDA" w:rsidRPr="00963A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27F16"/>
    <w:multiLevelType w:val="hybridMultilevel"/>
    <w:tmpl w:val="6234D406"/>
    <w:lvl w:ilvl="0" w:tplc="6E1215CA">
      <w:start w:val="11"/>
      <w:numFmt w:val="bullet"/>
      <w:lvlText w:val="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79042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BD9"/>
    <w:rsid w:val="000A3DCF"/>
    <w:rsid w:val="000D03D4"/>
    <w:rsid w:val="000E5652"/>
    <w:rsid w:val="00130B31"/>
    <w:rsid w:val="001768EC"/>
    <w:rsid w:val="002D0BD9"/>
    <w:rsid w:val="003D6CE0"/>
    <w:rsid w:val="00460C4B"/>
    <w:rsid w:val="004D4A2C"/>
    <w:rsid w:val="007144C4"/>
    <w:rsid w:val="00762275"/>
    <w:rsid w:val="007945B1"/>
    <w:rsid w:val="007C5DDA"/>
    <w:rsid w:val="008D6BBC"/>
    <w:rsid w:val="00947853"/>
    <w:rsid w:val="00963AB0"/>
    <w:rsid w:val="00A815AB"/>
    <w:rsid w:val="00C7468B"/>
    <w:rsid w:val="00DF28DC"/>
    <w:rsid w:val="00E812CB"/>
    <w:rsid w:val="00ED62C3"/>
    <w:rsid w:val="00F7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5106C"/>
  <w15:chartTrackingRefBased/>
  <w15:docId w15:val="{C36D02C5-AB48-CE43-87B5-697B72336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C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Hemanshu Prabhakar</dc:creator>
  <cp:keywords/>
  <dc:description/>
  <cp:lastModifiedBy>Hemanshu Prabhakar</cp:lastModifiedBy>
  <cp:revision>15</cp:revision>
  <dcterms:created xsi:type="dcterms:W3CDTF">2024-07-17T03:34:00Z</dcterms:created>
  <dcterms:modified xsi:type="dcterms:W3CDTF">2024-11-02T15:01:00Z</dcterms:modified>
</cp:coreProperties>
</file>