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9628"/>
      </w:tblGrid>
      <w:tr w:rsidR="00797DEE" w:rsidRPr="00C1775F" w14:paraId="33DF2408" w14:textId="77777777" w:rsidTr="00797DEE">
        <w:tc>
          <w:tcPr>
            <w:tcW w:w="9628" w:type="dxa"/>
          </w:tcPr>
          <w:p w14:paraId="72BE0C01" w14:textId="77777777" w:rsidR="00797DEE" w:rsidRPr="00C1775F" w:rsidRDefault="00797DEE" w:rsidP="00797DEE">
            <w:pPr>
              <w:rPr>
                <w:rFonts w:ascii="Cambria" w:hAnsi="Cambria" w:cs="Arial"/>
                <w:b/>
                <w:bCs/>
                <w:sz w:val="20"/>
                <w:szCs w:val="20"/>
                <w:lang w:val="en-US"/>
              </w:rPr>
            </w:pPr>
            <w:r w:rsidRPr="00C1775F">
              <w:rPr>
                <w:rFonts w:ascii="Cambria" w:hAnsi="Cambria" w:cs="Arial"/>
                <w:b/>
                <w:bCs/>
                <w:sz w:val="20"/>
                <w:szCs w:val="20"/>
                <w:lang w:val="en-US"/>
              </w:rPr>
              <w:t>SM1</w:t>
            </w:r>
          </w:p>
          <w:p w14:paraId="10DCECF3" w14:textId="067ADD6E" w:rsidR="00797DEE" w:rsidRPr="00C1775F" w:rsidRDefault="00920C7A" w:rsidP="00920C7A">
            <w:pPr>
              <w:jc w:val="both"/>
              <w:rPr>
                <w:rFonts w:ascii="Cambria" w:hAnsi="Cambria" w:cs="Arial"/>
                <w:sz w:val="20"/>
                <w:szCs w:val="20"/>
                <w:lang w:val="en-GB"/>
              </w:rPr>
            </w:pPr>
            <w:proofErr w:type="spellStart"/>
            <w:r w:rsidRPr="00C1775F">
              <w:rPr>
                <w:rFonts w:ascii="Cambria" w:hAnsi="Cambria" w:cs="Arial"/>
                <w:sz w:val="20"/>
                <w:szCs w:val="20"/>
                <w:lang w:val="en-GB"/>
              </w:rPr>
              <w:t>LungSim</w:t>
            </w:r>
            <w:proofErr w:type="spellEnd"/>
            <w:r w:rsidRPr="00C1775F">
              <w:rPr>
                <w:rFonts w:ascii="Cambria" w:hAnsi="Cambria" w:cs="Arial"/>
                <w:sz w:val="20"/>
                <w:szCs w:val="20"/>
                <w:lang w:val="en-GB"/>
              </w:rPr>
              <w:t xml:space="preserve"> - Multiscale simulation of human lung</w:t>
            </w:r>
            <w:r w:rsidRPr="00C1775F">
              <w:rPr>
                <w:rFonts w:ascii="Cambria" w:hAnsi="Cambria" w:cs="Arial"/>
                <w:sz w:val="20"/>
                <w:szCs w:val="20"/>
                <w:lang w:val="en-GB"/>
              </w:rPr>
              <w:t xml:space="preserve"> - </w:t>
            </w:r>
            <w:hyperlink r:id="rId6" w:history="1">
              <w:r w:rsidRPr="00C1775F">
                <w:rPr>
                  <w:rFonts w:ascii="Cambria" w:hAnsi="Cambria" w:cs="Arial"/>
                  <w:sz w:val="20"/>
                  <w:szCs w:val="20"/>
                  <w:u w:val="single"/>
                  <w:lang w:val="en-GB"/>
                </w:rPr>
                <w:t>https://simtk.org/projects/lungsim</w:t>
              </w:r>
            </w:hyperlink>
          </w:p>
          <w:p w14:paraId="3DE52DFF" w14:textId="22B59B00" w:rsidR="00920C7A" w:rsidRPr="00C1775F" w:rsidRDefault="00920C7A" w:rsidP="00920C7A">
            <w:pPr>
              <w:jc w:val="both"/>
              <w:rPr>
                <w:rFonts w:ascii="Cambria" w:hAnsi="Cambria" w:cs="Arial"/>
                <w:sz w:val="20"/>
                <w:szCs w:val="20"/>
                <w:lang w:val="en-GB"/>
              </w:rPr>
            </w:pPr>
            <w:r w:rsidRPr="00C1775F">
              <w:rPr>
                <w:rFonts w:ascii="Cambria" w:hAnsi="Cambria" w:cs="Arial"/>
                <w:sz w:val="20"/>
                <w:szCs w:val="20"/>
                <w:lang w:val="en-GB"/>
              </w:rPr>
              <w:t>“</w:t>
            </w:r>
            <w:r w:rsidRPr="00C1775F">
              <w:rPr>
                <w:rFonts w:ascii="Cambria" w:hAnsi="Cambria" w:cs="Arial"/>
                <w:sz w:val="20"/>
                <w:szCs w:val="20"/>
                <w:lang w:val="en-GB"/>
              </w:rPr>
              <w:t xml:space="preserve">The simulation software in this repository is a system engineered representation of the human lung based on multiscale imaging (Multidetector CT, micro-CT, microscopy). It allows to investigate dimensions and heterogeneities in geometric branching patterns, gas supply and diffusion capacities. The research being conducted with this tool provides insight into the evolutionary shaped design of the respiratory system, physical optimality and robustness against </w:t>
            </w:r>
            <w:r w:rsidRPr="00C1775F">
              <w:rPr>
                <w:rFonts w:ascii="Cambria" w:hAnsi="Cambria" w:cs="Arial"/>
                <w:sz w:val="20"/>
                <w:szCs w:val="20"/>
                <w:lang w:val="en-GB"/>
              </w:rPr>
              <w:t>perturbations</w:t>
            </w:r>
            <w:r w:rsidRPr="00C1775F">
              <w:rPr>
                <w:rFonts w:ascii="Cambria" w:hAnsi="Cambria" w:cs="Arial"/>
                <w:sz w:val="20"/>
                <w:szCs w:val="20"/>
                <w:lang w:val="en-GB"/>
              </w:rPr>
              <w:t xml:space="preserve"> caused by the aging process or disease.</w:t>
            </w:r>
          </w:p>
          <w:p w14:paraId="328D6C73" w14:textId="5BFFF068" w:rsidR="00920C7A" w:rsidRPr="00C1775F" w:rsidRDefault="00920C7A" w:rsidP="00920C7A">
            <w:pPr>
              <w:jc w:val="both"/>
              <w:rPr>
                <w:rFonts w:ascii="Cambria" w:hAnsi="Cambria" w:cs="Arial"/>
                <w:sz w:val="20"/>
                <w:szCs w:val="20"/>
                <w:lang w:val="en-GB"/>
              </w:rPr>
            </w:pPr>
            <w:proofErr w:type="spellStart"/>
            <w:r w:rsidRPr="00C1775F">
              <w:rPr>
                <w:rFonts w:ascii="Cambria" w:hAnsi="Cambria" w:cs="Arial"/>
                <w:sz w:val="20"/>
                <w:szCs w:val="20"/>
                <w:lang w:val="en-GB"/>
              </w:rPr>
              <w:t>LungSim</w:t>
            </w:r>
            <w:proofErr w:type="spellEnd"/>
            <w:r w:rsidRPr="00C1775F">
              <w:rPr>
                <w:rFonts w:ascii="Cambria" w:hAnsi="Cambria" w:cs="Arial"/>
                <w:sz w:val="20"/>
                <w:szCs w:val="20"/>
                <w:lang w:val="en-GB"/>
              </w:rPr>
              <w:t xml:space="preserve"> v1.2 </w:t>
            </w:r>
            <w:r w:rsidRPr="00C1775F">
              <w:rPr>
                <w:rFonts w:ascii="Cambria" w:hAnsi="Cambria" w:cs="Arial"/>
                <w:sz w:val="20"/>
                <w:szCs w:val="20"/>
                <w:lang w:val="en-GB"/>
              </w:rPr>
              <w:t>is</w:t>
            </w:r>
            <w:r w:rsidRPr="00C1775F">
              <w:rPr>
                <w:rFonts w:ascii="Cambria" w:hAnsi="Cambria" w:cs="Arial"/>
                <w:sz w:val="20"/>
                <w:szCs w:val="20"/>
                <w:lang w:val="en-GB"/>
              </w:rPr>
              <w:t xml:space="preserve"> a self-installable file for MS Windows including a demonstration dataset. The models are part of the academic output of the researchers cited and should be referred to as such. The project received funding by DFG and NIH-NIBIB. Developers included in the various phases of </w:t>
            </w:r>
            <w:proofErr w:type="spellStart"/>
            <w:r w:rsidRPr="00C1775F">
              <w:rPr>
                <w:rFonts w:ascii="Cambria" w:hAnsi="Cambria" w:cs="Arial"/>
                <w:sz w:val="20"/>
                <w:szCs w:val="20"/>
                <w:lang w:val="en-GB"/>
              </w:rPr>
              <w:t>LungSim's</w:t>
            </w:r>
            <w:proofErr w:type="spellEnd"/>
            <w:r w:rsidRPr="00C1775F">
              <w:rPr>
                <w:rFonts w:ascii="Cambria" w:hAnsi="Cambria" w:cs="Arial"/>
                <w:sz w:val="20"/>
                <w:szCs w:val="20"/>
                <w:lang w:val="en-GB"/>
              </w:rPr>
              <w:t xml:space="preserve"> history are Andreas Schmidt, Thorsten </w:t>
            </w:r>
            <w:proofErr w:type="spellStart"/>
            <w:r w:rsidRPr="00C1775F">
              <w:rPr>
                <w:rFonts w:ascii="Cambria" w:hAnsi="Cambria" w:cs="Arial"/>
                <w:sz w:val="20"/>
                <w:szCs w:val="20"/>
                <w:lang w:val="en-GB"/>
              </w:rPr>
              <w:t>Denhard</w:t>
            </w:r>
            <w:proofErr w:type="spellEnd"/>
            <w:r w:rsidRPr="00C1775F">
              <w:rPr>
                <w:rFonts w:ascii="Cambria" w:hAnsi="Cambria" w:cs="Arial"/>
                <w:sz w:val="20"/>
                <w:szCs w:val="20"/>
                <w:lang w:val="en-GB"/>
              </w:rPr>
              <w:t xml:space="preserve">, Stephan </w:t>
            </w:r>
            <w:proofErr w:type="spellStart"/>
            <w:r w:rsidRPr="00C1775F">
              <w:rPr>
                <w:rFonts w:ascii="Cambria" w:hAnsi="Cambria" w:cs="Arial"/>
                <w:sz w:val="20"/>
                <w:szCs w:val="20"/>
                <w:lang w:val="en-GB"/>
              </w:rPr>
              <w:t>Zidowitz</w:t>
            </w:r>
            <w:proofErr w:type="spellEnd"/>
            <w:r w:rsidRPr="00C1775F">
              <w:rPr>
                <w:rFonts w:ascii="Cambria" w:hAnsi="Cambria" w:cs="Arial"/>
                <w:sz w:val="20"/>
                <w:szCs w:val="20"/>
                <w:lang w:val="en-GB"/>
              </w:rPr>
              <w:t xml:space="preserve">, </w:t>
            </w:r>
            <w:proofErr w:type="spellStart"/>
            <w:r w:rsidRPr="00C1775F">
              <w:rPr>
                <w:rFonts w:ascii="Cambria" w:hAnsi="Cambria" w:cs="Arial"/>
                <w:sz w:val="20"/>
                <w:szCs w:val="20"/>
                <w:lang w:val="en-GB"/>
              </w:rPr>
              <w:t>Saloni</w:t>
            </w:r>
            <w:proofErr w:type="spellEnd"/>
            <w:r w:rsidRPr="00C1775F">
              <w:rPr>
                <w:rFonts w:ascii="Cambria" w:hAnsi="Cambria" w:cs="Arial"/>
                <w:sz w:val="20"/>
                <w:szCs w:val="20"/>
                <w:lang w:val="en-GB"/>
              </w:rPr>
              <w:t xml:space="preserve"> Shah, Viraj Shah and Uday K. </w:t>
            </w:r>
            <w:proofErr w:type="spellStart"/>
            <w:r w:rsidRPr="00C1775F">
              <w:rPr>
                <w:rFonts w:ascii="Cambria" w:hAnsi="Cambria" w:cs="Arial"/>
                <w:sz w:val="20"/>
                <w:szCs w:val="20"/>
                <w:lang w:val="en-GB"/>
              </w:rPr>
              <w:t>Thummalapalli</w:t>
            </w:r>
            <w:proofErr w:type="spellEnd"/>
            <w:r w:rsidRPr="00C1775F">
              <w:rPr>
                <w:rFonts w:ascii="Cambria" w:hAnsi="Cambria" w:cs="Arial"/>
                <w:sz w:val="20"/>
                <w:szCs w:val="20"/>
                <w:lang w:val="en-GB"/>
              </w:rPr>
              <w:t>.</w:t>
            </w:r>
          </w:p>
          <w:p w14:paraId="68E1A761" w14:textId="203E4B56" w:rsidR="00920C7A" w:rsidRPr="00C1775F" w:rsidRDefault="00920C7A" w:rsidP="00920C7A">
            <w:pPr>
              <w:rPr>
                <w:rFonts w:ascii="Cambria" w:hAnsi="Cambria" w:cs="Arial"/>
                <w:sz w:val="20"/>
                <w:szCs w:val="20"/>
                <w:highlight w:val="blue"/>
                <w:lang w:val="en-US"/>
              </w:rPr>
            </w:pPr>
          </w:p>
        </w:tc>
      </w:tr>
      <w:tr w:rsidR="00797DEE" w:rsidRPr="00C1775F" w14:paraId="58DE908A" w14:textId="77777777" w:rsidTr="00797DEE">
        <w:tc>
          <w:tcPr>
            <w:tcW w:w="9628" w:type="dxa"/>
          </w:tcPr>
          <w:p w14:paraId="057F3FF9" w14:textId="77777777" w:rsidR="006F32DB" w:rsidRPr="00C1775F" w:rsidRDefault="006F32DB">
            <w:pPr>
              <w:rPr>
                <w:rFonts w:ascii="Cambria" w:hAnsi="Cambria" w:cs="Arial"/>
                <w:b/>
                <w:bCs/>
                <w:sz w:val="20"/>
                <w:szCs w:val="20"/>
                <w:lang w:val="en-GB"/>
              </w:rPr>
            </w:pPr>
            <w:r w:rsidRPr="00C1775F">
              <w:rPr>
                <w:rFonts w:ascii="Cambria" w:hAnsi="Cambria" w:cs="Arial"/>
                <w:b/>
                <w:bCs/>
                <w:sz w:val="20"/>
                <w:szCs w:val="20"/>
                <w:lang w:val="en-GB"/>
              </w:rPr>
              <w:t>SM2</w:t>
            </w:r>
          </w:p>
          <w:p w14:paraId="01A7FD46" w14:textId="77777777" w:rsidR="00797DEE" w:rsidRPr="00C1775F" w:rsidRDefault="006F32DB" w:rsidP="00920C7A">
            <w:pPr>
              <w:jc w:val="both"/>
              <w:rPr>
                <w:rFonts w:ascii="Cambria" w:hAnsi="Cambria" w:cs="Arial"/>
                <w:sz w:val="20"/>
                <w:szCs w:val="20"/>
                <w:lang w:val="en-GB"/>
              </w:rPr>
            </w:pPr>
            <w:r w:rsidRPr="00C1775F">
              <w:rPr>
                <w:rFonts w:ascii="Cambria" w:hAnsi="Cambria" w:cs="Arial"/>
                <w:sz w:val="20"/>
                <w:szCs w:val="20"/>
                <w:lang w:val="en-GB"/>
              </w:rPr>
              <w:t>Our approach was based on the Octree-based method and Laplace smoothing to generate a high resolution surface mesh, while the volumetric elements were subsequently created with the Delaunay algorithm. Different grids consisting of 8,714,823 (Mesh 1), 9,826,620 (Mesh 2) and 10,496,004 (Mesh 3) cells were created to evaluate the grid size sensitivity for the flow solution.</w:t>
            </w:r>
          </w:p>
          <w:p w14:paraId="228E97D6" w14:textId="77777777" w:rsidR="00F65D16" w:rsidRPr="00C1775F" w:rsidRDefault="00F65D16" w:rsidP="00920C7A">
            <w:pPr>
              <w:jc w:val="both"/>
              <w:rPr>
                <w:rFonts w:ascii="Cambria" w:eastAsiaTheme="minorEastAsia" w:hAnsi="Cambria" w:cs="Arial"/>
                <w:sz w:val="20"/>
                <w:szCs w:val="20"/>
                <w:lang w:val="en-GB"/>
              </w:rPr>
            </w:pPr>
            <w:r w:rsidRPr="00C1775F">
              <w:rPr>
                <w:rFonts w:ascii="Cambria" w:hAnsi="Cambria" w:cs="Arial"/>
                <w:sz w:val="20"/>
                <w:szCs w:val="20"/>
                <w:lang w:val="en-GB"/>
              </w:rPr>
              <w:t xml:space="preserve">A boundary layer size sensitivity was also performed to fully capture the highly complex velocity profile near the larynx-glottis walls, discretising the region at a constant distance of </w:t>
            </w:r>
            <m:oMath>
              <m:r>
                <w:rPr>
                  <w:rFonts w:ascii="Cambria Math" w:hAnsi="Cambria Math" w:cs="Arial"/>
                  <w:sz w:val="20"/>
                  <w:szCs w:val="20"/>
                  <w:lang w:val="en-GB"/>
                </w:rPr>
                <m:t xml:space="preserve">δ=0.73 mm </m:t>
              </m:r>
            </m:oMath>
            <w:r w:rsidRPr="00C1775F">
              <w:rPr>
                <w:rFonts w:ascii="Cambria" w:eastAsiaTheme="minorEastAsia" w:hAnsi="Cambria" w:cs="Arial"/>
                <w:sz w:val="20"/>
                <w:szCs w:val="20"/>
                <w:lang w:val="en-GB"/>
              </w:rPr>
              <w:t>from the upper airways and larynx walls with three and ten layers of prismatic elements, respectively.</w:t>
            </w:r>
          </w:p>
          <w:p w14:paraId="011C200E" w14:textId="53BEDE4C" w:rsidR="00F65D16" w:rsidRPr="00C1775F" w:rsidRDefault="00F65D16" w:rsidP="00F65D16">
            <w:pPr>
              <w:rPr>
                <w:rFonts w:ascii="Cambria" w:hAnsi="Cambria" w:cs="Arial"/>
                <w:sz w:val="20"/>
                <w:szCs w:val="20"/>
                <w:lang w:val="en-GB"/>
              </w:rPr>
            </w:pPr>
            <w:r w:rsidRPr="00C1775F">
              <w:rPr>
                <w:rFonts w:ascii="Cambria" w:hAnsi="Cambria" w:cs="Arial"/>
                <w:noProof/>
                <w:sz w:val="20"/>
                <w:szCs w:val="20"/>
                <w:lang w:eastAsia="it-IT"/>
              </w:rPr>
              <w:drawing>
                <wp:inline distT="0" distB="0" distL="0" distR="0" wp14:anchorId="30B5AE21" wp14:editId="18AE5A25">
                  <wp:extent cx="2798687" cy="3314700"/>
                  <wp:effectExtent l="0" t="0" r="1905"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esh + sensitivity_2.jpg"/>
                          <pic:cNvPicPr/>
                        </pic:nvPicPr>
                        <pic:blipFill rotWithShape="1">
                          <a:blip r:embed="rId7" cstate="print">
                            <a:extLst>
                              <a:ext uri="{28A0092B-C50C-407E-A947-70E740481C1C}">
                                <a14:useLocalDpi xmlns:a14="http://schemas.microsoft.com/office/drawing/2010/main" val="0"/>
                              </a:ext>
                            </a:extLst>
                          </a:blip>
                          <a:srcRect l="52510"/>
                          <a:stretch/>
                        </pic:blipFill>
                        <pic:spPr bwMode="auto">
                          <a:xfrm>
                            <a:off x="0" y="0"/>
                            <a:ext cx="2805028" cy="3322210"/>
                          </a:xfrm>
                          <a:prstGeom prst="rect">
                            <a:avLst/>
                          </a:prstGeom>
                          <a:ln>
                            <a:noFill/>
                          </a:ln>
                          <a:extLst>
                            <a:ext uri="{53640926-AAD7-44D8-BBD7-CCE9431645EC}">
                              <a14:shadowObscured xmlns:a14="http://schemas.microsoft.com/office/drawing/2010/main"/>
                            </a:ext>
                          </a:extLst>
                        </pic:spPr>
                      </pic:pic>
                    </a:graphicData>
                  </a:graphic>
                </wp:inline>
              </w:drawing>
            </w:r>
            <w:r w:rsidR="00C1775F" w:rsidRPr="00C1775F">
              <w:rPr>
                <w:rFonts w:ascii="Cambria" w:hAnsi="Cambria"/>
                <w:noProof/>
                <w:sz w:val="20"/>
                <w:szCs w:val="20"/>
                <w:lang w:eastAsia="it-IT"/>
              </w:rPr>
              <w:drawing>
                <wp:inline distT="0" distB="0" distL="0" distR="0" wp14:anchorId="5C62EACA" wp14:editId="5401A569">
                  <wp:extent cx="2216150" cy="2979455"/>
                  <wp:effectExtent l="0" t="0" r="0" b="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 3-reviewed.jpg"/>
                          <pic:cNvPicPr/>
                        </pic:nvPicPr>
                        <pic:blipFill rotWithShape="1">
                          <a:blip r:embed="rId8" cstate="print">
                            <a:extLst>
                              <a:ext uri="{28A0092B-C50C-407E-A947-70E740481C1C}">
                                <a14:useLocalDpi xmlns:a14="http://schemas.microsoft.com/office/drawing/2010/main" val="0"/>
                              </a:ext>
                            </a:extLst>
                          </a:blip>
                          <a:srcRect l="832" t="9954" r="69786" b="19812"/>
                          <a:stretch/>
                        </pic:blipFill>
                        <pic:spPr bwMode="auto">
                          <a:xfrm>
                            <a:off x="0" y="0"/>
                            <a:ext cx="2224688" cy="2990933"/>
                          </a:xfrm>
                          <a:prstGeom prst="rect">
                            <a:avLst/>
                          </a:prstGeom>
                          <a:ln>
                            <a:noFill/>
                          </a:ln>
                          <a:extLst>
                            <a:ext uri="{53640926-AAD7-44D8-BBD7-CCE9431645EC}">
                              <a14:shadowObscured xmlns:a14="http://schemas.microsoft.com/office/drawing/2010/main"/>
                            </a:ext>
                          </a:extLst>
                        </pic:spPr>
                      </pic:pic>
                    </a:graphicData>
                  </a:graphic>
                </wp:inline>
              </w:drawing>
            </w:r>
          </w:p>
          <w:p w14:paraId="0B58EABC" w14:textId="2218DEF4" w:rsidR="00F65D16" w:rsidRPr="00C1775F" w:rsidRDefault="00F65D16" w:rsidP="00F65D16">
            <w:pPr>
              <w:rPr>
                <w:rFonts w:ascii="Cambria" w:hAnsi="Cambria" w:cs="Arial"/>
                <w:sz w:val="20"/>
                <w:szCs w:val="20"/>
                <w:lang w:val="en-GB"/>
              </w:rPr>
            </w:pPr>
            <w:r w:rsidRPr="00C1775F">
              <w:rPr>
                <w:rFonts w:ascii="Cambria" w:hAnsi="Cambria" w:cs="Arial"/>
                <w:sz w:val="20"/>
                <w:szCs w:val="20"/>
                <w:lang w:val="en-GB"/>
              </w:rPr>
              <w:t>(b) Grid independency results in terms of velocity profile at the two sections</w:t>
            </w:r>
            <w:r w:rsidR="000E5482" w:rsidRPr="00C1775F">
              <w:rPr>
                <w:rFonts w:ascii="Cambria" w:hAnsi="Cambria" w:cs="Arial"/>
                <w:sz w:val="20"/>
                <w:szCs w:val="20"/>
                <w:lang w:val="en-GB"/>
              </w:rPr>
              <w:t xml:space="preserve"> </w:t>
            </w:r>
            <w:r w:rsidR="00C1775F" w:rsidRPr="00C1775F">
              <w:rPr>
                <w:rFonts w:ascii="Cambria" w:hAnsi="Cambria" w:cs="Arial"/>
                <w:sz w:val="20"/>
                <w:szCs w:val="20"/>
                <w:lang w:val="en-GB"/>
              </w:rPr>
              <w:t>A and B</w:t>
            </w:r>
            <w:r w:rsidR="000E5482" w:rsidRPr="00C1775F">
              <w:rPr>
                <w:rFonts w:ascii="Cambria" w:hAnsi="Cambria" w:cs="Arial"/>
                <w:sz w:val="20"/>
                <w:szCs w:val="20"/>
                <w:highlight w:val="yellow"/>
                <w:lang w:val="en-GB"/>
              </w:rPr>
              <w:t xml:space="preserve"> </w:t>
            </w:r>
            <w:r w:rsidR="000E5482" w:rsidRPr="00C1775F">
              <w:rPr>
                <w:rFonts w:ascii="Cambria" w:hAnsi="Cambria" w:cs="Arial"/>
                <w:sz w:val="20"/>
                <w:szCs w:val="20"/>
                <w:lang w:val="en-GB"/>
              </w:rPr>
              <w:t>in the trachea</w:t>
            </w:r>
            <w:r w:rsidRPr="00C1775F">
              <w:rPr>
                <w:rFonts w:ascii="Cambria" w:hAnsi="Cambria" w:cs="Arial"/>
                <w:sz w:val="20"/>
                <w:szCs w:val="20"/>
                <w:lang w:val="en-GB"/>
              </w:rPr>
              <w:t>.</w:t>
            </w:r>
            <w:r w:rsidR="007446AE" w:rsidRPr="00C1775F">
              <w:rPr>
                <w:rFonts w:ascii="Cambria" w:hAnsi="Cambria" w:cs="Arial"/>
                <w:sz w:val="20"/>
                <w:szCs w:val="20"/>
                <w:lang w:val="en-GB"/>
              </w:rPr>
              <w:t xml:space="preserve"> BL is the number of elements in the boundary layer.</w:t>
            </w:r>
          </w:p>
          <w:p w14:paraId="3F03F07A" w14:textId="6D31E6DE" w:rsidR="00F65D16" w:rsidRPr="00C1775F" w:rsidRDefault="00F65D16">
            <w:pPr>
              <w:rPr>
                <w:rFonts w:ascii="Cambria" w:hAnsi="Cambria" w:cs="Arial"/>
                <w:sz w:val="20"/>
                <w:szCs w:val="20"/>
                <w:highlight w:val="blue"/>
                <w:lang w:val="en-GB"/>
              </w:rPr>
            </w:pPr>
          </w:p>
          <w:p w14:paraId="1276210C" w14:textId="613BD074" w:rsidR="00F65D16" w:rsidRPr="00C1775F" w:rsidRDefault="00F65D16" w:rsidP="000E5482">
            <w:pPr>
              <w:jc w:val="both"/>
              <w:rPr>
                <w:rFonts w:ascii="Cambria" w:hAnsi="Cambria" w:cs="Arial"/>
                <w:sz w:val="20"/>
                <w:szCs w:val="20"/>
                <w:highlight w:val="blue"/>
                <w:lang w:val="en-US"/>
              </w:rPr>
            </w:pPr>
            <w:r w:rsidRPr="00C1775F">
              <w:rPr>
                <w:rFonts w:ascii="Cambria" w:hAnsi="Cambria" w:cs="Arial"/>
                <w:b/>
                <w:sz w:val="20"/>
                <w:szCs w:val="20"/>
                <w:lang w:val="en-GB"/>
              </w:rPr>
              <w:t>Figure 3b</w:t>
            </w:r>
            <w:r w:rsidRPr="00C1775F">
              <w:rPr>
                <w:rFonts w:ascii="Cambria" w:hAnsi="Cambria" w:cs="Arial"/>
                <w:sz w:val="20"/>
                <w:szCs w:val="20"/>
                <w:lang w:val="en-GB"/>
              </w:rPr>
              <w:t xml:space="preserve"> shows the velocity profile over the non-dimensional length in both tracheal and laryngeal sections.</w:t>
            </w:r>
            <w:r w:rsidR="000E5482" w:rsidRPr="00C1775F">
              <w:rPr>
                <w:rFonts w:ascii="Cambria" w:hAnsi="Cambria" w:cs="Arial"/>
                <w:sz w:val="20"/>
                <w:szCs w:val="20"/>
                <w:lang w:val="en-GB"/>
              </w:rPr>
              <w:t xml:space="preserve"> </w:t>
            </w:r>
            <w:r w:rsidRPr="00C1775F">
              <w:rPr>
                <w:rFonts w:ascii="Cambria" w:hAnsi="Cambria" w:cs="Arial"/>
                <w:b/>
                <w:sz w:val="20"/>
                <w:szCs w:val="20"/>
                <w:lang w:val="en-GB"/>
              </w:rPr>
              <w:t>Figure 3b</w:t>
            </w:r>
            <w:r w:rsidRPr="00C1775F">
              <w:rPr>
                <w:rFonts w:ascii="Cambria" w:hAnsi="Cambria" w:cs="Arial"/>
                <w:sz w:val="20"/>
                <w:szCs w:val="20"/>
                <w:lang w:val="en-GB"/>
              </w:rPr>
              <w:t xml:space="preserve"> indicate that Mesh 1 grid was hardly sufficient to capture airflow fluid dynamics, while the increase of tetrahedral element size up to 10,496,004 cells (Mesh 3) did not change the results in terms of velocity profile in the most critical regions with respect to Mesh 2. Furthermore, three boundary layers proved to be sufficient to fully reconstruct the recirculation zones occurring at laryngeal walls. Hence, Mesh 2 with </w:t>
            </w:r>
            <w:bookmarkStart w:id="0" w:name="_Hlk33799038"/>
            <w:r w:rsidRPr="00C1775F">
              <w:rPr>
                <w:rFonts w:ascii="Cambria" w:hAnsi="Cambria" w:cs="Arial"/>
                <w:sz w:val="20"/>
                <w:szCs w:val="20"/>
                <w:lang w:val="en-GB"/>
              </w:rPr>
              <w:t>9,826,620 tetrahedral elements and three boundary layers of hexahedral ones was adopted to perform the numerical simulations</w:t>
            </w:r>
            <w:bookmarkEnd w:id="0"/>
          </w:p>
        </w:tc>
      </w:tr>
      <w:tr w:rsidR="00797DEE" w:rsidRPr="00C1775F" w14:paraId="7AAF5823" w14:textId="77777777" w:rsidTr="00797DEE">
        <w:tc>
          <w:tcPr>
            <w:tcW w:w="9628" w:type="dxa"/>
          </w:tcPr>
          <w:p w14:paraId="2C8BA29E" w14:textId="03F0AA31" w:rsidR="00797DEE" w:rsidRPr="00C1775F" w:rsidRDefault="00D75491">
            <w:pPr>
              <w:rPr>
                <w:rFonts w:ascii="Cambria" w:hAnsi="Cambria" w:cs="Arial"/>
                <w:b/>
                <w:bCs/>
                <w:sz w:val="20"/>
                <w:szCs w:val="20"/>
                <w:lang w:val="en-US"/>
              </w:rPr>
            </w:pPr>
            <w:r w:rsidRPr="00C1775F">
              <w:rPr>
                <w:rFonts w:ascii="Cambria" w:hAnsi="Cambria" w:cs="Arial"/>
                <w:b/>
                <w:bCs/>
                <w:sz w:val="20"/>
                <w:szCs w:val="20"/>
                <w:lang w:val="en-US"/>
              </w:rPr>
              <w:t>SM3 – preliminary simulations steady</w:t>
            </w:r>
          </w:p>
          <w:p w14:paraId="3D28A55A" w14:textId="77777777" w:rsidR="00D75491" w:rsidRPr="00C1775F" w:rsidRDefault="00D75491" w:rsidP="00D75491">
            <w:pPr>
              <w:rPr>
                <w:rFonts w:ascii="Cambria" w:hAnsi="Cambria" w:cs="Arial"/>
                <w:sz w:val="20"/>
                <w:szCs w:val="20"/>
                <w:lang w:val="en-US"/>
              </w:rPr>
            </w:pPr>
            <w:r w:rsidRPr="00C1775F">
              <w:rPr>
                <w:rFonts w:ascii="Cambria" w:hAnsi="Cambria" w:cs="Arial"/>
                <w:sz w:val="20"/>
                <w:szCs w:val="20"/>
                <w:lang w:val="en-US"/>
              </w:rPr>
              <w:t>Steady-state simulations were performed to evaluate airflow distribution through the model. A uniform velocity field was applied at the oral inlet with an average value of 0.2211 m/s. This value corresponds to a minute volume of 6 L/min, which is representative of sedentary breathing conditions for an average adult male (Guyton, 1977). No-slip boundary conditions were assumed at the airway walls, while constant zero-pressure was prescribed at the 64 outlets of the model. Steady-state solution of the flow field was assumed convergent when the residuals of the governing equations reached values &lt;10^(-6).</w:t>
            </w:r>
          </w:p>
          <w:p w14:paraId="2B27CAFF" w14:textId="77777777" w:rsidR="00D75491" w:rsidRPr="00C1775F" w:rsidRDefault="00473A94" w:rsidP="00D75491">
            <w:pPr>
              <w:rPr>
                <w:rFonts w:ascii="Cambria" w:hAnsi="Cambria" w:cs="Arial"/>
                <w:sz w:val="20"/>
                <w:szCs w:val="20"/>
                <w:lang w:val="en-US"/>
              </w:rPr>
            </w:pPr>
            <w:r w:rsidRPr="00C1775F">
              <w:rPr>
                <w:rFonts w:ascii="Cambria" w:hAnsi="Cambria" w:cs="Arial"/>
                <w:sz w:val="20"/>
                <w:szCs w:val="20"/>
                <w:lang w:val="en-US"/>
              </w:rPr>
              <w:t>F</w:t>
            </w:r>
            <w:r w:rsidR="00D75491" w:rsidRPr="00C1775F">
              <w:rPr>
                <w:rFonts w:ascii="Cambria" w:hAnsi="Cambria" w:cs="Arial"/>
                <w:sz w:val="20"/>
                <w:szCs w:val="20"/>
                <w:lang w:val="en-US"/>
              </w:rPr>
              <w:t>low distribution through the airway model</w:t>
            </w:r>
            <w:r w:rsidRPr="00C1775F">
              <w:rPr>
                <w:rFonts w:ascii="Cambria" w:hAnsi="Cambria" w:cs="Arial"/>
                <w:sz w:val="20"/>
                <w:szCs w:val="20"/>
                <w:lang w:val="en-US"/>
              </w:rPr>
              <w:t xml:space="preserve"> at steady state complies with physiological parameters.</w:t>
            </w:r>
          </w:p>
          <w:p w14:paraId="6D5BED66" w14:textId="6F506D19" w:rsidR="00897B93" w:rsidRPr="00C1775F" w:rsidRDefault="00897B93" w:rsidP="00D75491">
            <w:pPr>
              <w:rPr>
                <w:rFonts w:ascii="Cambria" w:hAnsi="Cambria" w:cs="Arial"/>
                <w:sz w:val="20"/>
                <w:szCs w:val="20"/>
                <w:highlight w:val="blue"/>
                <w:lang w:val="en-GB"/>
              </w:rPr>
            </w:pPr>
            <w:r w:rsidRPr="00C1775F">
              <w:rPr>
                <w:rFonts w:ascii="Cambria" w:hAnsi="Cambria" w:cs="Arial"/>
                <w:sz w:val="20"/>
                <w:szCs w:val="20"/>
                <w:lang w:val="en-US"/>
              </w:rPr>
              <w:lastRenderedPageBreak/>
              <w:t xml:space="preserve">About transient simulations : time step size was set to 5 </w:t>
            </w:r>
            <w:proofErr w:type="spellStart"/>
            <w:r w:rsidRPr="00C1775F">
              <w:rPr>
                <w:rFonts w:ascii="Cambria" w:hAnsi="Cambria" w:cs="Arial"/>
                <w:sz w:val="20"/>
                <w:szCs w:val="20"/>
                <w:lang w:val="en-US"/>
              </w:rPr>
              <w:t>ms</w:t>
            </w:r>
            <w:proofErr w:type="spellEnd"/>
            <w:r w:rsidRPr="00C1775F">
              <w:rPr>
                <w:rFonts w:ascii="Cambria" w:hAnsi="Cambria" w:cs="Arial"/>
                <w:sz w:val="20"/>
                <w:szCs w:val="20"/>
                <w:lang w:val="en-US"/>
              </w:rPr>
              <w:t xml:space="preserve"> and the maximum Fluent Courant number was 20. Transient solution was assumed convergent at each time step when the residuals of the governing equations reached values &lt;10^(-4), in accordance with other studies found in literature (</w:t>
            </w:r>
            <w:proofErr w:type="spellStart"/>
            <w:r w:rsidRPr="00C1775F">
              <w:rPr>
                <w:rFonts w:ascii="Cambria" w:hAnsi="Cambria" w:cs="Arial"/>
                <w:sz w:val="20"/>
                <w:szCs w:val="20"/>
                <w:lang w:val="en-US"/>
              </w:rPr>
              <w:t>Elcner</w:t>
            </w:r>
            <w:proofErr w:type="spellEnd"/>
            <w:r w:rsidRPr="00C1775F">
              <w:rPr>
                <w:rFonts w:ascii="Cambria" w:hAnsi="Cambria" w:cs="Arial"/>
                <w:sz w:val="20"/>
                <w:szCs w:val="20"/>
                <w:lang w:val="en-US"/>
              </w:rPr>
              <w:t xml:space="preserve"> et al., 2016).</w:t>
            </w:r>
          </w:p>
        </w:tc>
      </w:tr>
      <w:tr w:rsidR="00797DEE" w:rsidRPr="00C1775F" w14:paraId="172F9588" w14:textId="77777777" w:rsidTr="00797DEE">
        <w:tc>
          <w:tcPr>
            <w:tcW w:w="9628" w:type="dxa"/>
          </w:tcPr>
          <w:p w14:paraId="7ADDC872" w14:textId="77777777" w:rsidR="00797DEE" w:rsidRPr="00C1775F" w:rsidRDefault="00897B93">
            <w:pPr>
              <w:rPr>
                <w:rFonts w:ascii="Cambria" w:hAnsi="Cambria" w:cs="Arial"/>
                <w:b/>
                <w:bCs/>
                <w:sz w:val="20"/>
                <w:szCs w:val="20"/>
                <w:lang w:val="en-US"/>
              </w:rPr>
            </w:pPr>
            <w:r w:rsidRPr="00C1775F">
              <w:rPr>
                <w:rFonts w:ascii="Cambria" w:hAnsi="Cambria" w:cs="Arial"/>
                <w:b/>
                <w:bCs/>
                <w:sz w:val="20"/>
                <w:szCs w:val="20"/>
                <w:lang w:val="en-US"/>
              </w:rPr>
              <w:lastRenderedPageBreak/>
              <w:t>SM4</w:t>
            </w:r>
          </w:p>
          <w:p w14:paraId="4C49ACE4" w14:textId="77777777" w:rsidR="00897B93" w:rsidRPr="00C1775F" w:rsidRDefault="00897B93" w:rsidP="00897B93">
            <w:pPr>
              <w:jc w:val="both"/>
              <w:rPr>
                <w:rFonts w:ascii="Cambria" w:hAnsi="Cambria" w:cs="Arial"/>
                <w:sz w:val="20"/>
                <w:szCs w:val="20"/>
                <w:lang w:val="en-GB"/>
              </w:rPr>
            </w:pPr>
            <w:r w:rsidRPr="00C1775F">
              <w:rPr>
                <w:rFonts w:ascii="Cambria" w:hAnsi="Cambria" w:cs="Arial"/>
                <w:sz w:val="20"/>
                <w:szCs w:val="20"/>
                <w:lang w:val="en-GB"/>
              </w:rPr>
              <w:t>The motion of spherical liquid particles suspended in air is governed by Newton’s Second Law:</w:t>
            </w:r>
          </w:p>
          <w:p w14:paraId="417A84A3" w14:textId="77777777" w:rsidR="00897B93" w:rsidRPr="00C1775F" w:rsidRDefault="0036250D" w:rsidP="00897B93">
            <w:pPr>
              <w:jc w:val="both"/>
              <w:rPr>
                <w:rFonts w:ascii="Cambria" w:eastAsiaTheme="minorEastAsia" w:hAnsi="Cambria" w:cs="Arial"/>
                <w:sz w:val="20"/>
                <w:szCs w:val="20"/>
                <w:lang w:val="en-GB"/>
              </w:rPr>
            </w:pPr>
            <m:oMath>
              <m:f>
                <m:fPr>
                  <m:ctrlPr>
                    <w:rPr>
                      <w:rFonts w:ascii="Cambria Math" w:hAnsi="Cambria Math" w:cs="Arial"/>
                      <w:i/>
                      <w:sz w:val="20"/>
                      <w:szCs w:val="20"/>
                      <w:lang w:val="en-GB"/>
                    </w:rPr>
                  </m:ctrlPr>
                </m:fPr>
                <m:num>
                  <m:r>
                    <w:rPr>
                      <w:rFonts w:ascii="Cambria Math" w:hAnsi="Cambria Math" w:cs="Arial"/>
                      <w:sz w:val="20"/>
                      <w:szCs w:val="20"/>
                      <w:lang w:val="en-GB"/>
                    </w:rPr>
                    <m:t>d</m:t>
                  </m:r>
                  <m:acc>
                    <m:accPr>
                      <m:chr m:val="⃗"/>
                      <m:ctrlPr>
                        <w:rPr>
                          <w:rFonts w:ascii="Cambria Math" w:hAnsi="Cambria Math" w:cs="Arial"/>
                          <w:i/>
                          <w:sz w:val="20"/>
                          <w:szCs w:val="20"/>
                          <w:lang w:val="en-GB"/>
                        </w:rPr>
                      </m:ctrlPr>
                    </m:accPr>
                    <m:e>
                      <m:sSub>
                        <m:sSubPr>
                          <m:ctrlPr>
                            <w:rPr>
                              <w:rFonts w:ascii="Cambria Math" w:hAnsi="Cambria Math" w:cs="Arial"/>
                              <w:i/>
                              <w:sz w:val="20"/>
                              <w:szCs w:val="20"/>
                              <w:lang w:val="en-GB"/>
                            </w:rPr>
                          </m:ctrlPr>
                        </m:sSubPr>
                        <m:e>
                          <m:r>
                            <w:rPr>
                              <w:rFonts w:ascii="Cambria Math" w:hAnsi="Cambria Math" w:cs="Arial"/>
                              <w:sz w:val="20"/>
                              <w:szCs w:val="20"/>
                              <w:lang w:val="en-GB"/>
                            </w:rPr>
                            <m:t>u</m:t>
                          </m:r>
                        </m:e>
                        <m:sub>
                          <m:r>
                            <w:rPr>
                              <w:rFonts w:ascii="Cambria Math" w:hAnsi="Cambria Math" w:cs="Arial"/>
                              <w:sz w:val="20"/>
                              <w:szCs w:val="20"/>
                              <w:lang w:val="en-GB"/>
                            </w:rPr>
                            <m:t>p,i</m:t>
                          </m:r>
                        </m:sub>
                      </m:sSub>
                    </m:e>
                  </m:acc>
                </m:num>
                <m:den>
                  <m:r>
                    <w:rPr>
                      <w:rFonts w:ascii="Cambria Math" w:hAnsi="Cambria Math" w:cs="Arial"/>
                      <w:sz w:val="20"/>
                      <w:szCs w:val="20"/>
                      <w:lang w:val="en-GB"/>
                    </w:rPr>
                    <m:t>dt</m:t>
                  </m:r>
                </m:den>
              </m:f>
              <m:r>
                <w:rPr>
                  <w:rFonts w:ascii="Cambria Math" w:eastAsiaTheme="minorEastAsia" w:hAnsi="Cambria Math" w:cs="Arial"/>
                  <w:sz w:val="20"/>
                  <w:szCs w:val="20"/>
                  <w:lang w:val="en-GB"/>
                </w:rPr>
                <m:t>=</m:t>
              </m:r>
              <m:nary>
                <m:naryPr>
                  <m:chr m:val="∑"/>
                  <m:limLoc m:val="undOvr"/>
                  <m:subHide m:val="1"/>
                  <m:supHide m:val="1"/>
                  <m:ctrlPr>
                    <w:rPr>
                      <w:rFonts w:ascii="Cambria Math" w:eastAsiaTheme="minorEastAsia" w:hAnsi="Cambria Math" w:cs="Arial"/>
                      <w:i/>
                      <w:sz w:val="20"/>
                      <w:szCs w:val="20"/>
                      <w:lang w:val="en-GB"/>
                    </w:rPr>
                  </m:ctrlPr>
                </m:naryPr>
                <m:sub/>
                <m:sup/>
                <m:e>
                  <m:sSub>
                    <m:sSubPr>
                      <m:ctrlPr>
                        <w:rPr>
                          <w:rFonts w:ascii="Cambria Math" w:eastAsiaTheme="minorEastAsia" w:hAnsi="Cambria Math" w:cs="Arial"/>
                          <w:i/>
                          <w:sz w:val="20"/>
                          <w:szCs w:val="20"/>
                          <w:lang w:val="en-GB"/>
                        </w:rPr>
                      </m:ctrlPr>
                    </m:sSubPr>
                    <m:e>
                      <m:acc>
                        <m:accPr>
                          <m:chr m:val="⃗"/>
                          <m:ctrlPr>
                            <w:rPr>
                              <w:rFonts w:ascii="Cambria Math" w:eastAsiaTheme="minorEastAsia" w:hAnsi="Cambria Math" w:cs="Arial"/>
                              <w:i/>
                              <w:sz w:val="20"/>
                              <w:szCs w:val="20"/>
                              <w:lang w:val="en-GB"/>
                            </w:rPr>
                          </m:ctrlPr>
                        </m:accPr>
                        <m:e>
                          <m:r>
                            <w:rPr>
                              <w:rFonts w:ascii="Cambria Math" w:eastAsiaTheme="minorEastAsia" w:hAnsi="Cambria Math" w:cs="Arial"/>
                              <w:sz w:val="20"/>
                              <w:szCs w:val="20"/>
                              <w:lang w:val="en-GB"/>
                            </w:rPr>
                            <m:t>F</m:t>
                          </m:r>
                        </m:e>
                      </m:acc>
                    </m:e>
                    <m:sub>
                      <m:r>
                        <w:rPr>
                          <w:rFonts w:ascii="Cambria Math" w:eastAsiaTheme="minorEastAsia" w:hAnsi="Cambria Math" w:cs="Arial"/>
                          <w:sz w:val="20"/>
                          <w:szCs w:val="20"/>
                          <w:lang w:val="en-GB"/>
                        </w:rPr>
                        <m:t>p</m:t>
                      </m:r>
                    </m:sub>
                  </m:sSub>
                </m:e>
              </m:nary>
            </m:oMath>
            <w:r w:rsidR="00897B93" w:rsidRPr="00C1775F">
              <w:rPr>
                <w:rFonts w:ascii="Cambria" w:eastAsiaTheme="minorEastAsia" w:hAnsi="Cambria" w:cs="Arial"/>
                <w:sz w:val="20"/>
                <w:szCs w:val="20"/>
                <w:lang w:val="en-GB"/>
              </w:rPr>
              <w:tab/>
            </w:r>
            <w:r w:rsidR="00897B93" w:rsidRPr="00C1775F">
              <w:rPr>
                <w:rFonts w:ascii="Cambria" w:eastAsiaTheme="minorEastAsia" w:hAnsi="Cambria" w:cs="Arial"/>
                <w:sz w:val="20"/>
                <w:szCs w:val="20"/>
                <w:lang w:val="en-GB"/>
              </w:rPr>
              <w:tab/>
            </w:r>
            <w:r w:rsidR="00897B93" w:rsidRPr="00C1775F">
              <w:rPr>
                <w:rFonts w:ascii="Cambria" w:eastAsiaTheme="minorEastAsia" w:hAnsi="Cambria" w:cs="Arial"/>
                <w:sz w:val="20"/>
                <w:szCs w:val="20"/>
                <w:lang w:val="en-GB"/>
              </w:rPr>
              <w:tab/>
            </w:r>
            <w:r w:rsidR="00897B93" w:rsidRPr="00C1775F">
              <w:rPr>
                <w:rFonts w:ascii="Cambria" w:eastAsiaTheme="minorEastAsia" w:hAnsi="Cambria" w:cs="Arial"/>
                <w:sz w:val="20"/>
                <w:szCs w:val="20"/>
                <w:lang w:val="en-GB"/>
              </w:rPr>
              <w:tab/>
            </w:r>
            <w:r w:rsidR="00897B93" w:rsidRPr="00C1775F">
              <w:rPr>
                <w:rFonts w:ascii="Cambria" w:eastAsiaTheme="minorEastAsia" w:hAnsi="Cambria" w:cs="Arial"/>
                <w:sz w:val="20"/>
                <w:szCs w:val="20"/>
                <w:lang w:val="en-GB"/>
              </w:rPr>
              <w:tab/>
            </w:r>
            <w:r w:rsidR="00897B93" w:rsidRPr="00C1775F">
              <w:rPr>
                <w:rFonts w:ascii="Cambria" w:eastAsiaTheme="minorEastAsia" w:hAnsi="Cambria" w:cs="Arial"/>
                <w:sz w:val="20"/>
                <w:szCs w:val="20"/>
                <w:lang w:val="en-GB"/>
              </w:rPr>
              <w:tab/>
              <w:t>(6)</w:t>
            </w:r>
          </w:p>
          <w:p w14:paraId="143F4AF1" w14:textId="77777777" w:rsidR="00897B93" w:rsidRPr="00C1775F" w:rsidRDefault="00897B93" w:rsidP="00897B93">
            <w:pPr>
              <w:jc w:val="both"/>
              <w:rPr>
                <w:rFonts w:ascii="Cambria" w:hAnsi="Cambria" w:cs="Arial"/>
                <w:sz w:val="20"/>
                <w:szCs w:val="20"/>
                <w:lang w:val="en-GB"/>
              </w:rPr>
            </w:pPr>
            <w:r w:rsidRPr="00C1775F">
              <w:rPr>
                <w:rFonts w:ascii="Cambria" w:hAnsi="Cambria" w:cs="Arial"/>
                <w:sz w:val="20"/>
                <w:szCs w:val="20"/>
                <w:lang w:val="en-GB"/>
              </w:rPr>
              <w:t xml:space="preserve">where </w:t>
            </w:r>
            <m:oMath>
              <m:sSub>
                <m:sSubPr>
                  <m:ctrlPr>
                    <w:rPr>
                      <w:rFonts w:ascii="Cambria Math" w:hAnsi="Cambria Math" w:cs="Arial"/>
                      <w:i/>
                      <w:sz w:val="20"/>
                      <w:szCs w:val="20"/>
                      <w:lang w:val="en-GB"/>
                    </w:rPr>
                  </m:ctrlPr>
                </m:sSubPr>
                <m:e>
                  <m:r>
                    <w:rPr>
                      <w:rFonts w:ascii="Cambria Math" w:hAnsi="Cambria Math" w:cs="Arial"/>
                      <w:sz w:val="20"/>
                      <w:szCs w:val="20"/>
                      <w:lang w:val="en-GB"/>
                    </w:rPr>
                    <m:t>u</m:t>
                  </m:r>
                </m:e>
                <m:sub>
                  <m:r>
                    <w:rPr>
                      <w:rFonts w:ascii="Cambria Math" w:hAnsi="Cambria Math" w:cs="Arial"/>
                      <w:sz w:val="20"/>
                      <w:szCs w:val="20"/>
                      <w:lang w:val="en-GB"/>
                    </w:rPr>
                    <m:t>p,i</m:t>
                  </m:r>
                </m:sub>
              </m:sSub>
            </m:oMath>
            <w:r w:rsidRPr="00C1775F">
              <w:rPr>
                <w:rFonts w:ascii="Cambria" w:eastAsiaTheme="minorEastAsia" w:hAnsi="Cambria" w:cs="Arial"/>
                <w:sz w:val="20"/>
                <w:szCs w:val="20"/>
                <w:lang w:val="en-GB"/>
              </w:rPr>
              <w:t xml:space="preserve"> is the velocity of the </w:t>
            </w:r>
            <w:proofErr w:type="spellStart"/>
            <w:r w:rsidRPr="00C1775F">
              <w:rPr>
                <w:rFonts w:ascii="Cambria" w:eastAsiaTheme="minorEastAsia" w:hAnsi="Cambria" w:cs="Arial"/>
                <w:i/>
                <w:sz w:val="20"/>
                <w:szCs w:val="20"/>
                <w:lang w:val="en-GB"/>
              </w:rPr>
              <w:t>i</w:t>
            </w:r>
            <w:proofErr w:type="spellEnd"/>
            <w:r w:rsidRPr="00C1775F">
              <w:rPr>
                <w:rFonts w:ascii="Cambria" w:eastAsiaTheme="minorEastAsia" w:hAnsi="Cambria" w:cs="Arial"/>
                <w:i/>
                <w:sz w:val="20"/>
                <w:szCs w:val="20"/>
                <w:lang w:val="en-GB"/>
              </w:rPr>
              <w:t xml:space="preserve"> </w:t>
            </w:r>
            <w:r w:rsidRPr="00C1775F">
              <w:rPr>
                <w:rFonts w:ascii="Cambria" w:eastAsiaTheme="minorEastAsia" w:hAnsi="Cambria" w:cs="Arial"/>
                <w:sz w:val="20"/>
                <w:szCs w:val="20"/>
                <w:lang w:val="en-GB"/>
              </w:rPr>
              <w:t xml:space="preserve">particle and </w:t>
            </w:r>
            <m:oMath>
              <m:sSub>
                <m:sSubPr>
                  <m:ctrlPr>
                    <w:rPr>
                      <w:rFonts w:ascii="Cambria Math" w:eastAsiaTheme="minorEastAsia" w:hAnsi="Cambria Math" w:cs="Arial"/>
                      <w:i/>
                      <w:sz w:val="20"/>
                      <w:szCs w:val="20"/>
                      <w:lang w:val="en-GB"/>
                    </w:rPr>
                  </m:ctrlPr>
                </m:sSubPr>
                <m:e>
                  <m:acc>
                    <m:accPr>
                      <m:chr m:val="⃗"/>
                      <m:ctrlPr>
                        <w:rPr>
                          <w:rFonts w:ascii="Cambria Math" w:eastAsiaTheme="minorEastAsia" w:hAnsi="Cambria Math" w:cs="Arial"/>
                          <w:i/>
                          <w:sz w:val="20"/>
                          <w:szCs w:val="20"/>
                          <w:lang w:val="en-GB"/>
                        </w:rPr>
                      </m:ctrlPr>
                    </m:accPr>
                    <m:e>
                      <m:r>
                        <w:rPr>
                          <w:rFonts w:ascii="Cambria Math" w:eastAsiaTheme="minorEastAsia" w:hAnsi="Cambria Math" w:cs="Arial"/>
                          <w:sz w:val="20"/>
                          <w:szCs w:val="20"/>
                          <w:lang w:val="en-GB"/>
                        </w:rPr>
                        <m:t>F</m:t>
                      </m:r>
                    </m:e>
                  </m:acc>
                </m:e>
                <m:sub>
                  <m:r>
                    <w:rPr>
                      <w:rFonts w:ascii="Cambria Math" w:eastAsiaTheme="minorEastAsia" w:hAnsi="Cambria Math" w:cs="Arial"/>
                      <w:sz w:val="20"/>
                      <w:szCs w:val="20"/>
                      <w:lang w:val="en-GB"/>
                    </w:rPr>
                    <m:t>p</m:t>
                  </m:r>
                </m:sub>
              </m:sSub>
            </m:oMath>
            <w:r w:rsidRPr="00C1775F">
              <w:rPr>
                <w:rFonts w:ascii="Cambria" w:eastAsiaTheme="minorEastAsia" w:hAnsi="Cambria" w:cs="Arial"/>
                <w:sz w:val="20"/>
                <w:szCs w:val="20"/>
                <w:lang w:val="en-GB"/>
              </w:rPr>
              <w:t xml:space="preserve"> the force acting on it.</w:t>
            </w:r>
          </w:p>
          <w:p w14:paraId="5B2ABE57" w14:textId="77777777" w:rsidR="00897B93" w:rsidRPr="00C1775F" w:rsidRDefault="00897B93" w:rsidP="00897B93">
            <w:pPr>
              <w:jc w:val="both"/>
              <w:rPr>
                <w:rFonts w:ascii="Cambria" w:hAnsi="Cambria" w:cs="Arial"/>
                <w:sz w:val="20"/>
                <w:szCs w:val="20"/>
                <w:lang w:val="en-GB"/>
              </w:rPr>
            </w:pPr>
            <w:r w:rsidRPr="00C1775F">
              <w:rPr>
                <w:rFonts w:ascii="Cambria" w:hAnsi="Cambria" w:cs="Arial"/>
                <w:sz w:val="20"/>
                <w:szCs w:val="20"/>
                <w:lang w:val="en-GB"/>
              </w:rPr>
              <w:t xml:space="preserve">Considering small particles, Reynolds numbers </w:t>
            </w:r>
            <m:oMath>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Re</m:t>
                  </m:r>
                </m:e>
                <m:sub>
                  <m:r>
                    <w:rPr>
                      <w:rFonts w:ascii="Cambria Math" w:eastAsiaTheme="minorEastAsia" w:hAnsi="Cambria Math" w:cs="Arial"/>
                      <w:sz w:val="20"/>
                      <w:szCs w:val="20"/>
                      <w:lang w:val="en-GB"/>
                    </w:rPr>
                    <m:t>p</m:t>
                  </m:r>
                </m:sub>
              </m:sSub>
              <m:r>
                <w:rPr>
                  <w:rFonts w:ascii="Cambria Math" w:eastAsiaTheme="minorEastAsia" w:hAnsi="Cambria Math" w:cs="Arial"/>
                  <w:sz w:val="20"/>
                  <w:szCs w:val="20"/>
                  <w:lang w:val="en-GB"/>
                </w:rPr>
                <m:t>=</m:t>
              </m:r>
              <m:f>
                <m:fPr>
                  <m:ctrlPr>
                    <w:rPr>
                      <w:rFonts w:ascii="Cambria Math" w:eastAsiaTheme="minorEastAsia" w:hAnsi="Cambria Math" w:cs="Arial"/>
                      <w:i/>
                      <w:sz w:val="20"/>
                      <w:szCs w:val="20"/>
                      <w:lang w:val="en-GB"/>
                    </w:rPr>
                  </m:ctrlPr>
                </m:fPr>
                <m:num>
                  <m:r>
                    <w:rPr>
                      <w:rFonts w:ascii="Cambria Math" w:eastAsiaTheme="minorEastAsia" w:hAnsi="Cambria Math" w:cs="Arial"/>
                      <w:sz w:val="20"/>
                      <w:szCs w:val="20"/>
                      <w:lang w:val="en-GB"/>
                    </w:rPr>
                    <m:t>ρ</m:t>
                  </m:r>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d</m:t>
                      </m:r>
                    </m:e>
                    <m:sub>
                      <m:r>
                        <w:rPr>
                          <w:rFonts w:ascii="Cambria Math" w:eastAsiaTheme="minorEastAsia" w:hAnsi="Cambria Math" w:cs="Arial"/>
                          <w:sz w:val="20"/>
                          <w:szCs w:val="20"/>
                          <w:lang w:val="en-GB"/>
                        </w:rPr>
                        <m:t>p</m:t>
                      </m:r>
                    </m:sub>
                  </m:sSub>
                  <m:d>
                    <m:dPr>
                      <m:begChr m:val="|"/>
                      <m:endChr m:val=""/>
                      <m:ctrlPr>
                        <w:rPr>
                          <w:rFonts w:ascii="Cambria Math" w:eastAsiaTheme="minorEastAsia" w:hAnsi="Cambria Math" w:cs="Arial"/>
                          <w:i/>
                          <w:sz w:val="20"/>
                          <w:szCs w:val="20"/>
                          <w:lang w:val="en-GB"/>
                        </w:rPr>
                      </m:ctrlPr>
                    </m:dPr>
                    <m:e>
                      <m:d>
                        <m:dPr>
                          <m:begChr m:val=""/>
                          <m:endChr m:val="|"/>
                          <m:ctrlPr>
                            <w:rPr>
                              <w:rFonts w:ascii="Cambria Math" w:eastAsiaTheme="minorEastAsia" w:hAnsi="Cambria Math" w:cs="Arial"/>
                              <w:i/>
                              <w:sz w:val="20"/>
                              <w:szCs w:val="20"/>
                              <w:lang w:val="en-GB"/>
                            </w:rPr>
                          </m:ctrlPr>
                        </m:dPr>
                        <m:e>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u</m:t>
                              </m:r>
                            </m:e>
                            <m:sub>
                              <m:r>
                                <w:rPr>
                                  <w:rFonts w:ascii="Cambria Math" w:eastAsiaTheme="minorEastAsia" w:hAnsi="Cambria Math" w:cs="Arial"/>
                                  <w:sz w:val="20"/>
                                  <w:szCs w:val="20"/>
                                  <w:lang w:val="en-GB"/>
                                </w:rPr>
                                <m:t>p,i</m:t>
                              </m:r>
                            </m:sub>
                          </m:sSub>
                          <m:r>
                            <w:rPr>
                              <w:rFonts w:ascii="Cambria Math" w:eastAsiaTheme="minorEastAsia" w:hAnsi="Cambria Math" w:cs="Arial"/>
                              <w:sz w:val="20"/>
                              <w:szCs w:val="20"/>
                              <w:lang w:val="en-GB"/>
                            </w:rPr>
                            <m:t>-</m:t>
                          </m:r>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u</m:t>
                              </m:r>
                            </m:e>
                            <m:sub>
                              <m:r>
                                <w:rPr>
                                  <w:rFonts w:ascii="Cambria Math" w:eastAsiaTheme="minorEastAsia" w:hAnsi="Cambria Math" w:cs="Arial"/>
                                  <w:sz w:val="20"/>
                                  <w:szCs w:val="20"/>
                                  <w:lang w:val="en-GB"/>
                                </w:rPr>
                                <m:t>i</m:t>
                              </m:r>
                            </m:sub>
                          </m:sSub>
                        </m:e>
                      </m:d>
                    </m:e>
                  </m:d>
                </m:num>
                <m:den>
                  <m:r>
                    <w:rPr>
                      <w:rFonts w:ascii="Cambria Math" w:eastAsiaTheme="minorEastAsia" w:hAnsi="Cambria Math" w:cs="Arial"/>
                      <w:sz w:val="20"/>
                      <w:szCs w:val="20"/>
                      <w:lang w:val="en-GB"/>
                    </w:rPr>
                    <m:t>µ</m:t>
                  </m:r>
                </m:den>
              </m:f>
              <m:r>
                <w:rPr>
                  <w:rFonts w:ascii="Cambria Math" w:eastAsiaTheme="minorEastAsia" w:hAnsi="Cambria Math" w:cs="Arial"/>
                  <w:sz w:val="20"/>
                  <w:szCs w:val="20"/>
                  <w:lang w:val="en-GB"/>
                </w:rPr>
                <m:t>≪1</m:t>
              </m:r>
            </m:oMath>
            <w:r w:rsidRPr="00C1775F">
              <w:rPr>
                <w:rFonts w:ascii="Cambria" w:hAnsi="Cambria" w:cs="Arial"/>
                <w:sz w:val="20"/>
                <w:szCs w:val="20"/>
                <w:lang w:val="en-GB"/>
              </w:rPr>
              <w:t xml:space="preserve">, a large density ratio </w:t>
            </w:r>
            <m:oMath>
              <m:f>
                <m:fPr>
                  <m:ctrlPr>
                    <w:rPr>
                      <w:rFonts w:ascii="Cambria Math" w:eastAsiaTheme="minorEastAsia" w:hAnsi="Cambria Math" w:cs="Arial"/>
                      <w:i/>
                      <w:sz w:val="20"/>
                      <w:szCs w:val="20"/>
                      <w:lang w:val="en-GB"/>
                    </w:rPr>
                  </m:ctrlPr>
                </m:fPr>
                <m:num>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ρ</m:t>
                      </m:r>
                    </m:e>
                    <m:sub>
                      <m:r>
                        <w:rPr>
                          <w:rFonts w:ascii="Cambria Math" w:eastAsiaTheme="minorEastAsia" w:hAnsi="Cambria Math" w:cs="Arial"/>
                          <w:sz w:val="20"/>
                          <w:szCs w:val="20"/>
                          <w:lang w:val="en-GB"/>
                        </w:rPr>
                        <m:t>p</m:t>
                      </m:r>
                    </m:sub>
                  </m:sSub>
                </m:num>
                <m:den>
                  <m:r>
                    <w:rPr>
                      <w:rFonts w:ascii="Cambria Math" w:eastAsiaTheme="minorEastAsia" w:hAnsi="Cambria Math" w:cs="Arial"/>
                      <w:sz w:val="20"/>
                      <w:szCs w:val="20"/>
                      <w:lang w:val="en-GB"/>
                    </w:rPr>
                    <m:t>ρ</m:t>
                  </m:r>
                </m:den>
              </m:f>
              <m:r>
                <w:rPr>
                  <w:rFonts w:ascii="Cambria Math" w:eastAsiaTheme="minorEastAsia" w:hAnsi="Cambria Math" w:cs="Arial"/>
                  <w:sz w:val="20"/>
                  <w:szCs w:val="20"/>
                  <w:lang w:val="en-GB"/>
                </w:rPr>
                <m:t>≫1</m:t>
              </m:r>
            </m:oMath>
            <w:r w:rsidRPr="00C1775F">
              <w:rPr>
                <w:rFonts w:ascii="Cambria" w:eastAsiaTheme="minorEastAsia" w:hAnsi="Cambria" w:cs="Arial"/>
                <w:sz w:val="20"/>
                <w:szCs w:val="20"/>
                <w:lang w:val="en-GB"/>
              </w:rPr>
              <w:t xml:space="preserve"> and particle diameter </w:t>
            </w:r>
            <m:oMath>
              <m:sSub>
                <m:sSubPr>
                  <m:ctrlPr>
                    <w:rPr>
                      <w:rFonts w:ascii="Cambria Math" w:eastAsiaTheme="minorEastAsia" w:hAnsi="Cambria Math" w:cs="Arial"/>
                      <w:sz w:val="20"/>
                      <w:szCs w:val="20"/>
                      <w:lang w:val="en-GB"/>
                    </w:rPr>
                  </m:ctrlPr>
                </m:sSubPr>
                <m:e>
                  <m:r>
                    <m:rPr>
                      <m:sty m:val="p"/>
                    </m:rPr>
                    <w:rPr>
                      <w:rFonts w:ascii="Cambria Math" w:eastAsiaTheme="minorEastAsia" w:hAnsi="Cambria Math" w:cs="Arial"/>
                      <w:sz w:val="20"/>
                      <w:szCs w:val="20"/>
                      <w:lang w:val="en-GB"/>
                    </w:rPr>
                    <m:t>d</m:t>
                  </m:r>
                </m:e>
                <m:sub>
                  <m:r>
                    <m:rPr>
                      <m:sty m:val="p"/>
                    </m:rPr>
                    <w:rPr>
                      <w:rFonts w:ascii="Cambria Math" w:eastAsiaTheme="minorEastAsia" w:hAnsi="Cambria Math" w:cs="Arial"/>
                      <w:sz w:val="20"/>
                      <w:szCs w:val="20"/>
                      <w:lang w:val="en-GB"/>
                    </w:rPr>
                    <m:t>p</m:t>
                  </m:r>
                </m:sub>
              </m:sSub>
            </m:oMath>
            <w:r w:rsidRPr="00C1775F">
              <w:rPr>
                <w:rFonts w:ascii="Cambria" w:eastAsiaTheme="minorEastAsia" w:hAnsi="Cambria" w:cs="Arial"/>
                <w:sz w:val="20"/>
                <w:szCs w:val="20"/>
                <w:lang w:val="en-GB"/>
              </w:rPr>
              <w:t xml:space="preserve"> &gt; 1µm, most of the known particle forces other than drag force can be neglected (Zhang, 2002), thus Eq. (6) can be simplified as follows:</w:t>
            </w:r>
          </w:p>
          <w:p w14:paraId="11D4F1B1" w14:textId="77777777" w:rsidR="00897B93" w:rsidRPr="00C1775F" w:rsidRDefault="00897B93" w:rsidP="00897B93">
            <w:pPr>
              <w:jc w:val="both"/>
              <w:rPr>
                <w:rFonts w:ascii="Cambria" w:eastAsiaTheme="minorEastAsia" w:hAnsi="Cambria" w:cs="Arial"/>
                <w:sz w:val="20"/>
                <w:szCs w:val="20"/>
                <w:lang w:val="en-GB"/>
              </w:rPr>
            </w:pPr>
            <w:r w:rsidRPr="00C1775F">
              <w:rPr>
                <w:rFonts w:ascii="Cambria" w:eastAsiaTheme="minorEastAsia" w:hAnsi="Cambria" w:cs="Arial"/>
                <w:sz w:val="20"/>
                <w:szCs w:val="20"/>
                <w:lang w:val="en-GB"/>
              </w:rPr>
              <w:t xml:space="preserve"> </w:t>
            </w:r>
            <m:oMath>
              <m:f>
                <m:fPr>
                  <m:ctrlPr>
                    <w:rPr>
                      <w:rFonts w:ascii="Cambria Math" w:hAnsi="Cambria Math" w:cs="Arial"/>
                      <w:i/>
                      <w:sz w:val="20"/>
                      <w:szCs w:val="20"/>
                      <w:lang w:val="en-GB"/>
                    </w:rPr>
                  </m:ctrlPr>
                </m:fPr>
                <m:num>
                  <m:r>
                    <w:rPr>
                      <w:rFonts w:ascii="Cambria Math" w:hAnsi="Cambria Math" w:cs="Arial"/>
                      <w:sz w:val="20"/>
                      <w:szCs w:val="20"/>
                      <w:lang w:val="en-GB"/>
                    </w:rPr>
                    <m:t>d</m:t>
                  </m:r>
                  <m:acc>
                    <m:accPr>
                      <m:chr m:val="⃗"/>
                      <m:ctrlPr>
                        <w:rPr>
                          <w:rFonts w:ascii="Cambria Math" w:hAnsi="Cambria Math" w:cs="Arial"/>
                          <w:i/>
                          <w:sz w:val="20"/>
                          <w:szCs w:val="20"/>
                          <w:lang w:val="en-GB"/>
                        </w:rPr>
                      </m:ctrlPr>
                    </m:accPr>
                    <m:e>
                      <m:sSub>
                        <m:sSubPr>
                          <m:ctrlPr>
                            <w:rPr>
                              <w:rFonts w:ascii="Cambria Math" w:hAnsi="Cambria Math" w:cs="Arial"/>
                              <w:i/>
                              <w:sz w:val="20"/>
                              <w:szCs w:val="20"/>
                              <w:lang w:val="en-GB"/>
                            </w:rPr>
                          </m:ctrlPr>
                        </m:sSubPr>
                        <m:e>
                          <m:r>
                            <w:rPr>
                              <w:rFonts w:ascii="Cambria Math" w:hAnsi="Cambria Math" w:cs="Arial"/>
                              <w:sz w:val="20"/>
                              <w:szCs w:val="20"/>
                              <w:lang w:val="en-GB"/>
                            </w:rPr>
                            <m:t>u</m:t>
                          </m:r>
                        </m:e>
                        <m:sub>
                          <m:r>
                            <w:rPr>
                              <w:rFonts w:ascii="Cambria Math" w:hAnsi="Cambria Math" w:cs="Arial"/>
                              <w:sz w:val="20"/>
                              <w:szCs w:val="20"/>
                              <w:lang w:val="en-GB"/>
                            </w:rPr>
                            <m:t>p,i</m:t>
                          </m:r>
                        </m:sub>
                      </m:sSub>
                    </m:e>
                  </m:acc>
                </m:num>
                <m:den>
                  <m:r>
                    <w:rPr>
                      <w:rFonts w:ascii="Cambria Math" w:hAnsi="Cambria Math" w:cs="Arial"/>
                      <w:sz w:val="20"/>
                      <w:szCs w:val="20"/>
                      <w:lang w:val="en-GB"/>
                    </w:rPr>
                    <m:t>dt</m:t>
                  </m:r>
                </m:den>
              </m:f>
              <m:r>
                <w:rPr>
                  <w:rFonts w:ascii="Cambria Math" w:eastAsiaTheme="minorEastAsia" w:hAnsi="Cambria Math" w:cs="Arial"/>
                  <w:sz w:val="20"/>
                  <w:szCs w:val="20"/>
                  <w:lang w:val="en-GB"/>
                </w:rPr>
                <m:t>=</m:t>
              </m:r>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F</m:t>
                  </m:r>
                </m:e>
                <m:sub>
                  <m:r>
                    <w:rPr>
                      <w:rFonts w:ascii="Cambria Math" w:eastAsiaTheme="minorEastAsia" w:hAnsi="Cambria Math" w:cs="Arial"/>
                      <w:sz w:val="20"/>
                      <w:szCs w:val="20"/>
                      <w:lang w:val="en-GB"/>
                    </w:rPr>
                    <m:t>D</m:t>
                  </m:r>
                </m:sub>
              </m:sSub>
              <m:r>
                <w:rPr>
                  <w:rFonts w:ascii="Cambria Math" w:eastAsiaTheme="minorEastAsia" w:hAnsi="Cambria Math" w:cs="Arial"/>
                  <w:sz w:val="20"/>
                  <w:szCs w:val="20"/>
                  <w:lang w:val="en-GB"/>
                </w:rPr>
                <m:t>(</m:t>
              </m:r>
              <m:acc>
                <m:accPr>
                  <m:chr m:val="⃗"/>
                  <m:ctrlPr>
                    <w:rPr>
                      <w:rFonts w:ascii="Cambria Math" w:eastAsiaTheme="minorEastAsia" w:hAnsi="Cambria Math" w:cs="Arial"/>
                      <w:i/>
                      <w:sz w:val="20"/>
                      <w:szCs w:val="20"/>
                      <w:lang w:val="en-GB"/>
                    </w:rPr>
                  </m:ctrlPr>
                </m:accPr>
                <m:e>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u</m:t>
                      </m:r>
                    </m:e>
                    <m:sub>
                      <m:r>
                        <w:rPr>
                          <w:rFonts w:ascii="Cambria Math" w:eastAsiaTheme="minorEastAsia" w:hAnsi="Cambria Math" w:cs="Arial"/>
                          <w:sz w:val="20"/>
                          <w:szCs w:val="20"/>
                          <w:lang w:val="en-GB"/>
                        </w:rPr>
                        <m:t>i</m:t>
                      </m:r>
                    </m:sub>
                  </m:sSub>
                </m:e>
              </m:acc>
              <m:r>
                <w:rPr>
                  <w:rFonts w:ascii="Cambria Math" w:eastAsiaTheme="minorEastAsia" w:hAnsi="Cambria Math" w:cs="Arial"/>
                  <w:sz w:val="20"/>
                  <w:szCs w:val="20"/>
                  <w:lang w:val="en-GB"/>
                </w:rPr>
                <m:t>-</m:t>
              </m:r>
              <m:acc>
                <m:accPr>
                  <m:chr m:val="⃗"/>
                  <m:ctrlPr>
                    <w:rPr>
                      <w:rFonts w:ascii="Cambria Math" w:eastAsiaTheme="minorEastAsia" w:hAnsi="Cambria Math" w:cs="Arial"/>
                      <w:i/>
                      <w:sz w:val="20"/>
                      <w:szCs w:val="20"/>
                      <w:lang w:val="en-GB"/>
                    </w:rPr>
                  </m:ctrlPr>
                </m:accPr>
                <m:e>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u</m:t>
                      </m:r>
                    </m:e>
                    <m:sub>
                      <m:r>
                        <w:rPr>
                          <w:rFonts w:ascii="Cambria Math" w:eastAsiaTheme="minorEastAsia" w:hAnsi="Cambria Math" w:cs="Arial"/>
                          <w:sz w:val="20"/>
                          <w:szCs w:val="20"/>
                          <w:lang w:val="en-GB"/>
                        </w:rPr>
                        <m:t>p,i</m:t>
                      </m:r>
                    </m:sub>
                  </m:sSub>
                </m:e>
              </m:acc>
              <m:r>
                <w:rPr>
                  <w:rFonts w:ascii="Cambria Math" w:eastAsiaTheme="minorEastAsia" w:hAnsi="Cambria Math" w:cs="Arial"/>
                  <w:sz w:val="20"/>
                  <w:szCs w:val="20"/>
                  <w:lang w:val="en-GB"/>
                </w:rPr>
                <m:t>)</m:t>
              </m:r>
            </m:oMath>
            <w:r w:rsidRPr="00C1775F">
              <w:rPr>
                <w:rFonts w:ascii="Cambria" w:eastAsiaTheme="minorEastAsia" w:hAnsi="Cambria" w:cs="Arial"/>
                <w:sz w:val="20"/>
                <w:szCs w:val="20"/>
                <w:lang w:val="en-GB"/>
              </w:rPr>
              <w:tab/>
            </w:r>
            <w:r w:rsidRPr="00C1775F">
              <w:rPr>
                <w:rFonts w:ascii="Cambria" w:eastAsiaTheme="minorEastAsia" w:hAnsi="Cambria" w:cs="Arial"/>
                <w:sz w:val="20"/>
                <w:szCs w:val="20"/>
                <w:lang w:val="en-GB"/>
              </w:rPr>
              <w:tab/>
            </w:r>
            <w:r w:rsidRPr="00C1775F">
              <w:rPr>
                <w:rFonts w:ascii="Cambria" w:eastAsiaTheme="minorEastAsia" w:hAnsi="Cambria" w:cs="Arial"/>
                <w:sz w:val="20"/>
                <w:szCs w:val="20"/>
                <w:lang w:val="en-GB"/>
              </w:rPr>
              <w:tab/>
            </w:r>
            <w:r w:rsidRPr="00C1775F">
              <w:rPr>
                <w:rFonts w:ascii="Cambria" w:eastAsiaTheme="minorEastAsia" w:hAnsi="Cambria" w:cs="Arial"/>
                <w:sz w:val="20"/>
                <w:szCs w:val="20"/>
                <w:lang w:val="en-GB"/>
              </w:rPr>
              <w:tab/>
            </w:r>
            <w:r w:rsidRPr="00C1775F">
              <w:rPr>
                <w:rFonts w:ascii="Cambria" w:eastAsiaTheme="minorEastAsia" w:hAnsi="Cambria" w:cs="Arial"/>
                <w:sz w:val="20"/>
                <w:szCs w:val="20"/>
                <w:lang w:val="en-GB"/>
              </w:rPr>
              <w:tab/>
            </w:r>
            <w:r w:rsidRPr="00C1775F">
              <w:rPr>
                <w:rFonts w:ascii="Cambria" w:eastAsiaTheme="minorEastAsia" w:hAnsi="Cambria" w:cs="Arial"/>
                <w:sz w:val="20"/>
                <w:szCs w:val="20"/>
                <w:lang w:val="en-GB"/>
              </w:rPr>
              <w:tab/>
              <w:t>(7)</w:t>
            </w:r>
          </w:p>
          <w:p w14:paraId="3148BDDC" w14:textId="77777777" w:rsidR="00897B93" w:rsidRPr="00C1775F" w:rsidRDefault="00897B93" w:rsidP="00897B93">
            <w:pPr>
              <w:jc w:val="both"/>
              <w:rPr>
                <w:rFonts w:ascii="Cambria" w:eastAsiaTheme="minorEastAsia" w:hAnsi="Cambria" w:cs="Arial"/>
                <w:sz w:val="20"/>
                <w:szCs w:val="20"/>
                <w:lang w:val="en-GB"/>
              </w:rPr>
            </w:pPr>
            <w:r w:rsidRPr="00C1775F">
              <w:rPr>
                <w:rFonts w:ascii="Cambria" w:eastAsiaTheme="minorEastAsia" w:hAnsi="Cambria" w:cs="Arial"/>
                <w:sz w:val="20"/>
                <w:szCs w:val="20"/>
                <w:lang w:val="en-GB"/>
              </w:rPr>
              <w:t xml:space="preserve">where </w:t>
            </w:r>
            <m:oMath>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u</m:t>
                  </m:r>
                </m:e>
                <m:sub>
                  <m:r>
                    <w:rPr>
                      <w:rFonts w:ascii="Cambria Math" w:eastAsiaTheme="minorEastAsia" w:hAnsi="Cambria Math" w:cs="Arial"/>
                      <w:sz w:val="20"/>
                      <w:szCs w:val="20"/>
                      <w:lang w:val="en-GB"/>
                    </w:rPr>
                    <m:t>p,i</m:t>
                  </m:r>
                </m:sub>
              </m:sSub>
            </m:oMath>
            <w:r w:rsidRPr="00C1775F">
              <w:rPr>
                <w:rFonts w:ascii="Cambria" w:eastAsiaTheme="minorEastAsia" w:hAnsi="Cambria" w:cs="Arial"/>
                <w:sz w:val="20"/>
                <w:szCs w:val="20"/>
                <w:lang w:val="en-GB"/>
              </w:rPr>
              <w:t xml:space="preserve"> and </w:t>
            </w:r>
            <m:oMath>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u</m:t>
                  </m:r>
                </m:e>
                <m:sub>
                  <m:r>
                    <w:rPr>
                      <w:rFonts w:ascii="Cambria Math" w:eastAsiaTheme="minorEastAsia" w:hAnsi="Cambria Math" w:cs="Arial"/>
                      <w:sz w:val="20"/>
                      <w:szCs w:val="20"/>
                      <w:lang w:val="en-GB"/>
                    </w:rPr>
                    <m:t>i</m:t>
                  </m:r>
                </m:sub>
              </m:sSub>
            </m:oMath>
            <w:r w:rsidRPr="00C1775F">
              <w:rPr>
                <w:rFonts w:ascii="Cambria" w:eastAsiaTheme="minorEastAsia" w:hAnsi="Cambria" w:cs="Arial"/>
                <w:sz w:val="20"/>
                <w:szCs w:val="20"/>
                <w:lang w:val="en-GB"/>
              </w:rPr>
              <w:t xml:space="preserve"> are the components of particle and fluid velocity in the </w:t>
            </w:r>
            <m:oMath>
              <m:r>
                <w:rPr>
                  <w:rFonts w:ascii="Cambria Math" w:eastAsiaTheme="minorEastAsia" w:hAnsi="Cambria Math" w:cs="Arial"/>
                  <w:sz w:val="20"/>
                  <w:szCs w:val="20"/>
                  <w:lang w:val="en-GB"/>
                </w:rPr>
                <m:t>i-th</m:t>
              </m:r>
            </m:oMath>
            <w:r w:rsidRPr="00C1775F">
              <w:rPr>
                <w:rFonts w:ascii="Cambria" w:eastAsiaTheme="minorEastAsia" w:hAnsi="Cambria" w:cs="Arial"/>
                <w:sz w:val="20"/>
                <w:szCs w:val="20"/>
                <w:lang w:val="en-GB"/>
              </w:rPr>
              <w:t xml:space="preserve"> position, respectively. For spherical particles, the drag force per unit mass is defined as: </w:t>
            </w:r>
          </w:p>
          <w:p w14:paraId="4EA8815B" w14:textId="77777777" w:rsidR="00897B93" w:rsidRPr="00C1775F" w:rsidRDefault="0036250D" w:rsidP="00897B93">
            <w:pPr>
              <w:jc w:val="both"/>
              <w:rPr>
                <w:rFonts w:ascii="Cambria" w:eastAsiaTheme="minorEastAsia" w:hAnsi="Cambria" w:cs="Arial"/>
                <w:sz w:val="20"/>
                <w:szCs w:val="20"/>
                <w:lang w:val="en-GB"/>
              </w:rPr>
            </w:pPr>
            <m:oMath>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F</m:t>
                  </m:r>
                </m:e>
                <m:sub>
                  <m:r>
                    <w:rPr>
                      <w:rFonts w:ascii="Cambria Math" w:eastAsiaTheme="minorEastAsia" w:hAnsi="Cambria Math" w:cs="Arial"/>
                      <w:sz w:val="20"/>
                      <w:szCs w:val="20"/>
                      <w:lang w:val="en-GB"/>
                    </w:rPr>
                    <m:t>D</m:t>
                  </m:r>
                </m:sub>
              </m:sSub>
              <m:r>
                <w:rPr>
                  <w:rFonts w:ascii="Cambria Math" w:eastAsiaTheme="minorEastAsia" w:hAnsi="Cambria Math" w:cs="Arial"/>
                  <w:sz w:val="20"/>
                  <w:szCs w:val="20"/>
                  <w:lang w:val="en-GB"/>
                </w:rPr>
                <m:t>=</m:t>
              </m:r>
              <m:f>
                <m:fPr>
                  <m:ctrlPr>
                    <w:rPr>
                      <w:rFonts w:ascii="Cambria Math" w:eastAsiaTheme="minorEastAsia" w:hAnsi="Cambria Math" w:cs="Arial"/>
                      <w:i/>
                      <w:sz w:val="20"/>
                      <w:szCs w:val="20"/>
                      <w:lang w:val="en-GB"/>
                    </w:rPr>
                  </m:ctrlPr>
                </m:fPr>
                <m:num>
                  <m:r>
                    <w:rPr>
                      <w:rFonts w:ascii="Cambria Math" w:eastAsiaTheme="minorEastAsia" w:hAnsi="Cambria Math" w:cs="Arial"/>
                      <w:sz w:val="20"/>
                      <w:szCs w:val="20"/>
                      <w:lang w:val="en-GB"/>
                    </w:rPr>
                    <m:t>18µ</m:t>
                  </m:r>
                </m:num>
                <m:den>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ρ</m:t>
                      </m:r>
                    </m:e>
                    <m:sub>
                      <m:r>
                        <w:rPr>
                          <w:rFonts w:ascii="Cambria Math" w:eastAsiaTheme="minorEastAsia" w:hAnsi="Cambria Math" w:cs="Arial"/>
                          <w:sz w:val="20"/>
                          <w:szCs w:val="20"/>
                          <w:lang w:val="en-GB"/>
                        </w:rPr>
                        <m:t>p</m:t>
                      </m:r>
                    </m:sub>
                  </m:sSub>
                  <m:sSubSup>
                    <m:sSubSupPr>
                      <m:ctrlPr>
                        <w:rPr>
                          <w:rFonts w:ascii="Cambria Math" w:eastAsiaTheme="minorEastAsia" w:hAnsi="Cambria Math" w:cs="Arial"/>
                          <w:i/>
                          <w:sz w:val="20"/>
                          <w:szCs w:val="20"/>
                          <w:lang w:val="en-GB"/>
                        </w:rPr>
                      </m:ctrlPr>
                    </m:sSubSupPr>
                    <m:e>
                      <m:r>
                        <w:rPr>
                          <w:rFonts w:ascii="Cambria Math" w:eastAsiaTheme="minorEastAsia" w:hAnsi="Cambria Math" w:cs="Arial"/>
                          <w:sz w:val="20"/>
                          <w:szCs w:val="20"/>
                          <w:lang w:val="en-GB"/>
                        </w:rPr>
                        <m:t>d</m:t>
                      </m:r>
                    </m:e>
                    <m:sub>
                      <m:r>
                        <w:rPr>
                          <w:rFonts w:ascii="Cambria Math" w:eastAsiaTheme="minorEastAsia" w:hAnsi="Cambria Math" w:cs="Arial"/>
                          <w:sz w:val="20"/>
                          <w:szCs w:val="20"/>
                          <w:lang w:val="en-GB"/>
                        </w:rPr>
                        <m:t>p</m:t>
                      </m:r>
                    </m:sub>
                    <m:sup>
                      <m:r>
                        <w:rPr>
                          <w:rFonts w:ascii="Cambria Math" w:eastAsiaTheme="minorEastAsia" w:hAnsi="Cambria Math" w:cs="Arial"/>
                          <w:sz w:val="20"/>
                          <w:szCs w:val="20"/>
                          <w:lang w:val="en-GB"/>
                        </w:rPr>
                        <m:t>2</m:t>
                      </m:r>
                    </m:sup>
                  </m:sSubSup>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C</m:t>
                      </m:r>
                    </m:e>
                    <m:sub>
                      <m:r>
                        <w:rPr>
                          <w:rFonts w:ascii="Cambria Math" w:eastAsiaTheme="minorEastAsia" w:hAnsi="Cambria Math" w:cs="Arial"/>
                          <w:sz w:val="20"/>
                          <w:szCs w:val="20"/>
                          <w:lang w:val="en-GB"/>
                        </w:rPr>
                        <m:t>c</m:t>
                      </m:r>
                    </m:sub>
                  </m:sSub>
                </m:den>
              </m:f>
            </m:oMath>
            <w:r w:rsidR="00897B93" w:rsidRPr="00C1775F">
              <w:rPr>
                <w:rFonts w:ascii="Cambria" w:eastAsiaTheme="minorEastAsia" w:hAnsi="Cambria" w:cs="Arial"/>
                <w:sz w:val="20"/>
                <w:szCs w:val="20"/>
                <w:lang w:val="en-GB"/>
              </w:rPr>
              <w:t xml:space="preserve"> </w:t>
            </w:r>
            <m:oMath>
              <m:f>
                <m:fPr>
                  <m:ctrlPr>
                    <w:rPr>
                      <w:rFonts w:ascii="Cambria Math" w:eastAsiaTheme="minorEastAsia" w:hAnsi="Cambria Math" w:cs="Arial"/>
                      <w:i/>
                      <w:sz w:val="20"/>
                      <w:szCs w:val="20"/>
                      <w:lang w:val="en-GB"/>
                    </w:rPr>
                  </m:ctrlPr>
                </m:fPr>
                <m:num>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C</m:t>
                      </m:r>
                    </m:e>
                    <m:sub>
                      <m:r>
                        <w:rPr>
                          <w:rFonts w:ascii="Cambria Math" w:eastAsiaTheme="minorEastAsia" w:hAnsi="Cambria Math" w:cs="Arial"/>
                          <w:sz w:val="20"/>
                          <w:szCs w:val="20"/>
                          <w:lang w:val="en-GB"/>
                        </w:rPr>
                        <m:t>D</m:t>
                      </m:r>
                    </m:sub>
                  </m:sSub>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Re</m:t>
                      </m:r>
                    </m:e>
                    <m:sub>
                      <m:r>
                        <w:rPr>
                          <w:rFonts w:ascii="Cambria Math" w:eastAsiaTheme="minorEastAsia" w:hAnsi="Cambria Math" w:cs="Arial"/>
                          <w:sz w:val="20"/>
                          <w:szCs w:val="20"/>
                          <w:lang w:val="en-GB"/>
                        </w:rPr>
                        <m:t>p</m:t>
                      </m:r>
                    </m:sub>
                  </m:sSub>
                </m:num>
                <m:den>
                  <m:r>
                    <w:rPr>
                      <w:rFonts w:ascii="Cambria Math" w:eastAsiaTheme="minorEastAsia" w:hAnsi="Cambria Math" w:cs="Arial"/>
                      <w:sz w:val="20"/>
                      <w:szCs w:val="20"/>
                      <w:lang w:val="en-GB"/>
                    </w:rPr>
                    <m:t>24</m:t>
                  </m:r>
                </m:den>
              </m:f>
            </m:oMath>
            <w:r w:rsidR="00897B93" w:rsidRPr="00C1775F">
              <w:rPr>
                <w:rFonts w:ascii="Cambria" w:eastAsiaTheme="minorEastAsia" w:hAnsi="Cambria" w:cs="Arial"/>
                <w:sz w:val="20"/>
                <w:szCs w:val="20"/>
                <w:lang w:val="en-GB"/>
              </w:rPr>
              <w:tab/>
            </w:r>
            <w:r w:rsidR="00897B93" w:rsidRPr="00C1775F">
              <w:rPr>
                <w:rFonts w:ascii="Cambria" w:eastAsiaTheme="minorEastAsia" w:hAnsi="Cambria" w:cs="Arial"/>
                <w:sz w:val="20"/>
                <w:szCs w:val="20"/>
                <w:lang w:val="en-GB"/>
              </w:rPr>
              <w:tab/>
            </w:r>
            <w:r w:rsidR="00897B93" w:rsidRPr="00C1775F">
              <w:rPr>
                <w:rFonts w:ascii="Cambria" w:eastAsiaTheme="minorEastAsia" w:hAnsi="Cambria" w:cs="Arial"/>
                <w:sz w:val="20"/>
                <w:szCs w:val="20"/>
                <w:lang w:val="en-GB"/>
              </w:rPr>
              <w:tab/>
            </w:r>
            <w:r w:rsidR="00897B93" w:rsidRPr="00C1775F">
              <w:rPr>
                <w:rFonts w:ascii="Cambria" w:eastAsiaTheme="minorEastAsia" w:hAnsi="Cambria" w:cs="Arial"/>
                <w:sz w:val="20"/>
                <w:szCs w:val="20"/>
                <w:lang w:val="en-GB"/>
              </w:rPr>
              <w:tab/>
            </w:r>
            <w:r w:rsidR="00897B93" w:rsidRPr="00C1775F">
              <w:rPr>
                <w:rFonts w:ascii="Cambria" w:eastAsiaTheme="minorEastAsia" w:hAnsi="Cambria" w:cs="Arial"/>
                <w:sz w:val="20"/>
                <w:szCs w:val="20"/>
                <w:lang w:val="en-GB"/>
              </w:rPr>
              <w:tab/>
            </w:r>
            <w:r w:rsidR="00897B93" w:rsidRPr="00C1775F">
              <w:rPr>
                <w:rFonts w:ascii="Cambria" w:eastAsiaTheme="minorEastAsia" w:hAnsi="Cambria" w:cs="Arial"/>
                <w:sz w:val="20"/>
                <w:szCs w:val="20"/>
                <w:lang w:val="en-GB"/>
              </w:rPr>
              <w:tab/>
              <w:t>(8)</w:t>
            </w:r>
          </w:p>
          <w:p w14:paraId="31775122" w14:textId="105B4FC4" w:rsidR="00897B93" w:rsidRPr="00C1775F" w:rsidRDefault="00897B93" w:rsidP="00897B93">
            <w:pPr>
              <w:jc w:val="both"/>
              <w:rPr>
                <w:rFonts w:ascii="Cambria" w:eastAsiaTheme="minorEastAsia" w:hAnsi="Cambria" w:cs="Arial"/>
                <w:sz w:val="20"/>
                <w:szCs w:val="20"/>
                <w:lang w:val="en-GB"/>
              </w:rPr>
            </w:pPr>
            <w:r w:rsidRPr="00C1775F">
              <w:rPr>
                <w:rFonts w:ascii="Cambria" w:eastAsiaTheme="minorEastAsia" w:hAnsi="Cambria" w:cs="Arial"/>
                <w:sz w:val="20"/>
                <w:szCs w:val="20"/>
                <w:lang w:val="en-GB"/>
              </w:rPr>
              <w:t xml:space="preserve">where </w:t>
            </w:r>
            <m:oMath>
              <m:sSub>
                <m:sSubPr>
                  <m:ctrlPr>
                    <w:rPr>
                      <w:rFonts w:ascii="Cambria Math" w:eastAsiaTheme="minorEastAsia" w:hAnsi="Cambria Math" w:cs="Arial"/>
                      <w:sz w:val="20"/>
                      <w:szCs w:val="20"/>
                      <w:lang w:val="en-GB"/>
                    </w:rPr>
                  </m:ctrlPr>
                </m:sSubPr>
                <m:e>
                  <m:r>
                    <m:rPr>
                      <m:sty m:val="p"/>
                    </m:rPr>
                    <w:rPr>
                      <w:rFonts w:ascii="Cambria Math" w:eastAsiaTheme="minorEastAsia" w:hAnsi="Cambria Math" w:cs="Arial"/>
                      <w:sz w:val="20"/>
                      <w:szCs w:val="20"/>
                      <w:lang w:val="en-GB"/>
                    </w:rPr>
                    <m:t>C</m:t>
                  </m:r>
                </m:e>
                <m:sub>
                  <m:r>
                    <m:rPr>
                      <m:sty m:val="p"/>
                    </m:rPr>
                    <w:rPr>
                      <w:rFonts w:ascii="Cambria Math" w:eastAsiaTheme="minorEastAsia" w:hAnsi="Cambria Math" w:cs="Arial"/>
                      <w:sz w:val="20"/>
                      <w:szCs w:val="20"/>
                      <w:lang w:val="en-GB"/>
                    </w:rPr>
                    <m:t>D</m:t>
                  </m:r>
                </m:sub>
              </m:sSub>
            </m:oMath>
            <w:r w:rsidRPr="00C1775F">
              <w:rPr>
                <w:rFonts w:ascii="Cambria" w:eastAsiaTheme="minorEastAsia" w:hAnsi="Cambria" w:cs="Arial"/>
                <w:sz w:val="20"/>
                <w:szCs w:val="20"/>
                <w:lang w:val="en-GB"/>
              </w:rPr>
              <w:t xml:space="preserve"> is the drag coefficient defined by Morsi and Alexander (Morsi, 1972), </w:t>
            </w:r>
            <m:oMath>
              <m:sSub>
                <m:sSubPr>
                  <m:ctrlPr>
                    <w:rPr>
                      <w:rFonts w:ascii="Cambria Math" w:eastAsiaTheme="minorEastAsia" w:hAnsi="Cambria Math" w:cs="Arial"/>
                      <w:sz w:val="20"/>
                      <w:szCs w:val="20"/>
                      <w:lang w:val="en-GB"/>
                    </w:rPr>
                  </m:ctrlPr>
                </m:sSubPr>
                <m:e>
                  <m:r>
                    <m:rPr>
                      <m:sty m:val="p"/>
                    </m:rPr>
                    <w:rPr>
                      <w:rFonts w:ascii="Cambria Math" w:eastAsiaTheme="minorEastAsia" w:hAnsi="Cambria Math" w:cs="Arial"/>
                      <w:sz w:val="20"/>
                      <w:szCs w:val="20"/>
                      <w:lang w:val="en-GB"/>
                    </w:rPr>
                    <m:t>d</m:t>
                  </m:r>
                </m:e>
                <m:sub>
                  <m:r>
                    <m:rPr>
                      <m:sty m:val="p"/>
                    </m:rPr>
                    <w:rPr>
                      <w:rFonts w:ascii="Cambria Math" w:eastAsiaTheme="minorEastAsia" w:hAnsi="Cambria Math" w:cs="Arial"/>
                      <w:sz w:val="20"/>
                      <w:szCs w:val="20"/>
                      <w:lang w:val="en-GB"/>
                    </w:rPr>
                    <m:t>p</m:t>
                  </m:r>
                </m:sub>
              </m:sSub>
            </m:oMath>
            <w:r w:rsidRPr="00C1775F">
              <w:rPr>
                <w:rFonts w:ascii="Cambria" w:eastAsiaTheme="minorEastAsia" w:hAnsi="Cambria" w:cs="Arial"/>
                <w:sz w:val="20"/>
                <w:szCs w:val="20"/>
                <w:lang w:val="en-GB"/>
              </w:rPr>
              <w:t xml:space="preserve"> is the particle diameter and </w:t>
            </w:r>
            <m:oMath>
              <m:sSub>
                <m:sSubPr>
                  <m:ctrlPr>
                    <w:rPr>
                      <w:rFonts w:ascii="Cambria Math" w:eastAsiaTheme="minorEastAsia" w:hAnsi="Cambria Math" w:cs="Arial"/>
                      <w:sz w:val="20"/>
                      <w:szCs w:val="20"/>
                      <w:lang w:val="en-GB"/>
                    </w:rPr>
                  </m:ctrlPr>
                </m:sSubPr>
                <m:e>
                  <m:r>
                    <m:rPr>
                      <m:sty m:val="p"/>
                    </m:rPr>
                    <w:rPr>
                      <w:rFonts w:ascii="Cambria Math" w:eastAsiaTheme="minorEastAsia" w:hAnsi="Cambria Math" w:cs="Arial"/>
                      <w:sz w:val="20"/>
                      <w:szCs w:val="20"/>
                      <w:lang w:val="en-GB"/>
                    </w:rPr>
                    <m:t>C</m:t>
                  </m:r>
                </m:e>
                <m:sub>
                  <m:r>
                    <m:rPr>
                      <m:sty m:val="p"/>
                    </m:rPr>
                    <w:rPr>
                      <w:rFonts w:ascii="Cambria Math" w:eastAsiaTheme="minorEastAsia" w:hAnsi="Cambria Math" w:cs="Arial"/>
                      <w:sz w:val="20"/>
                      <w:szCs w:val="20"/>
                      <w:lang w:val="en-GB"/>
                    </w:rPr>
                    <m:t>c</m:t>
                  </m:r>
                </m:sub>
              </m:sSub>
            </m:oMath>
            <w:r w:rsidRPr="00C1775F">
              <w:rPr>
                <w:rFonts w:ascii="Cambria" w:eastAsiaTheme="minorEastAsia" w:hAnsi="Cambria" w:cs="Arial"/>
                <w:sz w:val="20"/>
                <w:szCs w:val="20"/>
                <w:lang w:val="en-GB"/>
              </w:rPr>
              <w:t xml:space="preserve"> is the Cunningham slip correction factor defined by Hinds et al. (Hinds, 1999). </w:t>
            </w:r>
          </w:p>
          <w:p w14:paraId="3A62E4BC" w14:textId="77777777" w:rsidR="00897B93" w:rsidRPr="00C1775F" w:rsidRDefault="00897B93" w:rsidP="00897B93">
            <w:pPr>
              <w:jc w:val="both"/>
              <w:rPr>
                <w:rFonts w:ascii="Cambria" w:eastAsiaTheme="minorEastAsia" w:hAnsi="Cambria" w:cs="Arial"/>
                <w:sz w:val="20"/>
                <w:szCs w:val="20"/>
                <w:lang w:val="en-GB"/>
              </w:rPr>
            </w:pPr>
            <w:r w:rsidRPr="00C1775F">
              <w:rPr>
                <w:rFonts w:ascii="Cambria" w:hAnsi="Cambria" w:cs="Arial"/>
                <w:sz w:val="20"/>
                <w:szCs w:val="20"/>
                <w:lang w:val="en-GB"/>
              </w:rPr>
              <w:t xml:space="preserve">With particle Reynolds numbers </w:t>
            </w:r>
            <m:oMath>
              <m:sSub>
                <m:sSubPr>
                  <m:ctrlPr>
                    <w:rPr>
                      <w:rFonts w:ascii="Cambria Math" w:hAnsi="Cambria Math" w:cs="Arial"/>
                      <w:sz w:val="20"/>
                      <w:szCs w:val="20"/>
                      <w:lang w:val="en-GB"/>
                    </w:rPr>
                  </m:ctrlPr>
                </m:sSubPr>
                <m:e>
                  <m:r>
                    <m:rPr>
                      <m:sty m:val="p"/>
                    </m:rPr>
                    <w:rPr>
                      <w:rFonts w:ascii="Cambria Math" w:hAnsi="Cambria Math" w:cs="Arial"/>
                      <w:sz w:val="20"/>
                      <w:szCs w:val="20"/>
                      <w:lang w:val="en-GB"/>
                    </w:rPr>
                    <m:t xml:space="preserve"> Re</m:t>
                  </m:r>
                </m:e>
                <m:sub>
                  <m:r>
                    <m:rPr>
                      <m:sty m:val="p"/>
                    </m:rPr>
                    <w:rPr>
                      <w:rFonts w:ascii="Cambria Math" w:hAnsi="Cambria Math" w:cs="Arial"/>
                      <w:sz w:val="20"/>
                      <w:szCs w:val="20"/>
                      <w:lang w:val="en-GB"/>
                    </w:rPr>
                    <m:t>p</m:t>
                  </m:r>
                </m:sub>
              </m:sSub>
              <m:r>
                <m:rPr>
                  <m:sty m:val="p"/>
                </m:rPr>
                <w:rPr>
                  <w:rFonts w:ascii="Cambria Math" w:hAnsi="Cambria Math" w:cs="Arial"/>
                  <w:sz w:val="20"/>
                  <w:szCs w:val="20"/>
                  <w:lang w:val="en-GB"/>
                </w:rPr>
                <m:t>&lt;1</m:t>
              </m:r>
            </m:oMath>
            <w:r w:rsidRPr="00C1775F">
              <w:rPr>
                <w:rFonts w:ascii="Cambria" w:eastAsiaTheme="minorEastAsia" w:hAnsi="Cambria" w:cs="Arial"/>
                <w:sz w:val="20"/>
                <w:szCs w:val="20"/>
                <w:lang w:val="en-GB"/>
              </w:rPr>
              <w:t xml:space="preserve"> and very small Stokes numbers (</w:t>
            </w:r>
            <m:oMath>
              <m:r>
                <m:rPr>
                  <m:sty m:val="p"/>
                </m:rPr>
                <w:rPr>
                  <w:rFonts w:ascii="Cambria Math" w:hAnsi="Cambria Math" w:cs="Arial"/>
                  <w:sz w:val="20"/>
                  <w:szCs w:val="20"/>
                  <w:lang w:val="en-GB"/>
                </w:rPr>
                <m:t>St &lt; 0.25</m:t>
              </m:r>
            </m:oMath>
            <w:r w:rsidRPr="00C1775F">
              <w:rPr>
                <w:rFonts w:ascii="Cambria" w:eastAsiaTheme="minorEastAsia" w:hAnsi="Cambria" w:cs="Arial"/>
                <w:sz w:val="20"/>
                <w:szCs w:val="20"/>
                <w:lang w:val="en-GB"/>
              </w:rPr>
              <w:t xml:space="preserve">), several authors found that particle motion can be basically achieved with a first-order correction to fluid element motion equation (Comer 2000) (Zhang 2001; Zhang 2002). For example, Comer observed that the largest influence of the Cunningham slip correction factor </w:t>
            </w:r>
            <m:oMath>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C</m:t>
                  </m:r>
                </m:e>
                <m:sub>
                  <m:r>
                    <w:rPr>
                      <w:rFonts w:ascii="Cambria Math" w:eastAsiaTheme="minorEastAsia" w:hAnsi="Cambria Math" w:cs="Arial"/>
                      <w:sz w:val="20"/>
                      <w:szCs w:val="20"/>
                      <w:lang w:val="en-GB"/>
                    </w:rPr>
                    <m:t>c</m:t>
                  </m:r>
                </m:sub>
              </m:sSub>
            </m:oMath>
            <w:r w:rsidRPr="00C1775F">
              <w:rPr>
                <w:rFonts w:ascii="Cambria" w:eastAsiaTheme="minorEastAsia" w:hAnsi="Cambria" w:cs="Arial"/>
                <w:sz w:val="20"/>
                <w:szCs w:val="20"/>
                <w:lang w:val="en-GB"/>
              </w:rPr>
              <w:t xml:space="preserve"> was a 2% change in particle DE at St = 0.24 (Comer, PhD thesis publication). In this sense, </w:t>
            </w:r>
            <m:oMath>
              <m:sSub>
                <m:sSubPr>
                  <m:ctrlPr>
                    <w:rPr>
                      <w:rFonts w:ascii="Cambria Math" w:eastAsiaTheme="minorEastAsia" w:hAnsi="Cambria Math" w:cs="Arial"/>
                      <w:i/>
                      <w:sz w:val="20"/>
                      <w:szCs w:val="20"/>
                      <w:lang w:val="en-GB"/>
                    </w:rPr>
                  </m:ctrlPr>
                </m:sSubPr>
                <m:e>
                  <m:r>
                    <w:rPr>
                      <w:rFonts w:ascii="Cambria Math" w:eastAsiaTheme="minorEastAsia" w:hAnsi="Cambria Math" w:cs="Arial"/>
                      <w:sz w:val="20"/>
                      <w:szCs w:val="20"/>
                      <w:lang w:val="en-GB"/>
                    </w:rPr>
                    <m:t>C</m:t>
                  </m:r>
                </m:e>
                <m:sub>
                  <m:r>
                    <w:rPr>
                      <w:rFonts w:ascii="Cambria Math" w:eastAsiaTheme="minorEastAsia" w:hAnsi="Cambria Math" w:cs="Arial"/>
                      <w:sz w:val="20"/>
                      <w:szCs w:val="20"/>
                      <w:lang w:val="en-GB"/>
                    </w:rPr>
                    <m:t>c</m:t>
                  </m:r>
                </m:sub>
              </m:sSub>
            </m:oMath>
            <w:r w:rsidRPr="00C1775F">
              <w:rPr>
                <w:rFonts w:ascii="Cambria" w:eastAsiaTheme="minorEastAsia" w:hAnsi="Cambria" w:cs="Arial"/>
                <w:sz w:val="20"/>
                <w:szCs w:val="20"/>
                <w:lang w:val="en-GB"/>
              </w:rPr>
              <w:t xml:space="preserve"> is used for particles in the nanometric range, where the primary phase cannot be considered continuous (Tu, 2013). Furthermore, the correction to Stokes law for non-rigid spheres as water droplets is generally insignificant (Hinds 1999; Tu 2013; Fluent Guide, Fluent 16, Ansys Inc.).</w:t>
            </w:r>
          </w:p>
          <w:p w14:paraId="1A0FBC17" w14:textId="77777777" w:rsidR="00897B93" w:rsidRPr="00C1775F" w:rsidRDefault="00897B93" w:rsidP="00897B93">
            <w:pPr>
              <w:jc w:val="both"/>
              <w:rPr>
                <w:rFonts w:ascii="Cambria" w:eastAsiaTheme="minorEastAsia" w:hAnsi="Cambria" w:cs="Arial"/>
                <w:sz w:val="20"/>
                <w:szCs w:val="20"/>
                <w:lang w:val="en-GB"/>
              </w:rPr>
            </w:pPr>
          </w:p>
          <w:p w14:paraId="33D5411C" w14:textId="23BBE8C6" w:rsidR="00897B93" w:rsidRPr="00C1775F" w:rsidRDefault="00897B93">
            <w:pPr>
              <w:rPr>
                <w:rFonts w:ascii="Cambria" w:hAnsi="Cambria" w:cs="Arial"/>
                <w:sz w:val="20"/>
                <w:szCs w:val="20"/>
                <w:highlight w:val="blue"/>
                <w:lang w:val="en-US"/>
              </w:rPr>
            </w:pPr>
          </w:p>
        </w:tc>
      </w:tr>
      <w:tr w:rsidR="00841065" w:rsidRPr="00C1775F" w14:paraId="5D21AA2F" w14:textId="77777777" w:rsidTr="00797DEE">
        <w:tc>
          <w:tcPr>
            <w:tcW w:w="9628" w:type="dxa"/>
          </w:tcPr>
          <w:p w14:paraId="4E48E262" w14:textId="662EBF26" w:rsidR="00841065" w:rsidRPr="00C1775F" w:rsidRDefault="00841065">
            <w:pPr>
              <w:rPr>
                <w:rFonts w:ascii="Cambria" w:hAnsi="Cambria" w:cs="Arial"/>
                <w:b/>
                <w:bCs/>
                <w:sz w:val="20"/>
                <w:szCs w:val="20"/>
                <w:lang w:val="en-US"/>
              </w:rPr>
            </w:pPr>
            <w:r w:rsidRPr="00C1775F">
              <w:rPr>
                <w:rFonts w:ascii="Cambria" w:hAnsi="Cambria" w:cs="Arial"/>
                <w:b/>
                <w:bCs/>
                <w:sz w:val="20"/>
                <w:szCs w:val="20"/>
                <w:lang w:val="en-US"/>
              </w:rPr>
              <w:t>SM</w:t>
            </w:r>
            <w:r w:rsidR="00E9464B" w:rsidRPr="00C1775F">
              <w:rPr>
                <w:rFonts w:ascii="Cambria" w:hAnsi="Cambria" w:cs="Arial"/>
                <w:b/>
                <w:bCs/>
                <w:sz w:val="20"/>
                <w:szCs w:val="20"/>
                <w:lang w:val="en-US"/>
              </w:rPr>
              <w:t>5</w:t>
            </w:r>
          </w:p>
        </w:tc>
      </w:tr>
      <w:tr w:rsidR="00797DEE" w:rsidRPr="00C1775F" w14:paraId="62C0EBA8" w14:textId="77777777" w:rsidTr="00797DEE">
        <w:tc>
          <w:tcPr>
            <w:tcW w:w="9628" w:type="dxa"/>
          </w:tcPr>
          <w:tbl>
            <w:tblPr>
              <w:tblStyle w:val="TableGrid"/>
              <w:tblW w:w="0" w:type="auto"/>
              <w:tblLook w:val="04A0" w:firstRow="1" w:lastRow="0" w:firstColumn="1" w:lastColumn="0" w:noHBand="0" w:noVBand="1"/>
            </w:tblPr>
            <w:tblGrid>
              <w:gridCol w:w="1555"/>
              <w:gridCol w:w="1134"/>
              <w:gridCol w:w="1134"/>
              <w:gridCol w:w="1134"/>
              <w:gridCol w:w="1134"/>
            </w:tblGrid>
            <w:tr w:rsidR="00841065" w:rsidRPr="00C1775F" w14:paraId="4F3AED97" w14:textId="77777777" w:rsidTr="00AB0217">
              <w:trPr>
                <w:trHeight w:val="269"/>
              </w:trPr>
              <w:tc>
                <w:tcPr>
                  <w:tcW w:w="1555" w:type="dxa"/>
                  <w:vMerge w:val="restart"/>
                  <w:vAlign w:val="center"/>
                </w:tcPr>
                <w:p w14:paraId="01DAE8ED"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region</w:t>
                  </w:r>
                </w:p>
              </w:tc>
              <w:tc>
                <w:tcPr>
                  <w:tcW w:w="4536" w:type="dxa"/>
                  <w:gridSpan w:val="4"/>
                </w:tcPr>
                <w:p w14:paraId="462687F7" w14:textId="77777777" w:rsidR="00841065" w:rsidRPr="00C1775F" w:rsidRDefault="00841065" w:rsidP="00841065">
                  <w:pPr>
                    <w:jc w:val="right"/>
                    <w:rPr>
                      <w:rFonts w:ascii="Cambria" w:hAnsi="Cambria" w:cs="Arial"/>
                      <w:b/>
                      <w:sz w:val="20"/>
                      <w:szCs w:val="20"/>
                      <w:lang w:val="en-US"/>
                    </w:rPr>
                  </w:pPr>
                  <w:r w:rsidRPr="00C1775F">
                    <w:rPr>
                      <w:rFonts w:ascii="Cambria" w:hAnsi="Cambria" w:cs="Arial"/>
                      <w:b/>
                      <w:sz w:val="20"/>
                      <w:szCs w:val="20"/>
                      <w:lang w:val="en-US"/>
                    </w:rPr>
                    <w:t>particle diameter [µm]</w:t>
                  </w:r>
                </w:p>
              </w:tc>
            </w:tr>
            <w:tr w:rsidR="00841065" w:rsidRPr="00C1775F" w14:paraId="702367A2" w14:textId="77777777" w:rsidTr="00AB0217">
              <w:trPr>
                <w:trHeight w:val="269"/>
              </w:trPr>
              <w:tc>
                <w:tcPr>
                  <w:tcW w:w="1555" w:type="dxa"/>
                  <w:vMerge/>
                  <w:vAlign w:val="center"/>
                </w:tcPr>
                <w:p w14:paraId="5D13E463" w14:textId="77777777" w:rsidR="00841065" w:rsidRPr="00C1775F" w:rsidRDefault="00841065" w:rsidP="00841065">
                  <w:pPr>
                    <w:jc w:val="center"/>
                    <w:rPr>
                      <w:rFonts w:ascii="Cambria" w:hAnsi="Cambria" w:cs="Arial"/>
                      <w:b/>
                      <w:sz w:val="20"/>
                      <w:szCs w:val="20"/>
                      <w:lang w:val="en-US"/>
                    </w:rPr>
                  </w:pPr>
                </w:p>
              </w:tc>
              <w:tc>
                <w:tcPr>
                  <w:tcW w:w="4536" w:type="dxa"/>
                  <w:gridSpan w:val="4"/>
                </w:tcPr>
                <w:p w14:paraId="5F2D83BA" w14:textId="77777777" w:rsidR="00841065" w:rsidRPr="00C1775F" w:rsidRDefault="00841065" w:rsidP="00841065">
                  <w:pPr>
                    <w:jc w:val="right"/>
                    <w:rPr>
                      <w:rFonts w:ascii="Cambria" w:hAnsi="Cambria" w:cs="Arial"/>
                      <w:b/>
                      <w:sz w:val="20"/>
                      <w:szCs w:val="20"/>
                      <w:lang w:val="en-US"/>
                    </w:rPr>
                  </w:pPr>
                </w:p>
              </w:tc>
            </w:tr>
            <w:tr w:rsidR="00841065" w:rsidRPr="00C1775F" w14:paraId="7A74E520" w14:textId="77777777" w:rsidTr="00AB0217">
              <w:trPr>
                <w:trHeight w:val="373"/>
              </w:trPr>
              <w:tc>
                <w:tcPr>
                  <w:tcW w:w="1555" w:type="dxa"/>
                  <w:vMerge/>
                  <w:vAlign w:val="center"/>
                </w:tcPr>
                <w:p w14:paraId="22B9A90D" w14:textId="77777777" w:rsidR="00841065" w:rsidRPr="00C1775F" w:rsidRDefault="00841065" w:rsidP="00841065">
                  <w:pPr>
                    <w:jc w:val="center"/>
                    <w:rPr>
                      <w:rFonts w:ascii="Cambria" w:hAnsi="Cambria" w:cs="Arial"/>
                      <w:sz w:val="20"/>
                      <w:szCs w:val="20"/>
                      <w:lang w:val="en-US"/>
                    </w:rPr>
                  </w:pPr>
                </w:p>
              </w:tc>
              <w:tc>
                <w:tcPr>
                  <w:tcW w:w="1134" w:type="dxa"/>
                  <w:vAlign w:val="center"/>
                </w:tcPr>
                <w:p w14:paraId="4797207A"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3</w:t>
                  </w:r>
                </w:p>
              </w:tc>
              <w:tc>
                <w:tcPr>
                  <w:tcW w:w="1134" w:type="dxa"/>
                  <w:vAlign w:val="center"/>
                </w:tcPr>
                <w:p w14:paraId="0BC5D079"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7</w:t>
                  </w:r>
                </w:p>
              </w:tc>
              <w:tc>
                <w:tcPr>
                  <w:tcW w:w="1134" w:type="dxa"/>
                  <w:vAlign w:val="center"/>
                </w:tcPr>
                <w:p w14:paraId="3EDB77DE"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10</w:t>
                  </w:r>
                </w:p>
              </w:tc>
              <w:tc>
                <w:tcPr>
                  <w:tcW w:w="1134" w:type="dxa"/>
                  <w:vAlign w:val="center"/>
                </w:tcPr>
                <w:p w14:paraId="04924530"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25</w:t>
                  </w:r>
                </w:p>
              </w:tc>
            </w:tr>
            <w:tr w:rsidR="00841065" w:rsidRPr="00C1775F" w14:paraId="56219E02" w14:textId="77777777" w:rsidTr="00AB0217">
              <w:trPr>
                <w:trHeight w:val="476"/>
              </w:trPr>
              <w:tc>
                <w:tcPr>
                  <w:tcW w:w="1555" w:type="dxa"/>
                  <w:vAlign w:val="center"/>
                </w:tcPr>
                <w:p w14:paraId="718700A5"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Oral cavity.</w:t>
                  </w:r>
                </w:p>
                <w:p w14:paraId="6330BC3D"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Pharynx</w:t>
                  </w:r>
                </w:p>
              </w:tc>
              <w:tc>
                <w:tcPr>
                  <w:tcW w:w="1134" w:type="dxa"/>
                  <w:vAlign w:val="center"/>
                </w:tcPr>
                <w:p w14:paraId="5FB26B91"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0.33%</w:t>
                  </w:r>
                </w:p>
              </w:tc>
              <w:tc>
                <w:tcPr>
                  <w:tcW w:w="1134" w:type="dxa"/>
                  <w:vAlign w:val="center"/>
                </w:tcPr>
                <w:p w14:paraId="5AD579BC"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0.29%</w:t>
                  </w:r>
                </w:p>
              </w:tc>
              <w:tc>
                <w:tcPr>
                  <w:tcW w:w="1134" w:type="dxa"/>
                  <w:vAlign w:val="center"/>
                </w:tcPr>
                <w:p w14:paraId="4AABF5E4"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0.40%</w:t>
                  </w:r>
                </w:p>
              </w:tc>
              <w:tc>
                <w:tcPr>
                  <w:tcW w:w="1134" w:type="dxa"/>
                  <w:shd w:val="clear" w:color="auto" w:fill="F2F2F2" w:themeFill="background1" w:themeFillShade="F2"/>
                  <w:vAlign w:val="center"/>
                </w:tcPr>
                <w:p w14:paraId="42050871"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3.86%</w:t>
                  </w:r>
                </w:p>
              </w:tc>
            </w:tr>
            <w:tr w:rsidR="00841065" w:rsidRPr="00C1775F" w14:paraId="62DD6796" w14:textId="77777777" w:rsidTr="00AB0217">
              <w:trPr>
                <w:trHeight w:val="539"/>
              </w:trPr>
              <w:tc>
                <w:tcPr>
                  <w:tcW w:w="1555" w:type="dxa"/>
                  <w:vAlign w:val="center"/>
                </w:tcPr>
                <w:p w14:paraId="62B78D17"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Larynx</w:t>
                  </w:r>
                </w:p>
              </w:tc>
              <w:tc>
                <w:tcPr>
                  <w:tcW w:w="1134" w:type="dxa"/>
                  <w:vAlign w:val="center"/>
                </w:tcPr>
                <w:p w14:paraId="36AC8771"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5.29%</w:t>
                  </w:r>
                </w:p>
              </w:tc>
              <w:tc>
                <w:tcPr>
                  <w:tcW w:w="1134" w:type="dxa"/>
                  <w:vAlign w:val="center"/>
                </w:tcPr>
                <w:p w14:paraId="13D4DCF6"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6.29%</w:t>
                  </w:r>
                </w:p>
              </w:tc>
              <w:tc>
                <w:tcPr>
                  <w:tcW w:w="1134" w:type="dxa"/>
                  <w:vAlign w:val="center"/>
                </w:tcPr>
                <w:p w14:paraId="682D73D9"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8.75%</w:t>
                  </w:r>
                </w:p>
              </w:tc>
              <w:tc>
                <w:tcPr>
                  <w:tcW w:w="1134" w:type="dxa"/>
                  <w:shd w:val="clear" w:color="auto" w:fill="F2F2F2" w:themeFill="background1" w:themeFillShade="F2"/>
                  <w:vAlign w:val="center"/>
                </w:tcPr>
                <w:p w14:paraId="32C24BA9"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53.24%</w:t>
                  </w:r>
                </w:p>
              </w:tc>
            </w:tr>
            <w:tr w:rsidR="00841065" w:rsidRPr="00C1775F" w14:paraId="778BB065" w14:textId="77777777" w:rsidTr="00AB0217">
              <w:trPr>
                <w:trHeight w:val="539"/>
              </w:trPr>
              <w:tc>
                <w:tcPr>
                  <w:tcW w:w="1555" w:type="dxa"/>
                  <w:vAlign w:val="center"/>
                </w:tcPr>
                <w:p w14:paraId="62DBD37C"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Trachea</w:t>
                  </w:r>
                </w:p>
              </w:tc>
              <w:tc>
                <w:tcPr>
                  <w:tcW w:w="1134" w:type="dxa"/>
                  <w:vAlign w:val="center"/>
                </w:tcPr>
                <w:p w14:paraId="264D2EC4"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0.77%</w:t>
                  </w:r>
                </w:p>
              </w:tc>
              <w:tc>
                <w:tcPr>
                  <w:tcW w:w="1134" w:type="dxa"/>
                  <w:vAlign w:val="center"/>
                </w:tcPr>
                <w:p w14:paraId="7A07CC33"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1.07%</w:t>
                  </w:r>
                </w:p>
              </w:tc>
              <w:tc>
                <w:tcPr>
                  <w:tcW w:w="1134" w:type="dxa"/>
                  <w:vAlign w:val="center"/>
                </w:tcPr>
                <w:p w14:paraId="1831A6CF"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2.43%</w:t>
                  </w:r>
                </w:p>
              </w:tc>
              <w:tc>
                <w:tcPr>
                  <w:tcW w:w="1134" w:type="dxa"/>
                  <w:shd w:val="clear" w:color="auto" w:fill="F2F2F2" w:themeFill="background1" w:themeFillShade="F2"/>
                  <w:vAlign w:val="center"/>
                </w:tcPr>
                <w:p w14:paraId="43D9046D"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14.34%</w:t>
                  </w:r>
                </w:p>
              </w:tc>
            </w:tr>
            <w:tr w:rsidR="00841065" w:rsidRPr="00C1775F" w14:paraId="06A76401" w14:textId="77777777" w:rsidTr="00AB0217">
              <w:trPr>
                <w:trHeight w:val="539"/>
              </w:trPr>
              <w:tc>
                <w:tcPr>
                  <w:tcW w:w="1555" w:type="dxa"/>
                  <w:vAlign w:val="center"/>
                </w:tcPr>
                <w:p w14:paraId="44FB1AFC" w14:textId="77777777" w:rsidR="00841065" w:rsidRPr="00C1775F" w:rsidRDefault="0036250D" w:rsidP="00841065">
                  <w:pPr>
                    <w:jc w:val="center"/>
                    <w:rPr>
                      <w:rFonts w:ascii="Cambria" w:hAnsi="Cambria" w:cs="Arial"/>
                      <w:sz w:val="20"/>
                      <w:szCs w:val="20"/>
                      <w:lang w:val="en-US"/>
                    </w:rPr>
                  </w:pPr>
                  <m:oMath>
                    <m:sSup>
                      <m:sSupPr>
                        <m:ctrlPr>
                          <w:rPr>
                            <w:rFonts w:ascii="Cambria Math" w:hAnsi="Cambria Math" w:cs="Arial"/>
                            <w:i/>
                            <w:sz w:val="20"/>
                            <w:szCs w:val="20"/>
                          </w:rPr>
                        </m:ctrlPr>
                      </m:sSupPr>
                      <m:e>
                        <m:r>
                          <w:rPr>
                            <w:rFonts w:ascii="Cambria Math" w:hAnsi="Cambria Math" w:cs="Arial"/>
                            <w:sz w:val="20"/>
                            <w:szCs w:val="20"/>
                            <w:lang w:val="en-US"/>
                          </w:rPr>
                          <m:t>1</m:t>
                        </m:r>
                      </m:e>
                      <m:sup>
                        <m:r>
                          <w:rPr>
                            <w:rFonts w:ascii="Cambria Math" w:hAnsi="Cambria Math" w:cs="Arial"/>
                            <w:sz w:val="20"/>
                            <w:szCs w:val="20"/>
                          </w:rPr>
                          <m:t>st</m:t>
                        </m:r>
                      </m:sup>
                    </m:sSup>
                  </m:oMath>
                  <w:r w:rsidR="00841065" w:rsidRPr="00C1775F">
                    <w:rPr>
                      <w:rFonts w:ascii="Cambria" w:hAnsi="Cambria" w:cs="Arial"/>
                      <w:sz w:val="20"/>
                      <w:szCs w:val="20"/>
                      <w:lang w:val="en-US"/>
                    </w:rPr>
                    <w:t>bifurcation</w:t>
                  </w:r>
                </w:p>
              </w:tc>
              <w:tc>
                <w:tcPr>
                  <w:tcW w:w="1134" w:type="dxa"/>
                  <w:vAlign w:val="center"/>
                </w:tcPr>
                <w:p w14:paraId="70471EF8"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1.47%</w:t>
                  </w:r>
                </w:p>
              </w:tc>
              <w:tc>
                <w:tcPr>
                  <w:tcW w:w="1134" w:type="dxa"/>
                  <w:vAlign w:val="center"/>
                </w:tcPr>
                <w:p w14:paraId="737BFFBC"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1.43%</w:t>
                  </w:r>
                </w:p>
              </w:tc>
              <w:tc>
                <w:tcPr>
                  <w:tcW w:w="1134" w:type="dxa"/>
                  <w:shd w:val="clear" w:color="auto" w:fill="F2F2F2" w:themeFill="background1" w:themeFillShade="F2"/>
                  <w:vAlign w:val="center"/>
                </w:tcPr>
                <w:p w14:paraId="770EC202"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1.51%</w:t>
                  </w:r>
                </w:p>
              </w:tc>
              <w:tc>
                <w:tcPr>
                  <w:tcW w:w="1134" w:type="dxa"/>
                  <w:vAlign w:val="center"/>
                </w:tcPr>
                <w:p w14:paraId="0C35CA87"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0.59%</w:t>
                  </w:r>
                </w:p>
              </w:tc>
            </w:tr>
            <w:tr w:rsidR="00841065" w:rsidRPr="00C1775F" w14:paraId="15C21D65" w14:textId="77777777" w:rsidTr="00AB0217">
              <w:trPr>
                <w:trHeight w:val="539"/>
              </w:trPr>
              <w:tc>
                <w:tcPr>
                  <w:tcW w:w="1555" w:type="dxa"/>
                  <w:vAlign w:val="center"/>
                </w:tcPr>
                <w:p w14:paraId="5EB42E5D"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RUL</w:t>
                  </w:r>
                </w:p>
              </w:tc>
              <w:tc>
                <w:tcPr>
                  <w:tcW w:w="1134" w:type="dxa"/>
                  <w:vAlign w:val="center"/>
                </w:tcPr>
                <w:p w14:paraId="416381DF"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0.44%</w:t>
                  </w:r>
                </w:p>
              </w:tc>
              <w:tc>
                <w:tcPr>
                  <w:tcW w:w="1134" w:type="dxa"/>
                  <w:vAlign w:val="center"/>
                </w:tcPr>
                <w:p w14:paraId="217A2AEB"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0.40%</w:t>
                  </w:r>
                </w:p>
              </w:tc>
              <w:tc>
                <w:tcPr>
                  <w:tcW w:w="1134" w:type="dxa"/>
                  <w:vAlign w:val="center"/>
                </w:tcPr>
                <w:p w14:paraId="66CD4A37"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1.51%</w:t>
                  </w:r>
                </w:p>
              </w:tc>
              <w:tc>
                <w:tcPr>
                  <w:tcW w:w="1134" w:type="dxa"/>
                  <w:shd w:val="clear" w:color="auto" w:fill="F2F2F2" w:themeFill="background1" w:themeFillShade="F2"/>
                  <w:vAlign w:val="center"/>
                </w:tcPr>
                <w:p w14:paraId="6CA51FCE"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7.68%</w:t>
                  </w:r>
                </w:p>
              </w:tc>
            </w:tr>
            <w:tr w:rsidR="00841065" w:rsidRPr="00C1775F" w14:paraId="2802348E" w14:textId="77777777" w:rsidTr="00AB0217">
              <w:trPr>
                <w:trHeight w:val="539"/>
              </w:trPr>
              <w:tc>
                <w:tcPr>
                  <w:tcW w:w="1555" w:type="dxa"/>
                  <w:vAlign w:val="center"/>
                </w:tcPr>
                <w:p w14:paraId="52EE7366"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RLL</w:t>
                  </w:r>
                </w:p>
              </w:tc>
              <w:tc>
                <w:tcPr>
                  <w:tcW w:w="1134" w:type="dxa"/>
                  <w:vAlign w:val="center"/>
                </w:tcPr>
                <w:p w14:paraId="20CDE361"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1.88%</w:t>
                  </w:r>
                </w:p>
              </w:tc>
              <w:tc>
                <w:tcPr>
                  <w:tcW w:w="1134" w:type="dxa"/>
                  <w:vAlign w:val="center"/>
                </w:tcPr>
                <w:p w14:paraId="1598B31E"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2.13%</w:t>
                  </w:r>
                </w:p>
              </w:tc>
              <w:tc>
                <w:tcPr>
                  <w:tcW w:w="1134" w:type="dxa"/>
                  <w:vAlign w:val="center"/>
                </w:tcPr>
                <w:p w14:paraId="1E1C4630"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3.71%</w:t>
                  </w:r>
                </w:p>
              </w:tc>
              <w:tc>
                <w:tcPr>
                  <w:tcW w:w="1134" w:type="dxa"/>
                  <w:shd w:val="clear" w:color="auto" w:fill="F2F2F2" w:themeFill="background1" w:themeFillShade="F2"/>
                  <w:vAlign w:val="center"/>
                </w:tcPr>
                <w:p w14:paraId="3DBD736F"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5.74%</w:t>
                  </w:r>
                </w:p>
              </w:tc>
            </w:tr>
            <w:tr w:rsidR="00841065" w:rsidRPr="00C1775F" w14:paraId="0D39F9A3" w14:textId="77777777" w:rsidTr="00AB0217">
              <w:trPr>
                <w:trHeight w:val="539"/>
              </w:trPr>
              <w:tc>
                <w:tcPr>
                  <w:tcW w:w="1555" w:type="dxa"/>
                  <w:vAlign w:val="center"/>
                </w:tcPr>
                <w:p w14:paraId="77A6ED25"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LUL</w:t>
                  </w:r>
                </w:p>
              </w:tc>
              <w:tc>
                <w:tcPr>
                  <w:tcW w:w="1134" w:type="dxa"/>
                  <w:vAlign w:val="center"/>
                </w:tcPr>
                <w:p w14:paraId="59E4A22B"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0.29%</w:t>
                  </w:r>
                </w:p>
              </w:tc>
              <w:tc>
                <w:tcPr>
                  <w:tcW w:w="1134" w:type="dxa"/>
                  <w:vAlign w:val="center"/>
                </w:tcPr>
                <w:p w14:paraId="332E4408"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1.03%</w:t>
                  </w:r>
                </w:p>
              </w:tc>
              <w:tc>
                <w:tcPr>
                  <w:tcW w:w="1134" w:type="dxa"/>
                  <w:vAlign w:val="center"/>
                </w:tcPr>
                <w:p w14:paraId="10F4BCC7"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1.14%</w:t>
                  </w:r>
                </w:p>
              </w:tc>
              <w:tc>
                <w:tcPr>
                  <w:tcW w:w="1134" w:type="dxa"/>
                  <w:shd w:val="clear" w:color="auto" w:fill="F2F2F2" w:themeFill="background1" w:themeFillShade="F2"/>
                  <w:vAlign w:val="center"/>
                </w:tcPr>
                <w:p w14:paraId="17FAD7EA"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1.76%</w:t>
                  </w:r>
                </w:p>
              </w:tc>
            </w:tr>
            <w:tr w:rsidR="00841065" w:rsidRPr="00C1775F" w14:paraId="210AFB27" w14:textId="77777777" w:rsidTr="00AB0217">
              <w:trPr>
                <w:trHeight w:val="539"/>
              </w:trPr>
              <w:tc>
                <w:tcPr>
                  <w:tcW w:w="1555" w:type="dxa"/>
                  <w:tcBorders>
                    <w:bottom w:val="single" w:sz="8" w:space="0" w:color="auto"/>
                  </w:tcBorders>
                  <w:vAlign w:val="center"/>
                </w:tcPr>
                <w:p w14:paraId="042A9C97"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LLL</w:t>
                  </w:r>
                </w:p>
              </w:tc>
              <w:tc>
                <w:tcPr>
                  <w:tcW w:w="1134" w:type="dxa"/>
                  <w:tcBorders>
                    <w:bottom w:val="single" w:sz="8" w:space="0" w:color="auto"/>
                  </w:tcBorders>
                  <w:vAlign w:val="center"/>
                </w:tcPr>
                <w:p w14:paraId="71C5ED12"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0.99%</w:t>
                  </w:r>
                </w:p>
              </w:tc>
              <w:tc>
                <w:tcPr>
                  <w:tcW w:w="1134" w:type="dxa"/>
                  <w:tcBorders>
                    <w:bottom w:val="single" w:sz="8" w:space="0" w:color="auto"/>
                  </w:tcBorders>
                  <w:vAlign w:val="center"/>
                </w:tcPr>
                <w:p w14:paraId="5124CFC9"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1.8%</w:t>
                  </w:r>
                </w:p>
              </w:tc>
              <w:tc>
                <w:tcPr>
                  <w:tcW w:w="1134" w:type="dxa"/>
                  <w:tcBorders>
                    <w:bottom w:val="single" w:sz="8" w:space="0" w:color="auto"/>
                  </w:tcBorders>
                  <w:vAlign w:val="center"/>
                </w:tcPr>
                <w:p w14:paraId="0C4442CA"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3.05%</w:t>
                  </w:r>
                </w:p>
              </w:tc>
              <w:tc>
                <w:tcPr>
                  <w:tcW w:w="1134" w:type="dxa"/>
                  <w:tcBorders>
                    <w:bottom w:val="single" w:sz="8" w:space="0" w:color="auto"/>
                  </w:tcBorders>
                  <w:shd w:val="clear" w:color="auto" w:fill="F2F2F2" w:themeFill="background1" w:themeFillShade="F2"/>
                  <w:vAlign w:val="center"/>
                </w:tcPr>
                <w:p w14:paraId="31C30105" w14:textId="77777777" w:rsidR="00841065" w:rsidRPr="00C1775F" w:rsidRDefault="00841065" w:rsidP="00841065">
                  <w:pPr>
                    <w:jc w:val="center"/>
                    <w:rPr>
                      <w:rFonts w:ascii="Cambria" w:hAnsi="Cambria" w:cs="Arial"/>
                      <w:sz w:val="20"/>
                      <w:szCs w:val="20"/>
                      <w:lang w:val="en-US"/>
                    </w:rPr>
                  </w:pPr>
                  <w:r w:rsidRPr="00C1775F">
                    <w:rPr>
                      <w:rFonts w:ascii="Cambria" w:hAnsi="Cambria" w:cs="Arial"/>
                      <w:sz w:val="20"/>
                      <w:szCs w:val="20"/>
                      <w:lang w:val="en-US"/>
                    </w:rPr>
                    <w:t>4.04%</w:t>
                  </w:r>
                </w:p>
              </w:tc>
            </w:tr>
            <w:tr w:rsidR="00841065" w:rsidRPr="00C1775F" w14:paraId="2C7587DE" w14:textId="77777777" w:rsidTr="00AB0217">
              <w:trPr>
                <w:trHeight w:val="539"/>
              </w:trPr>
              <w:tc>
                <w:tcPr>
                  <w:tcW w:w="1555" w:type="dxa"/>
                  <w:tcBorders>
                    <w:top w:val="single" w:sz="8" w:space="0" w:color="auto"/>
                    <w:left w:val="single" w:sz="8" w:space="0" w:color="auto"/>
                    <w:bottom w:val="single" w:sz="8" w:space="0" w:color="auto"/>
                    <w:right w:val="single" w:sz="8" w:space="0" w:color="auto"/>
                  </w:tcBorders>
                  <w:vAlign w:val="center"/>
                </w:tcPr>
                <w:p w14:paraId="3D51D4F2"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Total DE</w:t>
                  </w:r>
                </w:p>
              </w:tc>
              <w:tc>
                <w:tcPr>
                  <w:tcW w:w="1134" w:type="dxa"/>
                  <w:tcBorders>
                    <w:top w:val="single" w:sz="8" w:space="0" w:color="auto"/>
                    <w:left w:val="single" w:sz="8" w:space="0" w:color="auto"/>
                    <w:bottom w:val="single" w:sz="8" w:space="0" w:color="auto"/>
                    <w:right w:val="single" w:sz="8" w:space="0" w:color="auto"/>
                  </w:tcBorders>
                  <w:vAlign w:val="center"/>
                </w:tcPr>
                <w:p w14:paraId="07631039"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11.47%</w:t>
                  </w:r>
                </w:p>
              </w:tc>
              <w:tc>
                <w:tcPr>
                  <w:tcW w:w="1134" w:type="dxa"/>
                  <w:tcBorders>
                    <w:top w:val="single" w:sz="8" w:space="0" w:color="auto"/>
                    <w:left w:val="single" w:sz="8" w:space="0" w:color="auto"/>
                    <w:bottom w:val="single" w:sz="8" w:space="0" w:color="auto"/>
                    <w:right w:val="single" w:sz="8" w:space="0" w:color="auto"/>
                  </w:tcBorders>
                  <w:vAlign w:val="center"/>
                </w:tcPr>
                <w:p w14:paraId="7E72190B"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14.45%</w:t>
                  </w:r>
                </w:p>
              </w:tc>
              <w:tc>
                <w:tcPr>
                  <w:tcW w:w="1134" w:type="dxa"/>
                  <w:tcBorders>
                    <w:top w:val="single" w:sz="8" w:space="0" w:color="auto"/>
                    <w:left w:val="single" w:sz="8" w:space="0" w:color="auto"/>
                    <w:bottom w:val="single" w:sz="8" w:space="0" w:color="auto"/>
                    <w:right w:val="single" w:sz="8" w:space="0" w:color="auto"/>
                  </w:tcBorders>
                  <w:vAlign w:val="center"/>
                </w:tcPr>
                <w:p w14:paraId="7A37BFFE"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22.51%</w:t>
                  </w:r>
                </w:p>
              </w:tc>
              <w:tc>
                <w:tcPr>
                  <w:tcW w:w="1134" w:type="dxa"/>
                  <w:tcBorders>
                    <w:top w:val="single" w:sz="8" w:space="0" w:color="auto"/>
                    <w:left w:val="single" w:sz="8" w:space="0" w:color="auto"/>
                    <w:bottom w:val="single" w:sz="8" w:space="0" w:color="auto"/>
                    <w:right w:val="single" w:sz="8" w:space="0" w:color="auto"/>
                  </w:tcBorders>
                  <w:vAlign w:val="center"/>
                </w:tcPr>
                <w:p w14:paraId="47CD5CFF" w14:textId="77777777" w:rsidR="00841065" w:rsidRPr="00C1775F" w:rsidRDefault="00841065" w:rsidP="00841065">
                  <w:pPr>
                    <w:jc w:val="center"/>
                    <w:rPr>
                      <w:rFonts w:ascii="Cambria" w:hAnsi="Cambria" w:cs="Arial"/>
                      <w:b/>
                      <w:sz w:val="20"/>
                      <w:szCs w:val="20"/>
                      <w:lang w:val="en-US"/>
                    </w:rPr>
                  </w:pPr>
                  <w:r w:rsidRPr="00C1775F">
                    <w:rPr>
                      <w:rFonts w:ascii="Cambria" w:hAnsi="Cambria" w:cs="Arial"/>
                      <w:b/>
                      <w:sz w:val="20"/>
                      <w:szCs w:val="20"/>
                      <w:lang w:val="en-US"/>
                    </w:rPr>
                    <w:t>91.25%</w:t>
                  </w:r>
                </w:p>
              </w:tc>
            </w:tr>
          </w:tbl>
          <w:p w14:paraId="17884B64" w14:textId="01D2F555" w:rsidR="00797DEE" w:rsidRPr="00C1775F" w:rsidRDefault="00841065" w:rsidP="003466E1">
            <w:pPr>
              <w:rPr>
                <w:rFonts w:ascii="Cambria" w:hAnsi="Cambria" w:cs="Arial"/>
                <w:sz w:val="20"/>
                <w:szCs w:val="20"/>
                <w:highlight w:val="blue"/>
                <w:lang w:val="en-GB"/>
              </w:rPr>
            </w:pPr>
            <w:r w:rsidRPr="00C1775F">
              <w:rPr>
                <w:rFonts w:ascii="Cambria" w:hAnsi="Cambria" w:cs="Arial"/>
                <w:sz w:val="20"/>
                <w:szCs w:val="20"/>
                <w:lang w:val="en-GB"/>
              </w:rPr>
              <w:t>Table 1. Deposition efficiency (DE) of 3-25µm particles injected under steady conditions (Q=6 L/min). RUL and RLL are the right upper and lower lobes, LUL and LLL are the left upper and lower ones. Grey cells represent the maximum DE of each region of the model, bold font highlights the maximum DE for various particle diameters.</w:t>
            </w:r>
          </w:p>
        </w:tc>
      </w:tr>
    </w:tbl>
    <w:p w14:paraId="3BD7F9FC" w14:textId="77777777" w:rsidR="00797DEE" w:rsidRPr="00C1775F" w:rsidRDefault="00797DEE">
      <w:pPr>
        <w:rPr>
          <w:rFonts w:ascii="Cambria" w:hAnsi="Cambria" w:cs="Arial"/>
          <w:sz w:val="20"/>
          <w:szCs w:val="20"/>
          <w:lang w:val="en-US"/>
        </w:rPr>
      </w:pPr>
    </w:p>
    <w:sectPr w:rsidR="00797DEE" w:rsidRPr="00C1775F">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516517" w14:textId="77777777" w:rsidR="0036250D" w:rsidRDefault="0036250D" w:rsidP="00C1775F">
      <w:pPr>
        <w:spacing w:after="0" w:line="240" w:lineRule="auto"/>
      </w:pPr>
      <w:r>
        <w:separator/>
      </w:r>
    </w:p>
  </w:endnote>
  <w:endnote w:type="continuationSeparator" w:id="0">
    <w:p w14:paraId="1C0C7802" w14:textId="77777777" w:rsidR="0036250D" w:rsidRDefault="0036250D" w:rsidP="00C177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AFF" w:usb1="C000E47F" w:usb2="0000002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20405824"/>
      <w:docPartObj>
        <w:docPartGallery w:val="Page Numbers (Bottom of Page)"/>
        <w:docPartUnique/>
      </w:docPartObj>
    </w:sdtPr>
    <w:sdtContent>
      <w:p w14:paraId="7F4620D7" w14:textId="123D9046" w:rsidR="00C1775F" w:rsidRDefault="00C1775F">
        <w:pPr>
          <w:pStyle w:val="Footer"/>
          <w:jc w:val="right"/>
        </w:pPr>
        <w:r>
          <w:t>SM-</w:t>
        </w:r>
        <w:r>
          <w:fldChar w:fldCharType="begin"/>
        </w:r>
        <w:r>
          <w:instrText>PAGE   \* MERGEFORMAT</w:instrText>
        </w:r>
        <w:r>
          <w:fldChar w:fldCharType="separate"/>
        </w:r>
        <w:r>
          <w:t>2</w:t>
        </w:r>
        <w:r>
          <w:fldChar w:fldCharType="end"/>
        </w:r>
      </w:p>
    </w:sdtContent>
  </w:sdt>
  <w:p w14:paraId="511B12CE" w14:textId="77777777" w:rsidR="00C1775F" w:rsidRDefault="00C177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969043" w14:textId="77777777" w:rsidR="0036250D" w:rsidRDefault="0036250D" w:rsidP="00C1775F">
      <w:pPr>
        <w:spacing w:after="0" w:line="240" w:lineRule="auto"/>
      </w:pPr>
      <w:r>
        <w:separator/>
      </w:r>
    </w:p>
  </w:footnote>
  <w:footnote w:type="continuationSeparator" w:id="0">
    <w:p w14:paraId="72796046" w14:textId="77777777" w:rsidR="0036250D" w:rsidRDefault="0036250D" w:rsidP="00C177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25B"/>
    <w:rsid w:val="000E5482"/>
    <w:rsid w:val="00113C21"/>
    <w:rsid w:val="00117ED6"/>
    <w:rsid w:val="0018125B"/>
    <w:rsid w:val="003466E1"/>
    <w:rsid w:val="0036250D"/>
    <w:rsid w:val="00473A94"/>
    <w:rsid w:val="006F32DB"/>
    <w:rsid w:val="00705ED1"/>
    <w:rsid w:val="007446AE"/>
    <w:rsid w:val="00797DEE"/>
    <w:rsid w:val="00841065"/>
    <w:rsid w:val="00897B93"/>
    <w:rsid w:val="00920C7A"/>
    <w:rsid w:val="00B068E1"/>
    <w:rsid w:val="00B250E3"/>
    <w:rsid w:val="00C1775F"/>
    <w:rsid w:val="00C927E0"/>
    <w:rsid w:val="00D0091B"/>
    <w:rsid w:val="00D75491"/>
    <w:rsid w:val="00E9464B"/>
    <w:rsid w:val="00F65D1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E2CD2"/>
  <w15:chartTrackingRefBased/>
  <w15:docId w15:val="{2FD41AD8-3CF6-4C69-93A9-A2B69A138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7D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7DEE"/>
    <w:rPr>
      <w:rFonts w:ascii="Segoe UI" w:hAnsi="Segoe UI" w:cs="Segoe UI"/>
      <w:sz w:val="18"/>
      <w:szCs w:val="18"/>
    </w:rPr>
  </w:style>
  <w:style w:type="table" w:styleId="TableGrid">
    <w:name w:val="Table Grid"/>
    <w:basedOn w:val="TableNormal"/>
    <w:uiPriority w:val="39"/>
    <w:rsid w:val="00797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920C7A"/>
    <w:rPr>
      <w:color w:val="0000FF"/>
      <w:u w:val="single"/>
    </w:rPr>
  </w:style>
  <w:style w:type="paragraph" w:styleId="Header">
    <w:name w:val="header"/>
    <w:basedOn w:val="Normal"/>
    <w:link w:val="HeaderChar"/>
    <w:uiPriority w:val="99"/>
    <w:unhideWhenUsed/>
    <w:rsid w:val="00C1775F"/>
    <w:pPr>
      <w:tabs>
        <w:tab w:val="center" w:pos="4819"/>
        <w:tab w:val="right" w:pos="9638"/>
      </w:tabs>
      <w:spacing w:after="0" w:line="240" w:lineRule="auto"/>
    </w:pPr>
  </w:style>
  <w:style w:type="character" w:customStyle="1" w:styleId="HeaderChar">
    <w:name w:val="Header Char"/>
    <w:basedOn w:val="DefaultParagraphFont"/>
    <w:link w:val="Header"/>
    <w:uiPriority w:val="99"/>
    <w:rsid w:val="00C1775F"/>
  </w:style>
  <w:style w:type="paragraph" w:styleId="Footer">
    <w:name w:val="footer"/>
    <w:basedOn w:val="Normal"/>
    <w:link w:val="FooterChar"/>
    <w:uiPriority w:val="99"/>
    <w:unhideWhenUsed/>
    <w:rsid w:val="00C1775F"/>
    <w:pPr>
      <w:tabs>
        <w:tab w:val="center" w:pos="4819"/>
        <w:tab w:val="right" w:pos="9638"/>
      </w:tabs>
      <w:spacing w:after="0" w:line="240" w:lineRule="auto"/>
    </w:pPr>
  </w:style>
  <w:style w:type="character" w:customStyle="1" w:styleId="FooterChar">
    <w:name w:val="Footer Char"/>
    <w:basedOn w:val="DefaultParagraphFont"/>
    <w:link w:val="Footer"/>
    <w:uiPriority w:val="99"/>
    <w:rsid w:val="00C177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imtk.org/projects/lungsi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916</Words>
  <Characters>5222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bianchi</dc:creator>
  <cp:keywords/>
  <dc:description/>
  <cp:lastModifiedBy>elena bianchi</cp:lastModifiedBy>
  <cp:revision>3</cp:revision>
  <dcterms:created xsi:type="dcterms:W3CDTF">2020-06-02T03:52:00Z</dcterms:created>
  <dcterms:modified xsi:type="dcterms:W3CDTF">2020-06-02T03:52:00Z</dcterms:modified>
</cp:coreProperties>
</file>