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0E5D">
      <w:pPr>
        <w:rPr>
          <w:rFonts w:ascii="Times New Roman" w:hAnsi="Times New Roman" w:eastAsia="宋体" w:cs="Times New Roman"/>
          <w:color w:val="000000"/>
          <w:sz w:val="22"/>
          <w:highlight w:val="none"/>
        </w:rPr>
      </w:pPr>
      <w:bookmarkStart w:id="3" w:name="_GoBack"/>
      <w:bookmarkEnd w:id="3"/>
      <w:r>
        <w:rPr>
          <w:rFonts w:ascii="Times New Roman" w:hAnsi="Times New Roman" w:eastAsia="宋体" w:cs="Times New Roman"/>
          <w:b/>
          <w:color w:val="000000"/>
          <w:sz w:val="22"/>
          <w:highlight w:val="none"/>
        </w:rPr>
        <w:t>Table 1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 </w:t>
      </w:r>
    </w:p>
    <w:p w14:paraId="351DE9C7">
      <w:pPr>
        <w:rPr>
          <w:rFonts w:ascii="Times New Roman" w:hAnsi="Times New Roman" w:eastAsia="宋体" w:cs="Times New Roman"/>
          <w:color w:val="000000"/>
          <w:sz w:val="22"/>
          <w:highlight w:val="none"/>
        </w:rPr>
      </w:pP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Optimization of transfer hydrogenation conditions of quinolone over Co-catalyst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.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a</w:t>
      </w:r>
    </w:p>
    <w:p w14:paraId="3BFF7B79">
      <w:pPr>
        <w:jc w:val="center"/>
        <w:rPr>
          <w:rFonts w:ascii="Calibri" w:hAnsi="Calibri" w:eastAsia="宋体" w:cs="Times New Roman"/>
          <w:color w:val="000000"/>
          <w:highlight w:val="none"/>
        </w:rPr>
      </w:pPr>
      <w:r>
        <w:rPr>
          <w:rFonts w:ascii="Calibri" w:hAnsi="Calibri" w:eastAsia="宋体" w:cs="Times New Roman"/>
          <w:color w:val="000000"/>
          <w:highlight w:val="none"/>
        </w:rPr>
        <w:drawing>
          <wp:inline distT="0" distB="0" distL="0" distR="0">
            <wp:extent cx="2782570" cy="669290"/>
            <wp:effectExtent l="0" t="0" r="17780" b="171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333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2799210" cy="6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85"/>
        <w:gridCol w:w="1022"/>
        <w:gridCol w:w="1080"/>
        <w:gridCol w:w="878"/>
        <w:gridCol w:w="901"/>
        <w:gridCol w:w="903"/>
        <w:gridCol w:w="771"/>
      </w:tblGrid>
      <w:tr w14:paraId="0A74983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86F431E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Entry</w:t>
            </w:r>
          </w:p>
        </w:tc>
        <w:tc>
          <w:tcPr>
            <w:tcW w:w="1385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3BD921CF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Catalyst</w:t>
            </w:r>
          </w:p>
        </w:tc>
        <w:tc>
          <w:tcPr>
            <w:tcW w:w="102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5CA8303F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Mass (mg)</w:t>
            </w:r>
          </w:p>
        </w:tc>
        <w:tc>
          <w:tcPr>
            <w:tcW w:w="10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F3892A8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Solvent</w:t>
            </w:r>
          </w:p>
        </w:tc>
        <w:tc>
          <w:tcPr>
            <w:tcW w:w="878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640977D6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Time</w:t>
            </w:r>
          </w:p>
          <w:p w14:paraId="7A3B4B55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(h)</w:t>
            </w:r>
          </w:p>
        </w:tc>
        <w:tc>
          <w:tcPr>
            <w:tcW w:w="901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7E7D2A9D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Conv.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 xml:space="preserve"> b</w:t>
            </w:r>
          </w:p>
          <w:p w14:paraId="0E66D30E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(%)</w:t>
            </w:r>
          </w:p>
        </w:tc>
        <w:tc>
          <w:tcPr>
            <w:tcW w:w="903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7EB8EEF5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Sel.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 xml:space="preserve"> b</w:t>
            </w:r>
          </w:p>
          <w:p w14:paraId="5C23649A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(%)</w:t>
            </w:r>
          </w:p>
        </w:tc>
        <w:tc>
          <w:tcPr>
            <w:tcW w:w="771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3073798E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TOF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g</w:t>
            </w:r>
          </w:p>
          <w:p w14:paraId="3AEF3A5D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(h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)</w:t>
            </w:r>
          </w:p>
        </w:tc>
      </w:tr>
      <w:tr w14:paraId="38D9198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5A8F374C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8B86B4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Co@NC-700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0C658D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B1DB4E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73A9C9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03BD02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E442B1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C89424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1.07</w:t>
            </w:r>
          </w:p>
        </w:tc>
      </w:tr>
      <w:tr w14:paraId="5E24AF1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2BDBA528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3101179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1A29B05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878232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F23EC9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3AF26E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100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7F18ACA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388ABF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2.53</w:t>
            </w:r>
          </w:p>
        </w:tc>
      </w:tr>
      <w:tr w14:paraId="044EB70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4CD53B34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CB94E1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Co@NC-900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C81EF1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281EF6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1164A8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AC2FD4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38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3B130E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559E89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1.73</w:t>
            </w:r>
          </w:p>
        </w:tc>
      </w:tr>
      <w:tr w14:paraId="00026BE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77357C03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 xml:space="preserve">4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c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561C31A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672453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951AFA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538DB4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3CAE4BE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0D07762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542B700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0.31</w:t>
            </w:r>
          </w:p>
        </w:tc>
      </w:tr>
      <w:tr w14:paraId="4E71F5B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3C55A082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 xml:space="preserve">5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d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7A4003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84F2AD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20AF1D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F37C64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6D96FE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76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A9F5D4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F3711A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1.92</w:t>
            </w:r>
          </w:p>
        </w:tc>
      </w:tr>
      <w:tr w14:paraId="0A6DBC9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6DB8CBCA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6CFFC1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68EE88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24FE72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methanol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1D0CE10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544D3BD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trace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63A4C71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38902C2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  <w:tr w14:paraId="6D7A8B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2EC305F8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87A248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BCB1AF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B88DEA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ethanol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1203C6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5C7B53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11%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D0AF8A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72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F6CE22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0.20</w:t>
            </w:r>
          </w:p>
        </w:tc>
      </w:tr>
      <w:tr w14:paraId="24CDE94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5DD703AE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916B9C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02FFF31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CB49A5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water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C9AC1E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64574C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31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5E4858B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90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4A5DCF0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0.72</w:t>
            </w:r>
          </w:p>
        </w:tc>
      </w:tr>
      <w:tr w14:paraId="1C2682E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19467723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3DD3B3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9585D8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0AC703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6F64AB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9A1E65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94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3BABA4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2BD830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2.38</w:t>
            </w:r>
          </w:p>
        </w:tc>
      </w:tr>
      <w:tr w14:paraId="3520C67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1FC626AF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15AC343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098DCBA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E00CFF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F524B5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1CD5231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87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441FECA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3562929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2.20</w:t>
            </w:r>
          </w:p>
        </w:tc>
      </w:tr>
      <w:tr w14:paraId="238E088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7CC90124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27956D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89F7DE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3AFE1A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EB5C39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C7CDEE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trace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718276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BD7F1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  <w:tr w14:paraId="3592402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0DC0AC2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 xml:space="preserve">12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e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60072C3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0A154CD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8ED038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1A2F0F5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7F56397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trace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56DDB17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34984C5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  <w:tr w14:paraId="1F5FBF6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1107A679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13</w:t>
            </w:r>
          </w:p>
        </w:tc>
        <w:tc>
          <w:tcPr>
            <w:tcW w:w="1385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34BE9B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NC-800</w:t>
            </w:r>
          </w:p>
        </w:tc>
        <w:tc>
          <w:tcPr>
            <w:tcW w:w="102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5F4400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9444BE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74BBB6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F168E2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trace</w:t>
            </w:r>
          </w:p>
        </w:tc>
        <w:tc>
          <w:tcPr>
            <w:tcW w:w="90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8673C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  <w:tc>
          <w:tcPr>
            <w:tcW w:w="7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B75761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  <w:tr w14:paraId="724FD54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shd w:val="clear" w:color="auto" w:fill="FFFFFF"/>
            <w:vAlign w:val="center"/>
          </w:tcPr>
          <w:p w14:paraId="04E78083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f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884BBA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Co@NC-800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218A0FB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50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390466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shd w:val="clear" w:color="auto" w:fill="FFFFFF"/>
              </w:rPr>
              <w:t>toluene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A14899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901" w:type="dxa"/>
            <w:shd w:val="clear" w:color="auto" w:fill="FFFFFF"/>
            <w:vAlign w:val="center"/>
          </w:tcPr>
          <w:p w14:paraId="21F4E03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trace</w:t>
            </w:r>
          </w:p>
        </w:tc>
        <w:tc>
          <w:tcPr>
            <w:tcW w:w="903" w:type="dxa"/>
            <w:shd w:val="clear" w:color="auto" w:fill="FFFFFF"/>
            <w:vAlign w:val="center"/>
          </w:tcPr>
          <w:p w14:paraId="0CF52FB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  <w:tc>
          <w:tcPr>
            <w:tcW w:w="771" w:type="dxa"/>
            <w:shd w:val="clear" w:color="auto" w:fill="FFFFFF"/>
            <w:vAlign w:val="center"/>
          </w:tcPr>
          <w:p w14:paraId="0C686B3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</w:tbl>
    <w:p w14:paraId="35788830">
      <w:pPr>
        <w:rPr>
          <w:rFonts w:ascii="Times New Roman" w:hAnsi="Times New Roman" w:eastAsia="宋体" w:cs="Times New Roman"/>
          <w:color w:val="000000"/>
          <w:sz w:val="22"/>
          <w:highlight w:val="none"/>
        </w:rPr>
      </w:pPr>
      <w:r>
        <w:rPr>
          <w:rFonts w:ascii="Times New Roman" w:hAnsi="Times New Roman" w:eastAsia="宋体" w:cs="Times New Roman"/>
          <w:color w:val="000000"/>
          <w:sz w:val="22"/>
          <w:highlight w:val="none"/>
          <w:vertAlign w:val="superscript"/>
        </w:rPr>
        <w:t>a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22"/>
          <w:highlight w:val="none"/>
        </w:rPr>
        <w:t>Reaction conditions: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 quinoline (0.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2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5 mmol), catalyst (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0.96 wt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% Co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),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130</w:t>
      </w:r>
      <w:bookmarkStart w:id="0" w:name="_Hlk12650597"/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sz w:val="22"/>
          <w:vertAlign w:val="superscript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1"/>
          <w:highlight w:val="none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12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h,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toluene (3ml), 20 eq. HCOOH; </w:t>
      </w:r>
      <w:r>
        <w:rPr>
          <w:rFonts w:ascii="Times New Roman" w:hAnsi="Times New Roman" w:eastAsia="宋体" w:cs="Times New Roman"/>
          <w:color w:val="000000"/>
          <w:sz w:val="22"/>
          <w:highlight w:val="none"/>
          <w:vertAlign w:val="superscript"/>
        </w:rPr>
        <w:t>b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Determined by GC-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MS;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c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0.45 wt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% Co;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d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0.59% wt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% Co;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e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0 eq. HCOOH;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f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adding 0.2 mmol KSCN;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g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TOF = [moles of converted substrate] × [(moles of Co) × (reaction time in h)]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-1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.</w:t>
      </w:r>
    </w:p>
    <w:p w14:paraId="2C9B072B"/>
    <w:p w14:paraId="0FD9AC65"/>
    <w:p w14:paraId="179DC900"/>
    <w:p w14:paraId="323CEC50"/>
    <w:p w14:paraId="4751BC8D"/>
    <w:p w14:paraId="4B89C0E0"/>
    <w:p w14:paraId="4312AD1C"/>
    <w:p w14:paraId="53860023"/>
    <w:p w14:paraId="357D2AD5"/>
    <w:p w14:paraId="22222D2C"/>
    <w:p w14:paraId="696E3606"/>
    <w:p w14:paraId="228F0350"/>
    <w:p w14:paraId="3784BEE3"/>
    <w:p w14:paraId="5E4216C4"/>
    <w:p w14:paraId="26765903"/>
    <w:p w14:paraId="50C7BF84"/>
    <w:p w14:paraId="6B06660E"/>
    <w:p w14:paraId="70209C95"/>
    <w:p w14:paraId="309CE464">
      <w:pP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000000"/>
          <w:sz w:val="22"/>
          <w:highlight w:val="none"/>
        </w:rPr>
        <w:t>Table 2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</w:p>
    <w:p w14:paraId="5E75862A">
      <w:pPr>
        <w:rPr>
          <w:rFonts w:ascii="Times New Roman" w:hAnsi="Times New Roman" w:eastAsia="宋体" w:cs="Times New Roman"/>
          <w:color w:val="000000"/>
          <w:sz w:val="22"/>
          <w:highlight w:val="none"/>
        </w:rPr>
      </w:pP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Co@NC-800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c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atalyst </w:t>
      </w:r>
      <w:bookmarkStart w:id="1" w:name="OLE_LINK34"/>
      <w:bookmarkStart w:id="2" w:name="OLE_LINK33"/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catalytic transfer hydrogenation of quinoline to generate the corresponding N-formyltetrahydroquinoline</w:t>
      </w:r>
      <w:bookmarkEnd w:id="1"/>
      <w:bookmarkEnd w:id="2"/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.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>a</w:t>
      </w:r>
    </w:p>
    <w:tbl>
      <w:tblPr>
        <w:tblStyle w:val="3"/>
        <w:tblW w:w="8755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857"/>
        <w:gridCol w:w="1871"/>
        <w:gridCol w:w="1217"/>
        <w:gridCol w:w="1436"/>
        <w:gridCol w:w="1134"/>
      </w:tblGrid>
      <w:tr w14:paraId="30546BD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04B25D9F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Entry</w:t>
            </w:r>
          </w:p>
        </w:tc>
        <w:tc>
          <w:tcPr>
            <w:tcW w:w="18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493655C4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Substrate</w:t>
            </w:r>
          </w:p>
        </w:tc>
        <w:tc>
          <w:tcPr>
            <w:tcW w:w="1871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599BE0FB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Product</w:t>
            </w:r>
          </w:p>
        </w:tc>
        <w:tc>
          <w:tcPr>
            <w:tcW w:w="121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1614DFD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ime (h)</w:t>
            </w:r>
          </w:p>
        </w:tc>
        <w:tc>
          <w:tcPr>
            <w:tcW w:w="143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B72E715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 xml:space="preserve">Conv. (%)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037576F6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Sel. (%)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  <w:vertAlign w:val="superscript"/>
              </w:rPr>
              <w:t>b</w:t>
            </w:r>
          </w:p>
        </w:tc>
      </w:tr>
      <w:tr w14:paraId="667DAE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3FD9F46B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F95F0C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25" o:spt="75" type="#_x0000_t75" style="height:30pt;width:46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ChemDraw.Document.6.0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E41E41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26" o:spt="75" type="#_x0000_t75" style="height:42pt;width:50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ChemDraw.Document.6.0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4CE080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2659D4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100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C14C75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6500F54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shd w:val="clear" w:color="auto" w:fill="FFFFFF"/>
            <w:vAlign w:val="center"/>
          </w:tcPr>
          <w:p w14:paraId="45A54E85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2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D17C14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27" o:spt="75" type="#_x0000_t75" style="height:30pt;width:52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ChemDraw.Document.6.0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64974A6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28" o:spt="75" type="#_x0000_t75" style="height:30pt;width:74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ChemDraw.Document.6.0" ShapeID="_x0000_i1028" DrawAspect="Content" ObjectID="_1468075728" r:id="rId11">
                  <o:LockedField>false</o:LockedField>
                </o:OLEObject>
              </w:objec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3BEB4E3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12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E7E5A3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BF197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2CF16D0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3141ADA8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3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3CE8FF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29" o:spt="75" type="#_x0000_t75" style="height:32.5pt;width:60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ChemDraw.Document.6.0" ShapeID="_x0000_i1029" DrawAspect="Content" ObjectID="_1468075729" r:id="rId13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99923F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0" o:spt="75" type="#_x0000_t75" style="height:41pt;width:5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ChemDraw.Document.6.0" ShapeID="_x0000_i1030" DrawAspect="Content" ObjectID="_1468075730" r:id="rId15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033A4D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8F581F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85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C065D0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25CD90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shd w:val="clear" w:color="auto" w:fill="FFFFFF"/>
            <w:vAlign w:val="center"/>
          </w:tcPr>
          <w:p w14:paraId="22758A0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4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2ADB7A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1" o:spt="75" type="#_x0000_t75" style="height:40pt;width:46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ChemDraw.Document.6.0" ShapeID="_x0000_i1031" DrawAspect="Content" ObjectID="_1468075731" r:id="rId17">
                  <o:LockedField>false</o:LockedField>
                </o:OLEObject>
              </w:objec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4BBDB5C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2" o:spt="75" type="#_x0000_t75" style="height:42pt;width:50.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ChemDraw.Document.6.0" ShapeID="_x0000_i1032" DrawAspect="Content" ObjectID="_1468075732" r:id="rId19">
                  <o:LockedField>false</o:LockedField>
                </o:OLEObject>
              </w:objec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703D115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6B492B3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16139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53</w:t>
            </w:r>
          </w:p>
        </w:tc>
      </w:tr>
      <w:tr w14:paraId="6B9DF71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433C211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5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E3FF36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3" o:spt="75" type="#_x0000_t75" style="height:32.5pt;width:6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ChemDraw.Document.6.0" ShapeID="_x0000_i1033" DrawAspect="Content" ObjectID="_1468075733" r:id="rId21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76DDC4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4" o:spt="75" type="#_x0000_t75" style="height:46.5pt;width:71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ChemDraw.Document.6.0" ShapeID="_x0000_i1034" DrawAspect="Content" ObjectID="_1468075734" r:id="rId23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ED1DAB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74B22E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73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51BC9F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59279B8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shd w:val="clear" w:color="auto" w:fill="FFFFFF"/>
            <w:vAlign w:val="center"/>
          </w:tcPr>
          <w:p w14:paraId="28693040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6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D2C391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5" o:spt="75" type="#_x0000_t75" style="height:32pt;width:64.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ChemDraw.Document.6.0" ShapeID="_x0000_i1035" DrawAspect="Content" ObjectID="_1468075735" r:id="rId25">
                  <o:LockedField>false</o:LockedField>
                </o:OLEObject>
              </w:objec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12F5368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6" o:spt="75" type="#_x0000_t75" style="height:42pt;width:5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ChemDraw.Document.6.0" ShapeID="_x0000_i1036" DrawAspect="Content" ObjectID="_1468075736" r:id="rId27">
                  <o:LockedField>false</o:LockedField>
                </o:OLEObject>
              </w:objec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E6AFFD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67A04AD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F3F6B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89</w:t>
            </w:r>
          </w:p>
        </w:tc>
      </w:tr>
      <w:tr w14:paraId="16E32E3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09706989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7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8B8151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7" o:spt="75" type="#_x0000_t75" style="height:40pt;width:47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ChemDraw.Document.6.0" ShapeID="_x0000_i1037" DrawAspect="Content" ObjectID="_1468075737" r:id="rId29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72A9EBF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8" o:spt="75" type="#_x0000_t75" style="height:30pt;width:7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ChemDraw.Document.6.0" ShapeID="_x0000_i1038" DrawAspect="Content" ObjectID="_1468075738" r:id="rId31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DED146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C33708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74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AD7F64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73</w:t>
            </w:r>
          </w:p>
        </w:tc>
      </w:tr>
      <w:tr w14:paraId="5423E1E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shd w:val="clear" w:color="auto" w:fill="FFFFFF"/>
            <w:vAlign w:val="center"/>
          </w:tcPr>
          <w:p w14:paraId="7931A1E4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8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4F8C24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39" o:spt="75" type="#_x0000_t75" style="height:34.5pt;width:7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ChemDraw.Document.6.0" ShapeID="_x0000_i1039" DrawAspect="Content" ObjectID="_1468075739" r:id="rId33">
                  <o:LockedField>false</o:LockedField>
                </o:OLEObject>
              </w:objec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01376DA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0" o:spt="75" type="#_x0000_t75" style="height:46.5pt;width:74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ChemDraw.Document.6.0" ShapeID="_x0000_i1040" DrawAspect="Content" ObjectID="_1468075740" r:id="rId35">
                  <o:LockedField>false</o:LockedField>
                </o:OLEObject>
              </w:objec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799948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504AEA3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E20C4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676B594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4F6B8769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9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9F1D0D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1" o:spt="75" type="#_x0000_t75" style="height:45pt;width:46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ChemDraw.Document.6.0" ShapeID="_x0000_i1041" DrawAspect="Content" ObjectID="_1468075741" r:id="rId37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E4EAF0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2" o:spt="75" type="#_x0000_t75" style="height:42pt;width:50.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ChemDraw.Document.6.0" ShapeID="_x0000_i1042" DrawAspect="Content" ObjectID="_1468075742" r:id="rId39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4A5BC2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67D653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79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EE843B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  <w:tr w14:paraId="39553AE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shd w:val="clear" w:color="auto" w:fill="FFFFFF"/>
            <w:vAlign w:val="center"/>
          </w:tcPr>
          <w:p w14:paraId="0CFE38E3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4FA383D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3" o:spt="75" type="#_x0000_t75" style="height:52.5pt;width:44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ChemDraw.Document.6.0" ShapeID="_x0000_i1043" DrawAspect="Content" ObjectID="_1468075743" r:id="rId41">
                  <o:LockedField>false</o:LockedField>
                </o:OLEObject>
              </w:object>
            </w:r>
          </w:p>
        </w:tc>
        <w:tc>
          <w:tcPr>
            <w:tcW w:w="1871" w:type="dxa"/>
            <w:shd w:val="clear" w:color="auto" w:fill="FFFFFF"/>
            <w:vAlign w:val="center"/>
          </w:tcPr>
          <w:p w14:paraId="65588A6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4" o:spt="75" type="#_x0000_t75" style="height:54.5pt;width:60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ChemDraw.Document.6.0" ShapeID="_x0000_i1044" DrawAspect="Content" ObjectID="_1468075744" r:id="rId43">
                  <o:LockedField>false</o:LockedField>
                </o:OLEObject>
              </w:objec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F7AA16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shd w:val="clear" w:color="auto" w:fill="FFFFFF"/>
            <w:vAlign w:val="center"/>
          </w:tcPr>
          <w:p w14:paraId="3D6733B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3750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76</w:t>
            </w:r>
          </w:p>
        </w:tc>
      </w:tr>
      <w:tr w14:paraId="16175B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08B89247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highlight w:val="none"/>
              </w:rPr>
              <w:t>11</w:t>
            </w:r>
          </w:p>
        </w:tc>
        <w:tc>
          <w:tcPr>
            <w:tcW w:w="185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9E9EE2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5" o:spt="75" type="#_x0000_t75" style="height:41pt;width:70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ChemDraw.Document.6.0" ShapeID="_x0000_i1045" DrawAspect="Content" ObjectID="_1468075745" r:id="rId45">
                  <o:LockedField>false</o:LockedField>
                </o:OLEObject>
              </w:object>
            </w:r>
          </w:p>
        </w:tc>
        <w:tc>
          <w:tcPr>
            <w:tcW w:w="187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BACB65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Calibri" w:hAnsi="Calibri" w:eastAsia="宋体" w:cs="Times New Roman"/>
                <w:color w:val="000000"/>
                <w:highlight w:val="none"/>
              </w:rPr>
              <w:object>
                <v:shape id="_x0000_i1046" o:spt="75" type="#_x0000_t75" style="height:42pt;width:71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ChemDraw.Document.6.0" ShapeID="_x0000_i1046" DrawAspect="Content" ObjectID="_1468075746" r:id="rId47">
                  <o:LockedField>false</o:LockedField>
                </o:OLEObject>
              </w:object>
            </w:r>
          </w:p>
        </w:tc>
        <w:tc>
          <w:tcPr>
            <w:tcW w:w="1217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4F1671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24</w:t>
            </w:r>
          </w:p>
        </w:tc>
        <w:tc>
          <w:tcPr>
            <w:tcW w:w="1436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E06DC1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80</w:t>
            </w:r>
          </w:p>
        </w:tc>
        <w:tc>
          <w:tcPr>
            <w:tcW w:w="1134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8F4D2A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highlight w:val="none"/>
              </w:rPr>
              <w:t>99</w:t>
            </w:r>
          </w:p>
        </w:tc>
      </w:tr>
    </w:tbl>
    <w:p w14:paraId="745320DC">
      <w:pP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</w:pPr>
      <w:r>
        <w:rPr>
          <w:rFonts w:ascii="Times New Roman" w:hAnsi="Times New Roman" w:eastAsia="宋体" w:cs="Times New Roman"/>
          <w:color w:val="000000"/>
          <w:sz w:val="22"/>
          <w:highlight w:val="none"/>
          <w:vertAlign w:val="superscript"/>
        </w:rPr>
        <w:t>a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sz w:val="22"/>
          <w:highlight w:val="none"/>
        </w:rPr>
        <w:t xml:space="preserve">Reaction </w:t>
      </w:r>
      <w:r>
        <w:rPr>
          <w:rFonts w:hint="eastAsia" w:ascii="Times New Roman" w:hAnsi="Times New Roman" w:eastAsia="宋体" w:cs="Times New Roman"/>
          <w:bCs/>
          <w:color w:val="000000"/>
          <w:sz w:val="22"/>
          <w:highlight w:val="none"/>
        </w:rPr>
        <w:t>c</w:t>
      </w:r>
      <w:r>
        <w:rPr>
          <w:rFonts w:ascii="Times New Roman" w:hAnsi="Times New Roman" w:eastAsia="宋体" w:cs="Times New Roman"/>
          <w:bCs/>
          <w:color w:val="000000"/>
          <w:sz w:val="22"/>
          <w:highlight w:val="none"/>
        </w:rPr>
        <w:t>onditions: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substrate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(0.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2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5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mmol),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20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 eq. HCOOH, </w:t>
      </w:r>
      <w:r>
        <w:rPr>
          <w:rFonts w:ascii="Times New Roman" w:hAnsi="Times New Roman" w:eastAsia="宋体" w:cs="Times New Roman"/>
          <w:bCs/>
          <w:color w:val="000000"/>
          <w:sz w:val="22"/>
          <w:highlight w:val="none"/>
        </w:rPr>
        <w:t xml:space="preserve">3 mL </w:t>
      </w:r>
      <w:r>
        <w:rPr>
          <w:rFonts w:hint="eastAsia" w:ascii="Times New Roman" w:hAnsi="Times New Roman" w:eastAsia="宋体" w:cs="Times New Roman"/>
          <w:bCs/>
          <w:color w:val="000000"/>
          <w:sz w:val="22"/>
          <w:highlight w:val="none"/>
        </w:rPr>
        <w:t>toluene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5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0 mg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catalyst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(0.95 wt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>%)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 xml:space="preserve">, 110 </w:t>
      </w:r>
      <w:r>
        <w:rPr>
          <w:rFonts w:hint="eastAsia" w:ascii="Times New Roman" w:hAnsi="Times New Roman" w:eastAsia="宋体" w:cs="Times New Roman"/>
          <w:sz w:val="22"/>
          <w:vertAlign w:val="superscript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vertAlign w:val="superscript"/>
        </w:rPr>
        <w:t xml:space="preserve">b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Determined by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GC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  <w:lang w:val="en-US" w:eastAsia="zh-CN"/>
        </w:rPr>
        <w:t>-</w:t>
      </w:r>
      <w:r>
        <w:rPr>
          <w:rFonts w:ascii="Times New Roman" w:hAnsi="Times New Roman" w:eastAsia="宋体" w:cs="Times New Roman"/>
          <w:color w:val="000000"/>
          <w:sz w:val="22"/>
          <w:highlight w:val="none"/>
        </w:rPr>
        <w:t>MS</w:t>
      </w:r>
      <w:r>
        <w:rPr>
          <w:rFonts w:hint="eastAsia" w:ascii="Times New Roman" w:hAnsi="Times New Roman" w:eastAsia="宋体" w:cs="Times New Roman"/>
          <w:color w:val="000000"/>
          <w:sz w:val="22"/>
          <w:highlight w:val="none"/>
        </w:rPr>
        <w:t xml:space="preserve">. </w:t>
      </w:r>
    </w:p>
    <w:p w14:paraId="5A144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2VjZGQ5M2MyOWI2MGEyYjJiOGUyYmFlNmM2NWYifQ=="/>
  </w:docVars>
  <w:rsids>
    <w:rsidRoot w:val="4F413F89"/>
    <w:rsid w:val="074E358D"/>
    <w:rsid w:val="1BA70E36"/>
    <w:rsid w:val="4F41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Shading"/>
    <w:basedOn w:val="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5">
    <w:name w:val="tran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emf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9" Type="http://schemas.openxmlformats.org/officeDocument/2006/relationships/fontTable" Target="fontTable.xml"/><Relationship Id="rId48" Type="http://schemas.openxmlformats.org/officeDocument/2006/relationships/image" Target="media/image23.e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e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e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emf"/><Relationship Id="rId4" Type="http://schemas.openxmlformats.org/officeDocument/2006/relationships/image" Target="media/image1.png"/><Relationship Id="rId39" Type="http://schemas.openxmlformats.org/officeDocument/2006/relationships/oleObject" Target="embeddings/oleObject18.bin"/><Relationship Id="rId38" Type="http://schemas.openxmlformats.org/officeDocument/2006/relationships/image" Target="media/image18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e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e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emf"/><Relationship Id="rId21" Type="http://schemas.openxmlformats.org/officeDocument/2006/relationships/oleObject" Target="embeddings/oleObject9.bin"/><Relationship Id="rId20" Type="http://schemas.openxmlformats.org/officeDocument/2006/relationships/image" Target="media/image9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emf"/><Relationship Id="rId17" Type="http://schemas.openxmlformats.org/officeDocument/2006/relationships/oleObject" Target="embeddings/oleObject7.bin"/><Relationship Id="rId16" Type="http://schemas.openxmlformats.org/officeDocument/2006/relationships/image" Target="media/image7.emf"/><Relationship Id="rId15" Type="http://schemas.openxmlformats.org/officeDocument/2006/relationships/oleObject" Target="embeddings/oleObject6.bin"/><Relationship Id="rId14" Type="http://schemas.openxmlformats.org/officeDocument/2006/relationships/image" Target="media/image6.emf"/><Relationship Id="rId13" Type="http://schemas.openxmlformats.org/officeDocument/2006/relationships/oleObject" Target="embeddings/oleObject5.bin"/><Relationship Id="rId12" Type="http://schemas.openxmlformats.org/officeDocument/2006/relationships/image" Target="media/image5.emf"/><Relationship Id="rId11" Type="http://schemas.openxmlformats.org/officeDocument/2006/relationships/oleObject" Target="embeddings/oleObject4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1132</Characters>
  <Lines>0</Lines>
  <Paragraphs>0</Paragraphs>
  <TotalTime>0</TotalTime>
  <ScaleCrop>false</ScaleCrop>
  <LinksUpToDate>false</LinksUpToDate>
  <CharactersWithSpaces>1246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2024-03-23T04:50:00Z</dcterms:created>
  <dc:creator>滴滴答</dc:creator>
  <cp:lastModifiedBy>◣倔強的夢想◢</cp:lastModifiedBy>
  <dcterms:modified xsi:type="dcterms:W3CDTF">2024-10-31T10:32:09Z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39EE3817A5F64174B8D0B27B37B52064_13</vt:lpwstr>
  </property>
</Properties>
</file>