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141B9" w14:textId="0CC810DA" w:rsidR="00756D47" w:rsidRPr="00756D47" w:rsidRDefault="00756D47">
      <w:pPr>
        <w:rPr>
          <w:b/>
          <w:bCs/>
          <w:lang w:val="en-US"/>
        </w:rPr>
      </w:pPr>
      <w:r w:rsidRPr="00756D47">
        <w:rPr>
          <w:b/>
          <w:bCs/>
          <w:lang w:val="en-US"/>
        </w:rPr>
        <w:t>Supplementary material for the paper</w:t>
      </w:r>
      <w:r>
        <w:rPr>
          <w:b/>
          <w:bCs/>
          <w:lang w:val="en-US"/>
        </w:rPr>
        <w:t>:</w:t>
      </w:r>
    </w:p>
    <w:p w14:paraId="70EBBD2B" w14:textId="77777777" w:rsidR="00756D47" w:rsidRDefault="00756D47">
      <w:pPr>
        <w:rPr>
          <w:lang w:val="en-US"/>
        </w:rPr>
      </w:pPr>
    </w:p>
    <w:p w14:paraId="0D2F1CDB" w14:textId="1A224168" w:rsidR="00756D47" w:rsidRPr="00756D47" w:rsidRDefault="00756D47" w:rsidP="00756D47">
      <w:pPr>
        <w:spacing w:after="0" w:line="480" w:lineRule="auto"/>
        <w:ind w:right="-3"/>
        <w:rPr>
          <w:rFonts w:cstheme="minorHAnsi"/>
          <w:b/>
          <w:sz w:val="24"/>
          <w:szCs w:val="24"/>
          <w:lang w:val="en-US"/>
        </w:rPr>
      </w:pPr>
      <w:bookmarkStart w:id="0" w:name="_Hlk65671524"/>
      <w:r w:rsidRPr="00756D47">
        <w:rPr>
          <w:rFonts w:cstheme="minorHAnsi"/>
          <w:b/>
          <w:sz w:val="24"/>
          <w:szCs w:val="24"/>
          <w:lang w:val="en-US"/>
        </w:rPr>
        <w:t>“</w:t>
      </w:r>
      <w:r w:rsidR="006F70CC" w:rsidRPr="006F70CC">
        <w:rPr>
          <w:rFonts w:cstheme="minorHAnsi"/>
          <w:b/>
          <w:sz w:val="24"/>
          <w:szCs w:val="24"/>
          <w:lang w:val="en-US"/>
        </w:rPr>
        <w:t>Simultaneous removal of soluble metal species and nitrate from acidic and saline industrial wastewater in a pilot scale biofilm reactor</w:t>
      </w:r>
      <w:r w:rsidRPr="00756D47">
        <w:rPr>
          <w:rFonts w:cstheme="minorHAnsi"/>
          <w:b/>
          <w:sz w:val="24"/>
          <w:szCs w:val="24"/>
          <w:lang w:val="en-US"/>
        </w:rPr>
        <w:t xml:space="preserve">” </w:t>
      </w:r>
      <w:bookmarkEnd w:id="0"/>
    </w:p>
    <w:p w14:paraId="733DF893" w14:textId="77777777" w:rsidR="00E451E1" w:rsidRDefault="00E451E1" w:rsidP="00756D47">
      <w:pPr>
        <w:spacing w:after="0" w:line="480" w:lineRule="auto"/>
        <w:ind w:right="-58"/>
        <w:rPr>
          <w:rFonts w:cstheme="minorHAnsi"/>
          <w:sz w:val="24"/>
          <w:szCs w:val="24"/>
          <w:lang w:val="en-US"/>
        </w:rPr>
      </w:pPr>
    </w:p>
    <w:p w14:paraId="62BE3D1D" w14:textId="02F46428" w:rsidR="00756D47" w:rsidRPr="00756D47" w:rsidRDefault="00756D47" w:rsidP="006875E2">
      <w:pPr>
        <w:spacing w:after="0" w:line="480" w:lineRule="auto"/>
        <w:ind w:right="-58"/>
        <w:jc w:val="both"/>
        <w:rPr>
          <w:rFonts w:cstheme="minorHAnsi"/>
          <w:sz w:val="24"/>
          <w:szCs w:val="24"/>
          <w:lang w:val="en-US"/>
        </w:rPr>
      </w:pPr>
      <w:r w:rsidRPr="00756D47">
        <w:rPr>
          <w:rFonts w:cstheme="minorHAnsi"/>
          <w:sz w:val="24"/>
          <w:szCs w:val="24"/>
          <w:lang w:val="en-US"/>
        </w:rPr>
        <w:t>Authors</w:t>
      </w:r>
      <w:r>
        <w:rPr>
          <w:rFonts w:cstheme="minorHAnsi"/>
          <w:sz w:val="24"/>
          <w:szCs w:val="24"/>
          <w:lang w:val="en-US"/>
        </w:rPr>
        <w:t>:</w:t>
      </w:r>
      <w:r w:rsidRPr="00756D47">
        <w:rPr>
          <w:rFonts w:cstheme="minorHAnsi"/>
          <w:sz w:val="24"/>
          <w:szCs w:val="24"/>
          <w:lang w:val="en-US"/>
        </w:rPr>
        <w:t xml:space="preserve">  </w:t>
      </w:r>
      <w:r w:rsidR="006F70CC" w:rsidRPr="006F70CC">
        <w:rPr>
          <w:rFonts w:cstheme="minorHAnsi"/>
          <w:sz w:val="24"/>
          <w:szCs w:val="24"/>
          <w:lang w:val="en-US"/>
        </w:rPr>
        <w:t xml:space="preserve">Panagiota </w:t>
      </w:r>
      <w:proofErr w:type="spellStart"/>
      <w:r w:rsidR="006F70CC" w:rsidRPr="006F70CC">
        <w:rPr>
          <w:rFonts w:cstheme="minorHAnsi"/>
          <w:sz w:val="24"/>
          <w:szCs w:val="24"/>
          <w:lang w:val="en-US"/>
        </w:rPr>
        <w:t>Mendrinou</w:t>
      </w:r>
      <w:proofErr w:type="spellEnd"/>
      <w:r w:rsidR="006F70CC" w:rsidRPr="006F70CC">
        <w:rPr>
          <w:rFonts w:cstheme="minorHAnsi"/>
          <w:sz w:val="24"/>
          <w:szCs w:val="24"/>
          <w:lang w:val="en-US"/>
        </w:rPr>
        <w:t>, Artin Hatzi</w:t>
      </w:r>
      <w:bookmarkStart w:id="1" w:name="_GoBack"/>
      <w:bookmarkEnd w:id="1"/>
      <w:r w:rsidR="006F70CC" w:rsidRPr="006F70CC">
        <w:rPr>
          <w:rFonts w:cstheme="minorHAnsi"/>
          <w:sz w:val="24"/>
          <w:szCs w:val="24"/>
          <w:lang w:val="en-US"/>
        </w:rPr>
        <w:t>kioseyian, Pavlina Kousi,</w:t>
      </w:r>
      <w:r w:rsidR="006875E2" w:rsidRPr="006875E2">
        <w:rPr>
          <w:rFonts w:cstheme="minorHAnsi"/>
          <w:sz w:val="24"/>
          <w:szCs w:val="24"/>
          <w:lang w:val="en-US"/>
        </w:rPr>
        <w:t xml:space="preserve"> </w:t>
      </w:r>
      <w:r w:rsidR="006875E2" w:rsidRPr="006F70CC">
        <w:rPr>
          <w:rFonts w:cstheme="minorHAnsi"/>
          <w:sz w:val="24"/>
          <w:szCs w:val="24"/>
          <w:lang w:val="en-US"/>
        </w:rPr>
        <w:t xml:space="preserve">Paschalis Oustadakis, </w:t>
      </w:r>
      <w:r w:rsidR="006F70CC" w:rsidRPr="006F70CC">
        <w:rPr>
          <w:rFonts w:cstheme="minorHAnsi"/>
          <w:sz w:val="24"/>
          <w:szCs w:val="24"/>
          <w:lang w:val="en-US"/>
        </w:rPr>
        <w:t>Petros Tsakiridis, Emmanouella Remoundaki</w:t>
      </w:r>
    </w:p>
    <w:p w14:paraId="3500545E" w14:textId="7698E60B" w:rsidR="00756D47" w:rsidRPr="00756D47" w:rsidRDefault="00756D47">
      <w:pPr>
        <w:rPr>
          <w:lang w:val="en-US"/>
        </w:rPr>
      </w:pPr>
      <w:r w:rsidRPr="00756D47">
        <w:rPr>
          <w:lang w:val="en-US"/>
        </w:rPr>
        <w:br w:type="page"/>
      </w:r>
    </w:p>
    <w:p w14:paraId="4E7415BC" w14:textId="75DD1B5D" w:rsidR="00756D47" w:rsidRPr="004D1E03" w:rsidRDefault="00756D47" w:rsidP="00756D47">
      <w:pPr>
        <w:rPr>
          <w:b/>
          <w:bCs/>
          <w:lang w:val="en-US"/>
        </w:rPr>
      </w:pPr>
      <w:r w:rsidRPr="004D1E03">
        <w:rPr>
          <w:b/>
          <w:bCs/>
          <w:lang w:val="en-US"/>
        </w:rPr>
        <w:lastRenderedPageBreak/>
        <w:t>S1. Reactor layout</w:t>
      </w:r>
    </w:p>
    <w:p w14:paraId="77F86265" w14:textId="77777777" w:rsidR="00756D47" w:rsidRPr="00756D47" w:rsidRDefault="00756D47" w:rsidP="00647808">
      <w:pPr>
        <w:jc w:val="center"/>
        <w:rPr>
          <w:lang w:val="en-US"/>
        </w:rPr>
      </w:pPr>
    </w:p>
    <w:p w14:paraId="33D20D70" w14:textId="68B1618E" w:rsidR="001331E9" w:rsidRDefault="00647808" w:rsidP="00647808">
      <w:pPr>
        <w:jc w:val="center"/>
      </w:pPr>
      <w:r>
        <w:rPr>
          <w:noProof/>
          <w:lang w:val="en-GB" w:eastAsia="en-GB"/>
        </w:rPr>
        <w:drawing>
          <wp:inline distT="0" distB="0" distL="0" distR="0" wp14:anchorId="6EBC603E" wp14:editId="0FA60B09">
            <wp:extent cx="4657165" cy="6209553"/>
            <wp:effectExtent l="0" t="0" r="0" b="127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A44ECBC-1733-4A49-9F1F-89B412A7CB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3A44ECBC-1733-4A49-9F1F-89B412A7CB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8833" cy="621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76DFE" w14:textId="2D03673E" w:rsidR="00647808" w:rsidRDefault="00647808" w:rsidP="00647808">
      <w:pPr>
        <w:jc w:val="center"/>
      </w:pPr>
    </w:p>
    <w:p w14:paraId="769C7150" w14:textId="116F1351" w:rsidR="00647808" w:rsidRDefault="00647808" w:rsidP="00647808">
      <w:pPr>
        <w:jc w:val="center"/>
        <w:rPr>
          <w:lang w:val="en-US"/>
        </w:rPr>
      </w:pPr>
      <w:r>
        <w:rPr>
          <w:lang w:val="en-US"/>
        </w:rPr>
        <w:t xml:space="preserve">Figure S1. </w:t>
      </w:r>
      <w:proofErr w:type="gramStart"/>
      <w:r w:rsidR="00756D47">
        <w:rPr>
          <w:lang w:val="en-US"/>
        </w:rPr>
        <w:t>Picture</w:t>
      </w:r>
      <w:r>
        <w:rPr>
          <w:lang w:val="en-US"/>
        </w:rPr>
        <w:t xml:space="preserve"> of the pilot scale biofilm reactor</w:t>
      </w:r>
      <w:r w:rsidR="004D1E03">
        <w:rPr>
          <w:lang w:val="en-US"/>
        </w:rPr>
        <w:t xml:space="preserve"> as described in the paper</w:t>
      </w:r>
      <w:r>
        <w:rPr>
          <w:lang w:val="en-US"/>
        </w:rPr>
        <w:t>.</w:t>
      </w:r>
      <w:proofErr w:type="gramEnd"/>
    </w:p>
    <w:p w14:paraId="51666540" w14:textId="60471EA4" w:rsidR="000460AA" w:rsidRDefault="000460AA" w:rsidP="00647808">
      <w:pPr>
        <w:jc w:val="center"/>
        <w:rPr>
          <w:lang w:val="en-US"/>
        </w:rPr>
      </w:pPr>
    </w:p>
    <w:p w14:paraId="236F63FA" w14:textId="3536EB06" w:rsidR="000460AA" w:rsidRDefault="000460AA" w:rsidP="00647808">
      <w:pPr>
        <w:jc w:val="center"/>
        <w:rPr>
          <w:lang w:val="en-US"/>
        </w:rPr>
      </w:pPr>
    </w:p>
    <w:p w14:paraId="16E30D7D" w14:textId="1F8932C1" w:rsidR="00DD5790" w:rsidRDefault="00DD5790" w:rsidP="00647808">
      <w:pPr>
        <w:jc w:val="center"/>
        <w:rPr>
          <w:lang w:val="en-US"/>
        </w:rPr>
      </w:pPr>
    </w:p>
    <w:p w14:paraId="6D6CCE62" w14:textId="02366F41" w:rsidR="00DD5790" w:rsidRDefault="00DD5790" w:rsidP="00647808">
      <w:pPr>
        <w:jc w:val="center"/>
        <w:rPr>
          <w:lang w:val="en-US"/>
        </w:rPr>
      </w:pPr>
    </w:p>
    <w:p w14:paraId="7D56C895" w14:textId="6459ED08" w:rsidR="00DD5790" w:rsidRDefault="00DD5790" w:rsidP="00647808">
      <w:pPr>
        <w:jc w:val="center"/>
        <w:rPr>
          <w:lang w:val="en-US"/>
        </w:rPr>
      </w:pPr>
    </w:p>
    <w:p w14:paraId="4985198B" w14:textId="591582B8" w:rsidR="005B74A7" w:rsidRDefault="00756D47" w:rsidP="004D1E03">
      <w:pPr>
        <w:rPr>
          <w:b/>
          <w:bCs/>
          <w:lang w:val="en-US"/>
        </w:rPr>
      </w:pPr>
      <w:r w:rsidRPr="004D1E03">
        <w:rPr>
          <w:b/>
          <w:bCs/>
          <w:lang w:val="en-US"/>
        </w:rPr>
        <w:lastRenderedPageBreak/>
        <w:t xml:space="preserve">S2. </w:t>
      </w:r>
      <w:r w:rsidR="005B74A7">
        <w:rPr>
          <w:b/>
          <w:bCs/>
          <w:lang w:val="en-US"/>
        </w:rPr>
        <w:t>Mixture of Zn, Cu, Fe and Ni</w:t>
      </w:r>
    </w:p>
    <w:p w14:paraId="2944B7B1" w14:textId="4C47DBE3" w:rsidR="005B74A7" w:rsidRDefault="005B74A7" w:rsidP="004D1E03">
      <w:pPr>
        <w:rPr>
          <w:b/>
          <w:bCs/>
          <w:lang w:val="en-US"/>
        </w:rPr>
      </w:pPr>
    </w:p>
    <w:p w14:paraId="7BCB8474" w14:textId="77777777" w:rsidR="005B74A7" w:rsidRDefault="005B74A7" w:rsidP="004D1E03">
      <w:pPr>
        <w:rPr>
          <w:b/>
          <w:bCs/>
          <w:lang w:val="en-US"/>
        </w:rPr>
      </w:pPr>
    </w:p>
    <w:tbl>
      <w:tblPr>
        <w:tblStyle w:val="TableGrid"/>
        <w:tblW w:w="9757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4878"/>
        <w:gridCol w:w="4879"/>
      </w:tblGrid>
      <w:tr w:rsidR="001207C4" w:rsidRPr="00D078E7" w14:paraId="62E9E14D" w14:textId="77777777" w:rsidTr="00DA3296">
        <w:trPr>
          <w:trHeight w:val="3109"/>
        </w:trPr>
        <w:tc>
          <w:tcPr>
            <w:tcW w:w="2500" w:type="pct"/>
          </w:tcPr>
          <w:p w14:paraId="287AD3D0" w14:textId="7932BF8B" w:rsidR="001207C4" w:rsidRPr="00D078E7" w:rsidRDefault="00110D56" w:rsidP="00984872">
            <w:pPr>
              <w:spacing w:line="480" w:lineRule="auto"/>
              <w:rPr>
                <w:rFonts w:cstheme="minorHAnsi"/>
              </w:rPr>
            </w:pPr>
            <w:r>
              <w:object w:dxaOrig="5471" w:dyaOrig="4198" w14:anchorId="5C56637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1.65pt;height:200.95pt" o:ole="">
                  <v:imagedata r:id="rId6" o:title=""/>
                </v:shape>
                <o:OLEObject Type="Embed" ProgID="Origin50.Graph" ShapeID="_x0000_i1025" DrawAspect="Content" ObjectID="_1682843546" r:id="rId7"/>
              </w:object>
            </w:r>
          </w:p>
        </w:tc>
        <w:tc>
          <w:tcPr>
            <w:tcW w:w="2500" w:type="pct"/>
          </w:tcPr>
          <w:p w14:paraId="0B1C976D" w14:textId="2F9E1DCB" w:rsidR="001207C4" w:rsidRPr="00D078E7" w:rsidRDefault="004274C8" w:rsidP="00984872">
            <w:pPr>
              <w:spacing w:line="480" w:lineRule="auto"/>
              <w:rPr>
                <w:rFonts w:cstheme="minorHAnsi"/>
              </w:rPr>
            </w:pPr>
            <w:r>
              <w:object w:dxaOrig="5471" w:dyaOrig="4198" w14:anchorId="651E5715">
                <v:shape id="_x0000_i1026" type="#_x0000_t75" style="width:263.3pt;height:202.55pt" o:ole="">
                  <v:imagedata r:id="rId8" o:title=""/>
                </v:shape>
                <o:OLEObject Type="Embed" ProgID="Origin50.Graph" ShapeID="_x0000_i1026" DrawAspect="Content" ObjectID="_1682843547" r:id="rId9"/>
              </w:object>
            </w:r>
          </w:p>
        </w:tc>
      </w:tr>
      <w:tr w:rsidR="001207C4" w:rsidRPr="00D078E7" w14:paraId="648EF078" w14:textId="77777777" w:rsidTr="00DA3296">
        <w:trPr>
          <w:trHeight w:val="3055"/>
        </w:trPr>
        <w:tc>
          <w:tcPr>
            <w:tcW w:w="2500" w:type="pct"/>
          </w:tcPr>
          <w:p w14:paraId="4175235C" w14:textId="24E2C4EB" w:rsidR="001207C4" w:rsidRPr="00D078E7" w:rsidRDefault="00DA3296" w:rsidP="00984872">
            <w:pPr>
              <w:spacing w:line="480" w:lineRule="auto"/>
              <w:rPr>
                <w:rFonts w:cstheme="minorHAnsi"/>
              </w:rPr>
            </w:pPr>
            <w:r>
              <w:object w:dxaOrig="5471" w:dyaOrig="4198" w14:anchorId="300E0501">
                <v:shape id="_x0000_i1027" type="#_x0000_t75" style="width:259.5pt;height:199.35pt" o:ole="">
                  <v:imagedata r:id="rId10" o:title=""/>
                </v:shape>
                <o:OLEObject Type="Embed" ProgID="Origin50.Graph" ShapeID="_x0000_i1027" DrawAspect="Content" ObjectID="_1682843548" r:id="rId11"/>
              </w:object>
            </w:r>
          </w:p>
        </w:tc>
        <w:tc>
          <w:tcPr>
            <w:tcW w:w="2500" w:type="pct"/>
          </w:tcPr>
          <w:p w14:paraId="45DA58D6" w14:textId="690289FB" w:rsidR="001207C4" w:rsidRPr="00D078E7" w:rsidRDefault="00DA3296" w:rsidP="00984872">
            <w:pPr>
              <w:keepNext/>
              <w:spacing w:line="480" w:lineRule="auto"/>
              <w:rPr>
                <w:rFonts w:cstheme="minorHAnsi"/>
              </w:rPr>
            </w:pPr>
            <w:r>
              <w:object w:dxaOrig="5471" w:dyaOrig="4198" w14:anchorId="747D30F9">
                <v:shape id="_x0000_i1028" type="#_x0000_t75" style="width:259.5pt;height:199.35pt" o:ole="">
                  <v:imagedata r:id="rId12" o:title=""/>
                </v:shape>
                <o:OLEObject Type="Embed" ProgID="Origin50.Graph" ShapeID="_x0000_i1028" DrawAspect="Content" ObjectID="_1682843549" r:id="rId13"/>
              </w:object>
            </w:r>
          </w:p>
        </w:tc>
      </w:tr>
    </w:tbl>
    <w:p w14:paraId="1B337F80" w14:textId="29618DA3" w:rsidR="005B74A7" w:rsidRPr="001207C4" w:rsidRDefault="00AE2739" w:rsidP="001207C4">
      <w:pPr>
        <w:jc w:val="both"/>
        <w:rPr>
          <w:lang w:val="en-US"/>
        </w:rPr>
      </w:pPr>
      <w:r>
        <w:rPr>
          <w:lang w:val="en-US"/>
        </w:rPr>
        <w:t>Figure S2</w:t>
      </w:r>
      <w:r w:rsidR="006F0D2D">
        <w:rPr>
          <w:lang w:val="en-US"/>
        </w:rPr>
        <w:t>.1</w:t>
      </w:r>
      <w:r>
        <w:rPr>
          <w:lang w:val="en-US"/>
        </w:rPr>
        <w:t xml:space="preserve">. </w:t>
      </w:r>
      <w:r w:rsidR="001207C4">
        <w:rPr>
          <w:lang w:val="en-US"/>
        </w:rPr>
        <w:t>Profiles of</w:t>
      </w:r>
      <w:r w:rsidR="009E7FBF">
        <w:rPr>
          <w:lang w:val="en-US"/>
        </w:rPr>
        <w:t>:</w:t>
      </w:r>
      <w:r w:rsidR="001207C4">
        <w:rPr>
          <w:lang w:val="en-US"/>
        </w:rPr>
        <w:t xml:space="preserve"> </w:t>
      </w:r>
      <w:r w:rsidR="001207C4" w:rsidRPr="001207C4">
        <w:rPr>
          <w:lang w:val="en-US"/>
        </w:rPr>
        <w:t>(</w:t>
      </w:r>
      <w:r w:rsidR="00110D56">
        <w:rPr>
          <w:lang w:val="en-US"/>
        </w:rPr>
        <w:t>a</w:t>
      </w:r>
      <w:r w:rsidR="001207C4" w:rsidRPr="001207C4">
        <w:rPr>
          <w:lang w:val="en-US"/>
        </w:rPr>
        <w:t>) nitrate</w:t>
      </w:r>
      <w:r w:rsidR="009E7FBF">
        <w:rPr>
          <w:lang w:val="en-US"/>
        </w:rPr>
        <w:t>,</w:t>
      </w:r>
      <w:r w:rsidR="001207C4" w:rsidRPr="001207C4">
        <w:rPr>
          <w:lang w:val="en-US"/>
        </w:rPr>
        <w:t xml:space="preserve"> (</w:t>
      </w:r>
      <w:r w:rsidR="00110D56">
        <w:rPr>
          <w:lang w:val="en-US"/>
        </w:rPr>
        <w:t>b</w:t>
      </w:r>
      <w:r w:rsidR="001207C4" w:rsidRPr="001207C4">
        <w:rPr>
          <w:lang w:val="en-US"/>
        </w:rPr>
        <w:t>) nitrite</w:t>
      </w:r>
      <w:r w:rsidR="001207C4">
        <w:rPr>
          <w:lang w:val="en-US"/>
        </w:rPr>
        <w:t>,</w:t>
      </w:r>
      <w:r w:rsidR="00110D56">
        <w:rPr>
          <w:lang w:val="en-US"/>
        </w:rPr>
        <w:t xml:space="preserve"> </w:t>
      </w:r>
      <w:r w:rsidR="00DA3296" w:rsidRPr="001207C4">
        <w:rPr>
          <w:lang w:val="en-US"/>
        </w:rPr>
        <w:t>(</w:t>
      </w:r>
      <w:r w:rsidR="00DA3296">
        <w:rPr>
          <w:lang w:val="en-US"/>
        </w:rPr>
        <w:t>c</w:t>
      </w:r>
      <w:r w:rsidR="00DA3296" w:rsidRPr="001207C4">
        <w:rPr>
          <w:lang w:val="en-US"/>
        </w:rPr>
        <w:t xml:space="preserve">) sulfate </w:t>
      </w:r>
      <w:r w:rsidR="00DA3296">
        <w:rPr>
          <w:lang w:val="en-US"/>
        </w:rPr>
        <w:t xml:space="preserve">, and </w:t>
      </w:r>
      <w:r w:rsidR="00110D56" w:rsidRPr="001207C4">
        <w:rPr>
          <w:lang w:val="en-US"/>
        </w:rPr>
        <w:t>(</w:t>
      </w:r>
      <w:r w:rsidR="00DA3296">
        <w:rPr>
          <w:lang w:val="en-US"/>
        </w:rPr>
        <w:t>d</w:t>
      </w:r>
      <w:r w:rsidR="00110D56" w:rsidRPr="001207C4">
        <w:rPr>
          <w:lang w:val="en-US"/>
        </w:rPr>
        <w:t>) pH</w:t>
      </w:r>
      <w:r w:rsidR="001207C4" w:rsidRPr="001207C4">
        <w:rPr>
          <w:lang w:val="en-US"/>
        </w:rPr>
        <w:t>,</w:t>
      </w:r>
      <w:r w:rsidR="001207C4">
        <w:rPr>
          <w:lang w:val="en-US"/>
        </w:rPr>
        <w:t xml:space="preserve"> during denitrification</w:t>
      </w:r>
      <w:r w:rsidR="001207C4" w:rsidRPr="001207C4">
        <w:rPr>
          <w:lang w:val="en-US"/>
        </w:rPr>
        <w:t xml:space="preserve"> for metal concentrations 20 mg/L and 50 mg/L </w:t>
      </w:r>
      <w:r w:rsidR="001207C4">
        <w:rPr>
          <w:lang w:val="en-US"/>
        </w:rPr>
        <w:t xml:space="preserve">from each of </w:t>
      </w:r>
      <w:r w:rsidR="001207C4" w:rsidRPr="001207C4">
        <w:rPr>
          <w:lang w:val="en-US"/>
        </w:rPr>
        <w:t>Zn, Cu, Fe and Ni</w:t>
      </w:r>
      <w:r w:rsidR="001207C4">
        <w:rPr>
          <w:lang w:val="en-US"/>
        </w:rPr>
        <w:t xml:space="preserve"> (initial</w:t>
      </w:r>
      <w:r w:rsidR="001207C4" w:rsidRPr="001207C4">
        <w:rPr>
          <w:lang w:val="en-US"/>
        </w:rPr>
        <w:t xml:space="preserve"> nitrate concentration: 2750 - 3250 mg/L, </w:t>
      </w:r>
      <w:r w:rsidR="001207C4">
        <w:rPr>
          <w:lang w:val="en-US"/>
        </w:rPr>
        <w:t>initial</w:t>
      </w:r>
      <w:r w:rsidR="001207C4" w:rsidRPr="001207C4">
        <w:rPr>
          <w:lang w:val="en-US"/>
        </w:rPr>
        <w:t xml:space="preserve"> pH 3, salinity 5% w/v</w:t>
      </w:r>
      <w:r w:rsidR="001207C4">
        <w:rPr>
          <w:lang w:val="en-US"/>
        </w:rPr>
        <w:t>).</w:t>
      </w:r>
    </w:p>
    <w:p w14:paraId="02187934" w14:textId="77777777" w:rsidR="001207C4" w:rsidRDefault="001207C4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tbl>
      <w:tblPr>
        <w:tblStyle w:val="TableGrid"/>
        <w:tblW w:w="9757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8"/>
        <w:gridCol w:w="4879"/>
      </w:tblGrid>
      <w:tr w:rsidR="001207C4" w:rsidRPr="00D078E7" w14:paraId="454171D0" w14:textId="77777777" w:rsidTr="001207C4">
        <w:trPr>
          <w:trHeight w:val="2956"/>
        </w:trPr>
        <w:tc>
          <w:tcPr>
            <w:tcW w:w="2500" w:type="pct"/>
          </w:tcPr>
          <w:p w14:paraId="51492BF5" w14:textId="45172DEE" w:rsidR="001207C4" w:rsidRPr="00D078E7" w:rsidRDefault="00E83878" w:rsidP="00984872">
            <w:pPr>
              <w:spacing w:line="480" w:lineRule="auto"/>
              <w:rPr>
                <w:rFonts w:cstheme="minorHAnsi"/>
              </w:rPr>
            </w:pPr>
            <w:r>
              <w:object w:dxaOrig="5471" w:dyaOrig="4198" w14:anchorId="63F525DA">
                <v:shape id="_x0000_i1029" type="#_x0000_t75" style="width:274.05pt;height:210.1pt" o:ole="">
                  <v:imagedata r:id="rId14" o:title=""/>
                </v:shape>
                <o:OLEObject Type="Embed" ProgID="Origin50.Graph" ShapeID="_x0000_i1029" DrawAspect="Content" ObjectID="_1682843550" r:id="rId15"/>
              </w:object>
            </w:r>
          </w:p>
        </w:tc>
        <w:tc>
          <w:tcPr>
            <w:tcW w:w="2500" w:type="pct"/>
          </w:tcPr>
          <w:p w14:paraId="7F2839E1" w14:textId="0DE847A9" w:rsidR="001207C4" w:rsidRPr="00D078E7" w:rsidRDefault="00E83878" w:rsidP="00984872">
            <w:pPr>
              <w:spacing w:line="480" w:lineRule="auto"/>
              <w:rPr>
                <w:rFonts w:cstheme="minorHAnsi"/>
              </w:rPr>
            </w:pPr>
            <w:r>
              <w:object w:dxaOrig="5471" w:dyaOrig="4198" w14:anchorId="1B462EE9">
                <v:shape id="_x0000_i1030" type="#_x0000_t75" style="width:274.05pt;height:210.1pt" o:ole="">
                  <v:imagedata r:id="rId16" o:title=""/>
                </v:shape>
                <o:OLEObject Type="Embed" ProgID="Origin50.Graph" ShapeID="_x0000_i1030" DrawAspect="Content" ObjectID="_1682843551" r:id="rId17"/>
              </w:object>
            </w:r>
          </w:p>
        </w:tc>
      </w:tr>
      <w:tr w:rsidR="001207C4" w:rsidRPr="00D078E7" w14:paraId="3A9401A3" w14:textId="77777777" w:rsidTr="001207C4">
        <w:trPr>
          <w:trHeight w:val="3070"/>
        </w:trPr>
        <w:tc>
          <w:tcPr>
            <w:tcW w:w="2500" w:type="pct"/>
          </w:tcPr>
          <w:p w14:paraId="7AB802D0" w14:textId="6DCDE29A" w:rsidR="001207C4" w:rsidRPr="00D078E7" w:rsidRDefault="00E83878" w:rsidP="00984872">
            <w:pPr>
              <w:spacing w:line="480" w:lineRule="auto"/>
              <w:rPr>
                <w:rFonts w:cstheme="minorHAnsi"/>
              </w:rPr>
            </w:pPr>
            <w:r>
              <w:object w:dxaOrig="5471" w:dyaOrig="4198" w14:anchorId="604B3F67">
                <v:shape id="_x0000_i1031" type="#_x0000_t75" style="width:267.6pt;height:205.8pt" o:ole="">
                  <v:imagedata r:id="rId18" o:title=""/>
                </v:shape>
                <o:OLEObject Type="Embed" ProgID="Origin50.Graph" ShapeID="_x0000_i1031" DrawAspect="Content" ObjectID="_1682843552" r:id="rId19"/>
              </w:object>
            </w:r>
          </w:p>
        </w:tc>
        <w:tc>
          <w:tcPr>
            <w:tcW w:w="2500" w:type="pct"/>
          </w:tcPr>
          <w:p w14:paraId="0050E5FE" w14:textId="35CF0ECF" w:rsidR="001207C4" w:rsidRPr="00D078E7" w:rsidRDefault="00E83878" w:rsidP="00984872">
            <w:pPr>
              <w:keepNext/>
              <w:spacing w:line="480" w:lineRule="auto"/>
              <w:rPr>
                <w:rFonts w:cstheme="minorHAnsi"/>
              </w:rPr>
            </w:pPr>
            <w:r>
              <w:object w:dxaOrig="5471" w:dyaOrig="4198" w14:anchorId="619AC41A">
                <v:shape id="_x0000_i1032" type="#_x0000_t75" style="width:274.05pt;height:210.1pt" o:ole="">
                  <v:imagedata r:id="rId20" o:title=""/>
                </v:shape>
                <o:OLEObject Type="Embed" ProgID="Origin50.Graph" ShapeID="_x0000_i1032" DrawAspect="Content" ObjectID="_1682843553" r:id="rId21"/>
              </w:object>
            </w:r>
          </w:p>
        </w:tc>
      </w:tr>
    </w:tbl>
    <w:p w14:paraId="2D3211F7" w14:textId="196EE628" w:rsidR="001207C4" w:rsidRPr="001207C4" w:rsidRDefault="00AE2739" w:rsidP="001207C4">
      <w:pPr>
        <w:jc w:val="both"/>
        <w:rPr>
          <w:lang w:val="en-US"/>
        </w:rPr>
      </w:pPr>
      <w:r>
        <w:rPr>
          <w:lang w:val="en-US"/>
        </w:rPr>
        <w:t>Figure S</w:t>
      </w:r>
      <w:r w:rsidR="006F0D2D">
        <w:rPr>
          <w:lang w:val="en-US"/>
        </w:rPr>
        <w:t>2.2</w:t>
      </w:r>
      <w:r>
        <w:rPr>
          <w:lang w:val="en-US"/>
        </w:rPr>
        <w:t xml:space="preserve">. </w:t>
      </w:r>
      <w:r w:rsidR="001207C4" w:rsidRPr="001207C4">
        <w:rPr>
          <w:lang w:val="en-US"/>
        </w:rPr>
        <w:t xml:space="preserve">Concentration of soluble (a) </w:t>
      </w:r>
      <w:r>
        <w:rPr>
          <w:lang w:val="en-US"/>
        </w:rPr>
        <w:t xml:space="preserve">zinc, (b) </w:t>
      </w:r>
      <w:r w:rsidR="001207C4" w:rsidRPr="001207C4">
        <w:rPr>
          <w:lang w:val="en-US"/>
        </w:rPr>
        <w:t>copper, (</w:t>
      </w:r>
      <w:r>
        <w:rPr>
          <w:lang w:val="en-US"/>
        </w:rPr>
        <w:t>c</w:t>
      </w:r>
      <w:r w:rsidR="001207C4" w:rsidRPr="001207C4">
        <w:rPr>
          <w:lang w:val="en-US"/>
        </w:rPr>
        <w:t xml:space="preserve">) iron, </w:t>
      </w:r>
      <w:r>
        <w:rPr>
          <w:lang w:val="en-US"/>
        </w:rPr>
        <w:t xml:space="preserve">and </w:t>
      </w:r>
      <w:r w:rsidR="001207C4" w:rsidRPr="001207C4">
        <w:rPr>
          <w:lang w:val="en-US"/>
        </w:rPr>
        <w:t>(</w:t>
      </w:r>
      <w:r>
        <w:rPr>
          <w:lang w:val="en-US"/>
        </w:rPr>
        <w:t>d</w:t>
      </w:r>
      <w:r w:rsidR="001207C4" w:rsidRPr="001207C4">
        <w:rPr>
          <w:lang w:val="en-US"/>
        </w:rPr>
        <w:t xml:space="preserve">) nickel, </w:t>
      </w:r>
      <w:r>
        <w:rPr>
          <w:lang w:val="en-US"/>
        </w:rPr>
        <w:t>during denitrification</w:t>
      </w:r>
      <w:r w:rsidRPr="001207C4">
        <w:rPr>
          <w:lang w:val="en-US"/>
        </w:rPr>
        <w:t xml:space="preserve"> for metal concentrations 20 mg/L and 50 mg/L </w:t>
      </w:r>
      <w:r>
        <w:rPr>
          <w:lang w:val="en-US"/>
        </w:rPr>
        <w:t xml:space="preserve">from each of </w:t>
      </w:r>
      <w:r w:rsidRPr="001207C4">
        <w:rPr>
          <w:lang w:val="en-US"/>
        </w:rPr>
        <w:t>Zn, Cu, Fe and Ni</w:t>
      </w:r>
      <w:r w:rsidR="001207C4" w:rsidRPr="001207C4">
        <w:rPr>
          <w:lang w:val="en-US"/>
        </w:rPr>
        <w:t xml:space="preserve"> (influent nitrate concentration: 2750 - 3250 mg/L, influent pH 3, salinity 5% w/v)</w:t>
      </w:r>
      <w:r>
        <w:rPr>
          <w:lang w:val="en-US"/>
        </w:rPr>
        <w:t>.</w:t>
      </w:r>
    </w:p>
    <w:p w14:paraId="666FC567" w14:textId="06A2C37C" w:rsidR="005B74A7" w:rsidRDefault="005B74A7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68E73D1F" w14:textId="49A5530C" w:rsidR="00756D47" w:rsidRPr="004D1E03" w:rsidRDefault="005B74A7" w:rsidP="004D1E03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 xml:space="preserve">S3. </w:t>
      </w:r>
      <w:proofErr w:type="gramStart"/>
      <w:r w:rsidR="00756D47" w:rsidRPr="004D1E03">
        <w:rPr>
          <w:b/>
          <w:bCs/>
          <w:lang w:val="en-US"/>
        </w:rPr>
        <w:t xml:space="preserve">SEM </w:t>
      </w:r>
      <w:r w:rsidR="00525B24">
        <w:rPr>
          <w:b/>
          <w:bCs/>
          <w:lang w:val="en-US"/>
        </w:rPr>
        <w:t>images</w:t>
      </w:r>
      <w:r w:rsidR="00756D47" w:rsidRPr="004D1E03">
        <w:rPr>
          <w:b/>
          <w:bCs/>
          <w:lang w:val="en-US"/>
        </w:rPr>
        <w:t xml:space="preserve"> and the corresponding EDS spectra of metal precipitates.</w:t>
      </w:r>
      <w:proofErr w:type="gramEnd"/>
    </w:p>
    <w:p w14:paraId="248140BA" w14:textId="77777777" w:rsidR="00756D47" w:rsidRDefault="00756D47" w:rsidP="00647808">
      <w:pPr>
        <w:jc w:val="center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5"/>
        <w:gridCol w:w="222"/>
        <w:gridCol w:w="4215"/>
      </w:tblGrid>
      <w:tr w:rsidR="00525B24" w14:paraId="4CC6359F" w14:textId="77777777" w:rsidTr="002C1550">
        <w:tc>
          <w:tcPr>
            <w:tcW w:w="3913" w:type="dxa"/>
          </w:tcPr>
          <w:p w14:paraId="1678AC12" w14:textId="50253F0C" w:rsidR="00525B24" w:rsidRDefault="00525B24" w:rsidP="00984872">
            <w:pPr>
              <w:jc w:val="center"/>
              <w:rPr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FF09018" wp14:editId="53C96F68">
                  <wp:extent cx="2416093" cy="1915886"/>
                  <wp:effectExtent l="0" t="0" r="381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152" cy="1928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209997" w14:textId="77DCC4D0" w:rsidR="00525B24" w:rsidRDefault="00525B24" w:rsidP="004D1E03">
            <w:pPr>
              <w:jc w:val="center"/>
              <w:rPr>
                <w:lang w:val="en-US"/>
              </w:rPr>
            </w:pPr>
          </w:p>
        </w:tc>
        <w:tc>
          <w:tcPr>
            <w:tcW w:w="237" w:type="dxa"/>
          </w:tcPr>
          <w:p w14:paraId="2819B06C" w14:textId="77777777" w:rsidR="00525B24" w:rsidRDefault="00525B24" w:rsidP="00984872">
            <w:pPr>
              <w:jc w:val="center"/>
              <w:rPr>
                <w:noProof/>
                <w:lang w:val="en-US"/>
              </w:rPr>
            </w:pPr>
          </w:p>
        </w:tc>
        <w:tc>
          <w:tcPr>
            <w:tcW w:w="4146" w:type="dxa"/>
          </w:tcPr>
          <w:p w14:paraId="7BB0E821" w14:textId="68693B6D" w:rsidR="00525B24" w:rsidRDefault="00525B24" w:rsidP="00984872">
            <w:pPr>
              <w:jc w:val="center"/>
              <w:rPr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0288" behindDoc="0" locked="0" layoutInCell="1" allowOverlap="1" wp14:anchorId="42B762FD" wp14:editId="4E8593A7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223157</wp:posOffset>
                  </wp:positionV>
                  <wp:extent cx="2522545" cy="1436007"/>
                  <wp:effectExtent l="0" t="0" r="0" b="0"/>
                  <wp:wrapTopAndBottom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2545" cy="14360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25B24" w14:paraId="3046FFD2" w14:textId="77777777" w:rsidTr="002C1550">
        <w:tc>
          <w:tcPr>
            <w:tcW w:w="8296" w:type="dxa"/>
            <w:gridSpan w:val="3"/>
          </w:tcPr>
          <w:p w14:paraId="25971680" w14:textId="7C91E151" w:rsidR="00525B24" w:rsidRDefault="00525B24" w:rsidP="004D1E0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(a)</w:t>
            </w:r>
          </w:p>
        </w:tc>
      </w:tr>
      <w:tr w:rsidR="00525B24" w14:paraId="09435E20" w14:textId="77777777" w:rsidTr="002C1550">
        <w:tc>
          <w:tcPr>
            <w:tcW w:w="3913" w:type="dxa"/>
          </w:tcPr>
          <w:p w14:paraId="7B0C162E" w14:textId="17EA522E" w:rsidR="00525B24" w:rsidRDefault="00525B24" w:rsidP="00984872">
            <w:pPr>
              <w:jc w:val="center"/>
              <w:rPr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35F633D" wp14:editId="2D165FB0">
                  <wp:extent cx="2388636" cy="1894114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298" cy="1907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03E382" w14:textId="4E5FE9CA" w:rsidR="00525B24" w:rsidRDefault="00525B24" w:rsidP="00984872">
            <w:pPr>
              <w:jc w:val="center"/>
              <w:rPr>
                <w:lang w:val="en-US"/>
              </w:rPr>
            </w:pPr>
          </w:p>
        </w:tc>
        <w:tc>
          <w:tcPr>
            <w:tcW w:w="237" w:type="dxa"/>
          </w:tcPr>
          <w:p w14:paraId="68CA8090" w14:textId="77777777" w:rsidR="00525B24" w:rsidRDefault="00525B24" w:rsidP="00984872">
            <w:pPr>
              <w:jc w:val="center"/>
              <w:rPr>
                <w:noProof/>
                <w:lang w:val="en-US"/>
              </w:rPr>
            </w:pPr>
          </w:p>
        </w:tc>
        <w:tc>
          <w:tcPr>
            <w:tcW w:w="4146" w:type="dxa"/>
          </w:tcPr>
          <w:p w14:paraId="0F3BEEC3" w14:textId="10500488" w:rsidR="00525B24" w:rsidRDefault="00525B24" w:rsidP="00984872">
            <w:pPr>
              <w:jc w:val="center"/>
              <w:rPr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 wp14:anchorId="4E64E2ED" wp14:editId="047FF4E8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154305</wp:posOffset>
                  </wp:positionV>
                  <wp:extent cx="2560129" cy="1458686"/>
                  <wp:effectExtent l="0" t="0" r="0" b="8255"/>
                  <wp:wrapTopAndBottom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129" cy="14586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25B24" w14:paraId="24C2B85E" w14:textId="77777777" w:rsidTr="002C1550">
        <w:tc>
          <w:tcPr>
            <w:tcW w:w="8296" w:type="dxa"/>
            <w:gridSpan w:val="3"/>
          </w:tcPr>
          <w:p w14:paraId="2E7DA229" w14:textId="3BB30621" w:rsidR="00525B24" w:rsidRDefault="00525B24" w:rsidP="00984872">
            <w:pPr>
              <w:jc w:val="center"/>
              <w:rPr>
                <w:noProof/>
                <w:lang w:val="en-US"/>
              </w:rPr>
            </w:pPr>
            <w:r>
              <w:rPr>
                <w:lang w:val="en-US"/>
              </w:rPr>
              <w:t>(b)</w:t>
            </w:r>
          </w:p>
        </w:tc>
      </w:tr>
      <w:tr w:rsidR="00525B24" w14:paraId="455EE3E7" w14:textId="77777777" w:rsidTr="002C1550">
        <w:tc>
          <w:tcPr>
            <w:tcW w:w="3913" w:type="dxa"/>
          </w:tcPr>
          <w:p w14:paraId="4FBC22BD" w14:textId="387D16C7" w:rsidR="00525B24" w:rsidRDefault="00525B24" w:rsidP="00984872">
            <w:pPr>
              <w:jc w:val="center"/>
              <w:rPr>
                <w:noProof/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1DFAFAE" wp14:editId="3BBAD83A">
                  <wp:extent cx="2470225" cy="1953986"/>
                  <wp:effectExtent l="0" t="0" r="6350" b="825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1135" cy="1970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7E9656" w14:textId="71464AEC" w:rsidR="00525B24" w:rsidRDefault="00525B24" w:rsidP="00984872">
            <w:pPr>
              <w:jc w:val="center"/>
              <w:rPr>
                <w:lang w:val="en-US"/>
              </w:rPr>
            </w:pPr>
          </w:p>
        </w:tc>
        <w:tc>
          <w:tcPr>
            <w:tcW w:w="237" w:type="dxa"/>
          </w:tcPr>
          <w:p w14:paraId="08439B40" w14:textId="77777777" w:rsidR="00525B24" w:rsidRDefault="00525B24" w:rsidP="00984872">
            <w:pPr>
              <w:jc w:val="center"/>
              <w:rPr>
                <w:noProof/>
                <w:lang w:val="en-US"/>
              </w:rPr>
            </w:pPr>
          </w:p>
        </w:tc>
        <w:tc>
          <w:tcPr>
            <w:tcW w:w="4146" w:type="dxa"/>
          </w:tcPr>
          <w:p w14:paraId="2B5A6199" w14:textId="1941B183" w:rsidR="00525B24" w:rsidRDefault="00525B24" w:rsidP="00984872">
            <w:pPr>
              <w:jc w:val="center"/>
              <w:rPr>
                <w:lang w:val="en-US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62336" behindDoc="0" locked="0" layoutInCell="1" allowOverlap="1" wp14:anchorId="2062D6BE" wp14:editId="75AF438E">
                  <wp:simplePos x="0" y="0"/>
                  <wp:positionH relativeFrom="column">
                    <wp:posOffset>-9978</wp:posOffset>
                  </wp:positionH>
                  <wp:positionV relativeFrom="paragraph">
                    <wp:posOffset>203291</wp:posOffset>
                  </wp:positionV>
                  <wp:extent cx="2505529" cy="1426320"/>
                  <wp:effectExtent l="0" t="0" r="9525" b="2540"/>
                  <wp:wrapTopAndBottom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529" cy="142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25B24" w14:paraId="6F2315FC" w14:textId="77777777" w:rsidTr="002C1550">
        <w:tc>
          <w:tcPr>
            <w:tcW w:w="8296" w:type="dxa"/>
            <w:gridSpan w:val="3"/>
          </w:tcPr>
          <w:p w14:paraId="7840F5D0" w14:textId="24A7A39E" w:rsidR="00525B24" w:rsidRDefault="00525B24" w:rsidP="00984872">
            <w:pPr>
              <w:jc w:val="center"/>
              <w:rPr>
                <w:noProof/>
                <w:lang w:val="en-US"/>
              </w:rPr>
            </w:pPr>
            <w:r>
              <w:rPr>
                <w:lang w:val="en-US"/>
              </w:rPr>
              <w:t>(c)</w:t>
            </w:r>
          </w:p>
        </w:tc>
      </w:tr>
    </w:tbl>
    <w:p w14:paraId="552FFDA5" w14:textId="77777777" w:rsidR="002C1550" w:rsidRDefault="002C1550" w:rsidP="00647808">
      <w:pPr>
        <w:jc w:val="center"/>
        <w:rPr>
          <w:lang w:val="en-US"/>
        </w:rPr>
      </w:pPr>
    </w:p>
    <w:p w14:paraId="5F50355E" w14:textId="258E572E" w:rsidR="001C057B" w:rsidRDefault="001C057B" w:rsidP="00647808">
      <w:pPr>
        <w:jc w:val="center"/>
        <w:rPr>
          <w:lang w:val="en-US"/>
        </w:rPr>
      </w:pPr>
      <w:r>
        <w:rPr>
          <w:lang w:val="en-US"/>
        </w:rPr>
        <w:t>Fig</w:t>
      </w:r>
      <w:r w:rsidR="004D1E03">
        <w:rPr>
          <w:lang w:val="en-US"/>
        </w:rPr>
        <w:t>ure S</w:t>
      </w:r>
      <w:r w:rsidR="006F0D2D">
        <w:rPr>
          <w:lang w:val="en-US"/>
        </w:rPr>
        <w:t>3</w:t>
      </w:r>
      <w:r w:rsidR="004D1E03">
        <w:rPr>
          <w:lang w:val="en-US"/>
        </w:rPr>
        <w:t xml:space="preserve">.  SEM images (left) and the corresponding EDS spectra (right) </w:t>
      </w:r>
      <w:r w:rsidR="00525B24">
        <w:rPr>
          <w:lang w:val="en-US"/>
        </w:rPr>
        <w:t>at</w:t>
      </w:r>
      <w:r w:rsidR="004D1E03">
        <w:rPr>
          <w:lang w:val="en-US"/>
        </w:rPr>
        <w:t xml:space="preserve"> selected spots of the metal precipitates</w:t>
      </w:r>
      <w:r w:rsidR="00525B24">
        <w:rPr>
          <w:lang w:val="en-US"/>
        </w:rPr>
        <w:t xml:space="preserve"> </w:t>
      </w:r>
      <w:r w:rsidR="00CF7983">
        <w:rPr>
          <w:lang w:val="en-US"/>
        </w:rPr>
        <w:t>identifying:</w:t>
      </w:r>
      <w:r w:rsidR="004D1E03">
        <w:rPr>
          <w:lang w:val="en-US"/>
        </w:rPr>
        <w:t xml:space="preserve"> (a) </w:t>
      </w:r>
      <w:r w:rsidR="00525B24">
        <w:rPr>
          <w:lang w:val="en-US"/>
        </w:rPr>
        <w:t>mix m</w:t>
      </w:r>
      <w:r w:rsidR="004D1E03">
        <w:rPr>
          <w:lang w:val="en-US"/>
        </w:rPr>
        <w:t xml:space="preserve">etal oxides (hydroxides) (b) </w:t>
      </w:r>
      <w:r w:rsidR="00525B24">
        <w:rPr>
          <w:lang w:val="en-US"/>
        </w:rPr>
        <w:t>i</w:t>
      </w:r>
      <w:r w:rsidR="004D1E03">
        <w:rPr>
          <w:lang w:val="en-US"/>
        </w:rPr>
        <w:t>ron oxides</w:t>
      </w:r>
      <w:r w:rsidR="00525B24">
        <w:rPr>
          <w:lang w:val="en-US"/>
        </w:rPr>
        <w:t xml:space="preserve"> (hydroxides)</w:t>
      </w:r>
      <w:r w:rsidR="004D1E03">
        <w:rPr>
          <w:lang w:val="en-US"/>
        </w:rPr>
        <w:t xml:space="preserve"> and (c) </w:t>
      </w:r>
      <w:r w:rsidR="00525B24">
        <w:rPr>
          <w:lang w:val="en-US"/>
        </w:rPr>
        <w:t>c</w:t>
      </w:r>
      <w:r w:rsidR="004D1E03">
        <w:rPr>
          <w:lang w:val="en-US"/>
        </w:rPr>
        <w:t>opper sulfides.</w:t>
      </w:r>
    </w:p>
    <w:p w14:paraId="759C944B" w14:textId="1C2AD116" w:rsidR="00C62669" w:rsidRDefault="00DD5790" w:rsidP="004D1E03">
      <w:pPr>
        <w:rPr>
          <w:lang w:val="en-US"/>
        </w:rPr>
      </w:pPr>
      <w:r>
        <w:rPr>
          <w:lang w:val="en-US"/>
        </w:rPr>
        <w:br w:type="page"/>
      </w:r>
    </w:p>
    <w:p w14:paraId="163E912F" w14:textId="77777777" w:rsidR="006F0D2D" w:rsidRDefault="006F0D2D" w:rsidP="004D1E03">
      <w:pPr>
        <w:rPr>
          <w:b/>
          <w:bCs/>
          <w:lang w:val="en-US"/>
        </w:rPr>
      </w:pPr>
      <w:r w:rsidRPr="006F0D2D">
        <w:rPr>
          <w:b/>
          <w:bCs/>
          <w:lang w:val="en-US"/>
        </w:rPr>
        <w:lastRenderedPageBreak/>
        <w:t>S4. Solubility curves</w:t>
      </w:r>
      <w:r>
        <w:rPr>
          <w:b/>
          <w:bCs/>
          <w:lang w:val="en-US"/>
        </w:rPr>
        <w:t xml:space="preserve"> of Ni</w:t>
      </w:r>
    </w:p>
    <w:p w14:paraId="31A3EF3E" w14:textId="2A519143" w:rsidR="006F0D2D" w:rsidRPr="006F0D2D" w:rsidRDefault="006F0D2D" w:rsidP="004D1E03">
      <w:pPr>
        <w:rPr>
          <w:b/>
          <w:bCs/>
          <w:lang w:val="en-US"/>
        </w:rPr>
      </w:pPr>
      <w:r w:rsidRPr="006F0D2D">
        <w:rPr>
          <w:b/>
          <w:bCs/>
          <w:lang w:val="en-US"/>
        </w:rPr>
        <w:t xml:space="preserve"> </w:t>
      </w:r>
    </w:p>
    <w:p w14:paraId="65F84F82" w14:textId="53E88A66" w:rsidR="00C62669" w:rsidRDefault="00C62669" w:rsidP="004D1E03">
      <w:pPr>
        <w:rPr>
          <w:lang w:val="en-US"/>
        </w:rPr>
      </w:pPr>
      <w:r>
        <w:rPr>
          <w:noProof/>
          <w:lang w:val="en-GB" w:eastAsia="en-GB"/>
        </w:rPr>
        <w:drawing>
          <wp:inline distT="0" distB="0" distL="0" distR="0" wp14:anchorId="4A4D77D5" wp14:editId="0F90BAD5">
            <wp:extent cx="5257981" cy="4301467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299" cy="4313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A0543" w14:textId="0CB99D90" w:rsidR="006F0D2D" w:rsidRPr="006F0D2D" w:rsidRDefault="006F0D2D" w:rsidP="006F0D2D">
      <w:pPr>
        <w:pStyle w:val="Caption"/>
        <w:spacing w:line="480" w:lineRule="auto"/>
        <w:jc w:val="center"/>
        <w:rPr>
          <w:b w:val="0"/>
          <w:bCs w:val="0"/>
          <w:color w:val="auto"/>
          <w:sz w:val="22"/>
          <w:szCs w:val="22"/>
          <w:lang w:val="en-US"/>
        </w:rPr>
      </w:pPr>
      <w:r w:rsidRPr="006F0D2D">
        <w:rPr>
          <w:b w:val="0"/>
          <w:bCs w:val="0"/>
          <w:color w:val="auto"/>
          <w:sz w:val="22"/>
          <w:szCs w:val="22"/>
          <w:lang w:val="en-US"/>
        </w:rPr>
        <w:t>Fig</w:t>
      </w:r>
      <w:r>
        <w:rPr>
          <w:b w:val="0"/>
          <w:bCs w:val="0"/>
          <w:color w:val="auto"/>
          <w:sz w:val="22"/>
          <w:szCs w:val="22"/>
          <w:lang w:val="en-US"/>
        </w:rPr>
        <w:t>ure</w:t>
      </w:r>
      <w:r w:rsidRPr="006F0D2D">
        <w:rPr>
          <w:b w:val="0"/>
          <w:bCs w:val="0"/>
          <w:color w:val="auto"/>
          <w:sz w:val="22"/>
          <w:szCs w:val="22"/>
          <w:lang w:val="en-US"/>
        </w:rPr>
        <w:t xml:space="preserve"> </w:t>
      </w:r>
      <w:r>
        <w:rPr>
          <w:b w:val="0"/>
          <w:bCs w:val="0"/>
          <w:color w:val="auto"/>
          <w:sz w:val="22"/>
          <w:szCs w:val="22"/>
          <w:lang w:val="en-US"/>
        </w:rPr>
        <w:t>S4</w:t>
      </w:r>
      <w:r w:rsidRPr="006F0D2D">
        <w:rPr>
          <w:b w:val="0"/>
          <w:bCs w:val="0"/>
          <w:color w:val="auto"/>
          <w:sz w:val="22"/>
          <w:szCs w:val="22"/>
          <w:lang w:val="en-US"/>
        </w:rPr>
        <w:t>. Solubility curves of Ni vs. pH with and without the presence of organic nutrients.</w:t>
      </w:r>
    </w:p>
    <w:p w14:paraId="21572333" w14:textId="69074AE6" w:rsidR="00DD5790" w:rsidRPr="006F0D2D" w:rsidRDefault="004676D2" w:rsidP="006F0D2D">
      <w:pPr>
        <w:jc w:val="both"/>
        <w:rPr>
          <w:rFonts w:cs="Times New Roman"/>
          <w:lang w:val="en-US"/>
        </w:rPr>
      </w:pPr>
      <w:r>
        <w:rPr>
          <w:rFonts w:cs="Times New Roman"/>
          <w:lang w:val="en-US"/>
        </w:rPr>
        <w:t>N</w:t>
      </w:r>
      <w:r w:rsidR="00DD5790" w:rsidRPr="006F0D2D">
        <w:rPr>
          <w:rFonts w:cs="Times New Roman"/>
          <w:lang w:val="en-US"/>
        </w:rPr>
        <w:t xml:space="preserve">ickel remains almost completely soluble up to pH 6.5 </w:t>
      </w:r>
      <w:r>
        <w:rPr>
          <w:rFonts w:cs="Times New Roman"/>
          <w:lang w:val="en-US"/>
        </w:rPr>
        <w:t xml:space="preserve">while </w:t>
      </w:r>
      <w:r w:rsidR="00DD5790" w:rsidRPr="006F0D2D">
        <w:rPr>
          <w:rFonts w:cs="Times New Roman"/>
          <w:lang w:val="en-US"/>
        </w:rPr>
        <w:t xml:space="preserve">its solubility is abruptly reduced at pH 7. However, by further </w:t>
      </w:r>
      <w:r w:rsidR="006F0D2D" w:rsidRPr="006F0D2D">
        <w:rPr>
          <w:rFonts w:cs="Times New Roman"/>
          <w:lang w:val="en-US"/>
        </w:rPr>
        <w:t xml:space="preserve">increasing </w:t>
      </w:r>
      <w:r w:rsidR="00DD5790" w:rsidRPr="006F0D2D">
        <w:rPr>
          <w:rFonts w:cs="Times New Roman"/>
          <w:lang w:val="en-US"/>
        </w:rPr>
        <w:t>the pH of the solution above 7.5 the formation of charged nickel poly hydroxyl species increase</w:t>
      </w:r>
      <w:r w:rsidR="006F0D2D">
        <w:rPr>
          <w:rFonts w:cs="Times New Roman"/>
          <w:lang w:val="en-US"/>
        </w:rPr>
        <w:t>s</w:t>
      </w:r>
      <w:r w:rsidR="00DD5790" w:rsidRPr="006F0D2D">
        <w:rPr>
          <w:rFonts w:cs="Times New Roman"/>
          <w:lang w:val="en-US"/>
        </w:rPr>
        <w:t xml:space="preserve"> Ni solubility. Comparing the experimentally determined and theoretically simulated Ni solubility curves a displacement of about 0.5 pH units is observed. This difference can be </w:t>
      </w:r>
      <w:r w:rsidR="006F0D2D" w:rsidRPr="006F0D2D">
        <w:rPr>
          <w:rFonts w:cs="Times New Roman"/>
          <w:lang w:val="en-US"/>
        </w:rPr>
        <w:t xml:space="preserve">predominantly </w:t>
      </w:r>
      <w:r w:rsidR="00DD5790" w:rsidRPr="006F0D2D">
        <w:rPr>
          <w:rFonts w:cs="Times New Roman"/>
          <w:lang w:val="en-US"/>
        </w:rPr>
        <w:t xml:space="preserve">attributed to the </w:t>
      </w:r>
      <w:r w:rsidR="006F0D2D">
        <w:rPr>
          <w:rFonts w:cs="Times New Roman"/>
          <w:lang w:val="en-US"/>
        </w:rPr>
        <w:t xml:space="preserve">slow </w:t>
      </w:r>
      <w:r w:rsidR="00DD5790" w:rsidRPr="006F0D2D">
        <w:rPr>
          <w:rFonts w:cs="Times New Roman"/>
          <w:lang w:val="en-US"/>
        </w:rPr>
        <w:t xml:space="preserve">creeping hydrolysis reactions that take place in </w:t>
      </w:r>
      <w:r w:rsidR="006F0D2D">
        <w:rPr>
          <w:rFonts w:cs="Times New Roman"/>
          <w:lang w:val="en-US"/>
        </w:rPr>
        <w:t>the solutions</w:t>
      </w:r>
      <w:r w:rsidR="00DD5790" w:rsidRPr="006F0D2D">
        <w:rPr>
          <w:rFonts w:cs="Times New Roman"/>
          <w:lang w:val="en-US"/>
        </w:rPr>
        <w:t xml:space="preserve"> that cannot be </w:t>
      </w:r>
      <w:r w:rsidR="006F0D2D">
        <w:rPr>
          <w:rFonts w:cs="Times New Roman"/>
          <w:lang w:val="en-US"/>
        </w:rPr>
        <w:t>modeled</w:t>
      </w:r>
      <w:r w:rsidR="00DD5790" w:rsidRPr="006F0D2D">
        <w:rPr>
          <w:rFonts w:cs="Times New Roman"/>
          <w:lang w:val="en-US"/>
        </w:rPr>
        <w:t xml:space="preserve"> by the software and to the </w:t>
      </w:r>
      <w:r w:rsidR="006F0D2D">
        <w:rPr>
          <w:rFonts w:cs="Times New Roman"/>
          <w:lang w:val="en-US"/>
        </w:rPr>
        <w:t>laboratory test</w:t>
      </w:r>
      <w:r w:rsidR="00DD5790" w:rsidRPr="006F0D2D">
        <w:rPr>
          <w:rFonts w:cs="Times New Roman"/>
          <w:lang w:val="en-US"/>
        </w:rPr>
        <w:t xml:space="preserve"> conditions that are not </w:t>
      </w:r>
      <w:r w:rsidR="006F0D2D">
        <w:rPr>
          <w:rFonts w:cs="Times New Roman"/>
          <w:lang w:val="en-US"/>
        </w:rPr>
        <w:t xml:space="preserve">strictly </w:t>
      </w:r>
      <w:r w:rsidR="00DD5790" w:rsidRPr="006F0D2D">
        <w:rPr>
          <w:rFonts w:cs="Times New Roman"/>
          <w:lang w:val="en-US"/>
        </w:rPr>
        <w:t>standard (i.e., temperature different than 25°C</w:t>
      </w:r>
      <w:r>
        <w:rPr>
          <w:rFonts w:cs="Times New Roman"/>
          <w:lang w:val="en-US"/>
        </w:rPr>
        <w:t xml:space="preserve"> and non-controlled ionic strength of the solutions</w:t>
      </w:r>
      <w:r w:rsidR="00DD5790" w:rsidRPr="006F0D2D">
        <w:rPr>
          <w:rFonts w:cs="Times New Roman"/>
          <w:lang w:val="en-US"/>
        </w:rPr>
        <w:t>).</w:t>
      </w:r>
    </w:p>
    <w:p w14:paraId="667493CE" w14:textId="77777777" w:rsidR="00DD5790" w:rsidRPr="000460AA" w:rsidRDefault="00DD5790" w:rsidP="00647808">
      <w:pPr>
        <w:jc w:val="center"/>
        <w:rPr>
          <w:lang w:val="en-US"/>
        </w:rPr>
      </w:pPr>
    </w:p>
    <w:sectPr w:rsidR="00DD5790" w:rsidRPr="000460A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808"/>
    <w:rsid w:val="000460AA"/>
    <w:rsid w:val="000759A0"/>
    <w:rsid w:val="00110D56"/>
    <w:rsid w:val="001207C4"/>
    <w:rsid w:val="001331E9"/>
    <w:rsid w:val="001C057B"/>
    <w:rsid w:val="002C1550"/>
    <w:rsid w:val="004274C8"/>
    <w:rsid w:val="004676D2"/>
    <w:rsid w:val="00495071"/>
    <w:rsid w:val="004D1E03"/>
    <w:rsid w:val="00525B24"/>
    <w:rsid w:val="005B74A7"/>
    <w:rsid w:val="00647808"/>
    <w:rsid w:val="006875E2"/>
    <w:rsid w:val="006F0D2D"/>
    <w:rsid w:val="006F70CC"/>
    <w:rsid w:val="00723A29"/>
    <w:rsid w:val="00756D47"/>
    <w:rsid w:val="00984A29"/>
    <w:rsid w:val="009E079C"/>
    <w:rsid w:val="009E7FBF"/>
    <w:rsid w:val="00AE2739"/>
    <w:rsid w:val="00C62669"/>
    <w:rsid w:val="00CF7983"/>
    <w:rsid w:val="00D94FD3"/>
    <w:rsid w:val="00DA3296"/>
    <w:rsid w:val="00DD5790"/>
    <w:rsid w:val="00E451E1"/>
    <w:rsid w:val="00E83878"/>
    <w:rsid w:val="00EE6F56"/>
    <w:rsid w:val="00FB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9948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05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F0D2D"/>
    <w:pPr>
      <w:spacing w:after="200" w:line="240" w:lineRule="auto"/>
      <w:jc w:val="both"/>
    </w:pPr>
    <w:rPr>
      <w:b/>
      <w:bCs/>
      <w:color w:val="4472C4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5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05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F0D2D"/>
    <w:pPr>
      <w:spacing w:after="200" w:line="240" w:lineRule="auto"/>
      <w:jc w:val="both"/>
    </w:pPr>
    <w:rPr>
      <w:b/>
      <w:bCs/>
      <w:color w:val="4472C4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5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4.bin"/><Relationship Id="rId18" Type="http://schemas.openxmlformats.org/officeDocument/2006/relationships/image" Target="media/image8.emf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emf"/><Relationship Id="rId17" Type="http://schemas.openxmlformats.org/officeDocument/2006/relationships/oleObject" Target="embeddings/oleObject6.bin"/><Relationship Id="rId25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3.bin"/><Relationship Id="rId24" Type="http://schemas.openxmlformats.org/officeDocument/2006/relationships/image" Target="media/image12.png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png"/><Relationship Id="rId28" Type="http://schemas.openxmlformats.org/officeDocument/2006/relationships/image" Target="media/image16.jpeg"/><Relationship Id="rId10" Type="http://schemas.openxmlformats.org/officeDocument/2006/relationships/image" Target="media/image4.e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6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Artin Hatzikioseyian</dc:creator>
  <cp:keywords/>
  <dc:description/>
  <cp:lastModifiedBy>Artin</cp:lastModifiedBy>
  <cp:revision>22</cp:revision>
  <dcterms:created xsi:type="dcterms:W3CDTF">2021-04-19T18:52:00Z</dcterms:created>
  <dcterms:modified xsi:type="dcterms:W3CDTF">2021-05-18T08:45:00Z</dcterms:modified>
</cp:coreProperties>
</file>