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579A4">
      <w:pPr>
        <w:rPr>
          <w:rFonts w:hint="default" w:ascii="Times New Roman" w:hAnsi="Times New Roman" w:cs="Times New Roman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Supplemental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Table 1.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Metastasis </w:t>
      </w:r>
      <w:r>
        <w:rPr>
          <w:rFonts w:ascii="Times New Roman" w:hAnsi="Times New Roman" w:cs="Times New Roman"/>
          <w:sz w:val="24"/>
        </w:rPr>
        <w:t>in patients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at baseline after PSM</w:t>
      </w:r>
    </w:p>
    <w:p w14:paraId="0E64CA53"/>
    <w:p w14:paraId="1C1096DF"/>
    <w:p w14:paraId="4E303F6E">
      <w:pP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8"/>
        <w:tblpPr w:leftFromText="180" w:rightFromText="180" w:vertAnchor="page" w:horzAnchor="page" w:tblpX="1623" w:tblpY="181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213"/>
        <w:gridCol w:w="2247"/>
        <w:gridCol w:w="965"/>
      </w:tblGrid>
      <w:tr w14:paraId="0D692D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328" w:type="dxa"/>
            <w:vMerge w:val="restart"/>
            <w:tcBorders>
              <w:tl2br w:val="nil"/>
              <w:tr2bl w:val="nil"/>
            </w:tcBorders>
            <w:noWrap w:val="0"/>
            <w:vAlign w:val="top"/>
          </w:tcPr>
          <w:p w14:paraId="3949C88E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Metastatic Organs </w:t>
            </w:r>
          </w:p>
        </w:tc>
        <w:tc>
          <w:tcPr>
            <w:tcW w:w="542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043503DA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After PSM</w:t>
            </w:r>
          </w:p>
        </w:tc>
      </w:tr>
      <w:tr w14:paraId="0B88AC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32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05D584F">
            <w:pPr>
              <w:widowControl w:val="0"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13" w:type="dxa"/>
            <w:tcBorders>
              <w:tl2br w:val="nil"/>
              <w:tr2bl w:val="nil"/>
            </w:tcBorders>
            <w:noWrap w:val="0"/>
            <w:vAlign w:val="top"/>
          </w:tcPr>
          <w:p w14:paraId="5C02495A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TKI alone</w:t>
            </w:r>
          </w:p>
          <w:p w14:paraId="28E7E176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（n=6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,%）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noWrap w:val="0"/>
            <w:vAlign w:val="top"/>
          </w:tcPr>
          <w:p w14:paraId="1E91E35B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TKI plus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RT（n=6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,%）</w:t>
            </w:r>
          </w:p>
        </w:tc>
        <w:tc>
          <w:tcPr>
            <w:tcW w:w="965" w:type="dxa"/>
            <w:tcBorders>
              <w:tl2br w:val="nil"/>
              <w:tr2bl w:val="nil"/>
            </w:tcBorders>
            <w:noWrap w:val="0"/>
            <w:vAlign w:val="top"/>
          </w:tcPr>
          <w:p w14:paraId="0DC12F2F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P value</w:t>
            </w:r>
          </w:p>
        </w:tc>
      </w:tr>
      <w:tr w14:paraId="59ABB5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9" w:hRule="atLeast"/>
        </w:trPr>
        <w:tc>
          <w:tcPr>
            <w:tcW w:w="2328" w:type="dxa"/>
            <w:tcBorders>
              <w:tl2br w:val="nil"/>
              <w:tr2bl w:val="nil"/>
            </w:tcBorders>
            <w:noWrap w:val="0"/>
            <w:vAlign w:val="top"/>
          </w:tcPr>
          <w:p w14:paraId="77B80B18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Lung metastas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s</w:t>
            </w:r>
          </w:p>
          <w:p w14:paraId="31EC95C9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NO</w:t>
            </w:r>
          </w:p>
          <w:p w14:paraId="5C7C5C20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YES</w:t>
            </w:r>
          </w:p>
          <w:p w14:paraId="6E84688A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Brain metastas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s</w:t>
            </w:r>
          </w:p>
          <w:p w14:paraId="66033C1A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NO</w:t>
            </w:r>
          </w:p>
          <w:p w14:paraId="7FC8BE9F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YES</w:t>
            </w:r>
          </w:p>
          <w:p w14:paraId="51F3F5B6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Bone metastas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s</w:t>
            </w:r>
          </w:p>
          <w:p w14:paraId="197A9C5E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NO</w:t>
            </w:r>
          </w:p>
          <w:p w14:paraId="75E89A1C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YES</w:t>
            </w:r>
          </w:p>
          <w:p w14:paraId="1DD18CC3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Liver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metastasis</w:t>
            </w:r>
          </w:p>
          <w:p w14:paraId="5CAA9D40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NO</w:t>
            </w:r>
          </w:p>
          <w:p w14:paraId="6E10CF21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YES</w:t>
            </w:r>
          </w:p>
          <w:p w14:paraId="557BA52F">
            <w:pPr>
              <w:widowControl w:val="0"/>
              <w:jc w:val="both"/>
              <w:rPr>
                <w:rFonts w:hint="default" w:ascii="Times New Roman" w:hAnsi="Times New Roman" w:cs="Times New Roman"/>
                <w:color w:val="00000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highlight w:val="none"/>
                <w:vertAlign w:val="baseline"/>
                <w:lang w:val="en-US" w:eastAsia="zh-CN"/>
              </w:rPr>
              <w:t xml:space="preserve">Adrenal gland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metastasis</w:t>
            </w:r>
          </w:p>
          <w:p w14:paraId="3FB6E66B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 xml:space="preserve">    NO</w:t>
            </w:r>
          </w:p>
          <w:p w14:paraId="01DFFD4D">
            <w:pPr>
              <w:widowControl w:val="0"/>
              <w:ind w:firstLine="210" w:firstLineChars="10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YES</w:t>
            </w:r>
          </w:p>
          <w:p w14:paraId="649349F8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lang w:val="en-US" w:eastAsia="zh-CN"/>
              </w:rPr>
              <w:t xml:space="preserve">Pleural 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metastasis</w:t>
            </w:r>
          </w:p>
          <w:p w14:paraId="3D577287">
            <w:pPr>
              <w:widowControl w:val="0"/>
              <w:ind w:firstLine="210" w:firstLineChars="10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NO</w:t>
            </w:r>
          </w:p>
          <w:p w14:paraId="2F1876DC">
            <w:pPr>
              <w:widowControl w:val="0"/>
              <w:ind w:firstLine="210" w:firstLineChars="10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YES</w:t>
            </w:r>
          </w:p>
          <w:p w14:paraId="0241C018">
            <w:pPr>
              <w:widowControl w:val="0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Others</w:t>
            </w:r>
          </w:p>
          <w:p w14:paraId="35BE5A43">
            <w:pPr>
              <w:widowControl w:val="0"/>
              <w:ind w:firstLine="210" w:firstLineChars="100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NO</w:t>
            </w:r>
          </w:p>
          <w:p w14:paraId="15513185">
            <w:pPr>
              <w:widowControl w:val="0"/>
              <w:ind w:firstLine="210" w:firstLineChars="100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YES</w:t>
            </w:r>
          </w:p>
          <w:p w14:paraId="451DCF92">
            <w:pPr>
              <w:widowControl w:val="0"/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13" w:type="dxa"/>
            <w:tcBorders>
              <w:tl2br w:val="nil"/>
              <w:tr2bl w:val="nil"/>
            </w:tcBorders>
            <w:noWrap w:val="0"/>
            <w:vAlign w:val="top"/>
          </w:tcPr>
          <w:p w14:paraId="11E4DF42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5D4E39D7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7.1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%）</w:t>
            </w:r>
          </w:p>
          <w:p w14:paraId="647D4CC0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%）</w:t>
            </w:r>
          </w:p>
          <w:p w14:paraId="3B51F2AB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</w:p>
          <w:p w14:paraId="6C8CF5B5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36(57.1%)</w:t>
            </w:r>
          </w:p>
          <w:p w14:paraId="088A60C0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27(42.9%)</w:t>
            </w:r>
          </w:p>
          <w:p w14:paraId="1803E4C6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1AE28894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31(49.2%)</w:t>
            </w:r>
          </w:p>
          <w:p w14:paraId="7C15CC11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32(50.8%)</w:t>
            </w:r>
          </w:p>
          <w:p w14:paraId="62AD8102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4A1D1E08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59(93.7%)</w:t>
            </w:r>
          </w:p>
          <w:p w14:paraId="0E9C5CE2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4(6.3%)</w:t>
            </w:r>
          </w:p>
          <w:p w14:paraId="140404B0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212A4A5F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7 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%)</w:t>
            </w:r>
          </w:p>
          <w:p w14:paraId="616A1F18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6   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%)</w:t>
            </w:r>
          </w:p>
          <w:p w14:paraId="1DEFEC0A">
            <w:pPr>
              <w:widowControl w:val="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  <w:p w14:paraId="24F7AF36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46（73.0%）</w:t>
            </w:r>
          </w:p>
          <w:p w14:paraId="0FFEAF3A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17（27.0%）</w:t>
            </w:r>
          </w:p>
          <w:p w14:paraId="65C3A60D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5F11542B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56(88.9%)</w:t>
            </w:r>
          </w:p>
          <w:p w14:paraId="7AC710CA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7(11.1%)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noWrap w:val="0"/>
            <w:vAlign w:val="top"/>
          </w:tcPr>
          <w:p w14:paraId="4956A673">
            <w:pPr>
              <w:widowControl w:val="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  <w:p w14:paraId="0DFFF016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42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66.7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%）</w:t>
            </w:r>
          </w:p>
          <w:p w14:paraId="06C03F1D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33.3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%）</w:t>
            </w:r>
          </w:p>
          <w:p w14:paraId="1630529F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</w:p>
          <w:p w14:paraId="1114E4E8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38(60.3%)</w:t>
            </w:r>
          </w:p>
          <w:p w14:paraId="691F9724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25(39.7%)</w:t>
            </w:r>
          </w:p>
          <w:p w14:paraId="6AC506B2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55EEEE2B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32(50.8%)</w:t>
            </w:r>
          </w:p>
          <w:p w14:paraId="519CF6AE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31(49.2%)</w:t>
            </w:r>
          </w:p>
          <w:p w14:paraId="119305BA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219DEF8A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60(95.2%)</w:t>
            </w:r>
          </w:p>
          <w:p w14:paraId="0FD2F2AF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3(4.8%)</w:t>
            </w:r>
          </w:p>
          <w:p w14:paraId="37170B28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31D32154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59 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%)</w:t>
            </w:r>
          </w:p>
          <w:p w14:paraId="5D8DFC4D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4   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6.3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%)</w:t>
            </w:r>
          </w:p>
          <w:p w14:paraId="5CD932D2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428A20FE">
            <w:pPr>
              <w:widowControl w:val="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43（68.3%）</w:t>
            </w:r>
          </w:p>
          <w:p w14:paraId="441D206F">
            <w:pPr>
              <w:widowControl w:val="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20（31.7%）</w:t>
            </w:r>
          </w:p>
          <w:p w14:paraId="17A4D2DB">
            <w:pPr>
              <w:widowControl w:val="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  <w:p w14:paraId="7B357F2A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55(87.3%)</w:t>
            </w:r>
          </w:p>
          <w:p w14:paraId="1F337ED9">
            <w:pPr>
              <w:widowControl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8(12.7%)</w:t>
            </w:r>
          </w:p>
        </w:tc>
        <w:tc>
          <w:tcPr>
            <w:tcW w:w="965" w:type="dxa"/>
            <w:tcBorders>
              <w:tl2br w:val="nil"/>
              <w:tr2bl w:val="nil"/>
            </w:tcBorders>
            <w:noWrap w:val="0"/>
            <w:vAlign w:val="top"/>
          </w:tcPr>
          <w:p w14:paraId="203956AC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271</w:t>
            </w:r>
          </w:p>
          <w:p w14:paraId="79B7950F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4B1658BC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02EA8455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717</w:t>
            </w:r>
          </w:p>
          <w:p w14:paraId="0AD834D0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629FB368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3F1F51C9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859</w:t>
            </w:r>
          </w:p>
          <w:p w14:paraId="303A12CF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0B2B8D18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18DE1861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1.000</w:t>
            </w:r>
          </w:p>
          <w:p w14:paraId="7274934A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4BE03184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70C478BC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510</w:t>
            </w:r>
          </w:p>
          <w:p w14:paraId="42FD6A00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39D4AE4A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 w14:paraId="50F7EA07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0.557</w:t>
            </w:r>
          </w:p>
          <w:p w14:paraId="389D24F9">
            <w:pPr>
              <w:widowControl w:val="0"/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  <w:p w14:paraId="38573B40">
            <w:pPr>
              <w:widowControl w:val="0"/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  <w:p w14:paraId="089A3A14">
            <w:pPr>
              <w:widowControl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0.783</w:t>
            </w:r>
          </w:p>
        </w:tc>
      </w:tr>
    </w:tbl>
    <w:p w14:paraId="4F88FF0A">
      <w:pPr>
        <w:rPr>
          <w:rFonts w:ascii="Times New Roman" w:hAnsi="Times New Roman" w:cs="Times New Roman"/>
          <w:sz w:val="24"/>
          <w:szCs w:val="24"/>
        </w:rPr>
      </w:pPr>
    </w:p>
    <w:p w14:paraId="06CB9C32">
      <w:pPr>
        <w:rPr>
          <w:rFonts w:ascii="Times New Roman" w:hAnsi="Times New Roman" w:cs="Times New Roman"/>
          <w:sz w:val="24"/>
          <w:szCs w:val="24"/>
        </w:rPr>
      </w:pPr>
    </w:p>
    <w:p w14:paraId="10FE8E84">
      <w:pPr>
        <w:rPr>
          <w:rFonts w:ascii="Times New Roman" w:hAnsi="Times New Roman" w:cs="Times New Roman"/>
          <w:sz w:val="24"/>
          <w:szCs w:val="24"/>
        </w:rPr>
      </w:pPr>
    </w:p>
    <w:p w14:paraId="4722DAC2">
      <w:pPr>
        <w:rPr>
          <w:rFonts w:hint="default" w:ascii="Times New Roman" w:hAnsi="Times New Roman" w:cs="Times New Roman"/>
        </w:rPr>
      </w:pPr>
    </w:p>
    <w:p w14:paraId="56298C9E">
      <w:pPr>
        <w:rPr>
          <w:rFonts w:hint="default" w:ascii="Times New Roman" w:hAnsi="Times New Roman" w:cs="Times New Roman"/>
        </w:rPr>
      </w:pPr>
    </w:p>
    <w:p w14:paraId="43DA8925">
      <w:pPr>
        <w:rPr>
          <w:rFonts w:hint="default" w:ascii="Times New Roman" w:hAnsi="Times New Roman" w:cs="Times New Roman"/>
        </w:rPr>
      </w:pPr>
    </w:p>
    <w:p w14:paraId="4EEA0423">
      <w:pPr>
        <w:rPr>
          <w:rFonts w:hint="default" w:ascii="Times New Roman" w:hAnsi="Times New Roman" w:cs="Times New Roman"/>
        </w:rPr>
      </w:pPr>
    </w:p>
    <w:p w14:paraId="091EF648">
      <w:pPr>
        <w:rPr>
          <w:rFonts w:hint="default" w:ascii="Times New Roman" w:hAnsi="Times New Roman" w:cs="Times New Roman"/>
        </w:rPr>
      </w:pPr>
    </w:p>
    <w:p w14:paraId="269ADEF6">
      <w:pPr>
        <w:rPr>
          <w:rFonts w:hint="default" w:ascii="Times New Roman" w:hAnsi="Times New Roman" w:cs="Times New Roman"/>
        </w:rPr>
      </w:pPr>
    </w:p>
    <w:p w14:paraId="258E701F">
      <w:pPr>
        <w:rPr>
          <w:rFonts w:hint="default" w:ascii="Times New Roman" w:hAnsi="Times New Roman" w:cs="Times New Roman"/>
        </w:rPr>
      </w:pPr>
    </w:p>
    <w:p w14:paraId="4E37E9B2">
      <w:pPr>
        <w:rPr>
          <w:rFonts w:hint="default" w:ascii="Times New Roman" w:hAnsi="Times New Roman" w:cs="Times New Roman"/>
        </w:rPr>
      </w:pPr>
    </w:p>
    <w:p w14:paraId="711EBDE0">
      <w:pPr>
        <w:rPr>
          <w:rFonts w:hint="default" w:ascii="Times New Roman" w:hAnsi="Times New Roman" w:cs="Times New Roman"/>
        </w:rPr>
      </w:pPr>
    </w:p>
    <w:p w14:paraId="16CB2265">
      <w:pPr>
        <w:rPr>
          <w:rFonts w:hint="default" w:ascii="Times New Roman" w:hAnsi="Times New Roman" w:cs="Times New Roman"/>
        </w:rPr>
      </w:pPr>
    </w:p>
    <w:p w14:paraId="75A84420">
      <w:pPr>
        <w:rPr>
          <w:rFonts w:hint="default" w:ascii="Times New Roman" w:hAnsi="Times New Roman" w:cs="Times New Roman"/>
        </w:rPr>
      </w:pPr>
    </w:p>
    <w:p w14:paraId="7C9EA66F">
      <w:pPr>
        <w:rPr>
          <w:rFonts w:hint="default" w:ascii="Times New Roman" w:hAnsi="Times New Roman" w:cs="Times New Roman"/>
        </w:rPr>
      </w:pPr>
    </w:p>
    <w:p w14:paraId="01732ADA">
      <w:pPr>
        <w:rPr>
          <w:rFonts w:hint="default" w:ascii="Times New Roman" w:hAnsi="Times New Roman" w:cs="Times New Roman"/>
        </w:rPr>
      </w:pPr>
    </w:p>
    <w:p w14:paraId="68961764">
      <w:pPr>
        <w:rPr>
          <w:rFonts w:hint="default" w:ascii="Times New Roman" w:hAnsi="Times New Roman" w:cs="Times New Roman"/>
        </w:rPr>
      </w:pPr>
    </w:p>
    <w:p w14:paraId="7C75495B">
      <w:pPr>
        <w:rPr>
          <w:rFonts w:hint="default" w:ascii="Times New Roman" w:hAnsi="Times New Roman" w:cs="Times New Roman"/>
        </w:rPr>
      </w:pPr>
    </w:p>
    <w:p w14:paraId="5B668A94">
      <w:pPr>
        <w:rPr>
          <w:rFonts w:hint="default" w:ascii="Times New Roman" w:hAnsi="Times New Roman" w:cs="Times New Roman"/>
        </w:rPr>
      </w:pPr>
    </w:p>
    <w:p w14:paraId="779AF839">
      <w:pPr>
        <w:rPr>
          <w:rFonts w:hint="default" w:ascii="Times New Roman" w:hAnsi="Times New Roman" w:cs="Times New Roman"/>
        </w:rPr>
      </w:pPr>
    </w:p>
    <w:p w14:paraId="6A1E9E54">
      <w:pPr>
        <w:rPr>
          <w:rFonts w:hint="default" w:ascii="Times New Roman" w:hAnsi="Times New Roman" w:cs="Times New Roman"/>
        </w:rPr>
      </w:pPr>
    </w:p>
    <w:p w14:paraId="28D653B6">
      <w:pPr>
        <w:rPr>
          <w:rFonts w:hint="default" w:ascii="Times New Roman" w:hAnsi="Times New Roman" w:cs="Times New Roman"/>
        </w:rPr>
      </w:pPr>
    </w:p>
    <w:p w14:paraId="29EEA25D">
      <w:pPr>
        <w:rPr>
          <w:rFonts w:hint="default" w:ascii="Times New Roman" w:hAnsi="Times New Roman" w:cs="Times New Roman"/>
        </w:rPr>
      </w:pPr>
    </w:p>
    <w:p w14:paraId="443E286E">
      <w:pPr>
        <w:rPr>
          <w:rFonts w:hint="default" w:ascii="Times New Roman" w:hAnsi="Times New Roman" w:cs="Times New Roman"/>
        </w:rPr>
      </w:pPr>
    </w:p>
    <w:p w14:paraId="63BDE060">
      <w:pPr>
        <w:rPr>
          <w:rFonts w:hint="default" w:ascii="Times New Roman" w:hAnsi="Times New Roman" w:cs="Times New Roman"/>
        </w:rPr>
      </w:pPr>
    </w:p>
    <w:p w14:paraId="0C56FB25">
      <w:pPr>
        <w:rPr>
          <w:rFonts w:hint="default" w:ascii="Times New Roman" w:hAnsi="Times New Roman" w:cs="Times New Roman"/>
        </w:rPr>
      </w:pPr>
    </w:p>
    <w:p w14:paraId="375C3CBD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Abbreviations: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PSM, propensity score matching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TKI,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tyrosine kinase inhibitor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TRT,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thoracic radiotherapy.</w:t>
      </w:r>
    </w:p>
    <w:p w14:paraId="036F99DB"/>
    <w:p w14:paraId="49D0C77C"/>
    <w:p w14:paraId="333067F9"/>
    <w:p w14:paraId="2DF868B0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7DA0F377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2A3D95B0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6694E5DA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67D09FE3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66249193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4A2C795D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597F362C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7FD7754F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4EA30780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78070E42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4308F4DF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2A3AE362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0479D37C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45EB5AAD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455C8400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2C1A3978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2764C9E2">
      <w:pPr>
        <w:ind w:firstLine="630" w:firstLineChars="300"/>
        <w:rPr>
          <w:rFonts w:hint="default" w:ascii="Times New Roman" w:hAnsi="Times New Roman" w:cs="Times New Roman"/>
          <w:vertAlign w:val="baseline"/>
          <w:lang w:val="en-US" w:eastAsia="zh-CN"/>
        </w:rPr>
      </w:pPr>
    </w:p>
    <w:p w14:paraId="2E388996">
      <w:pPr>
        <w:jc w:val="both"/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lZGJiZjgxYmNkYjExMzUxYzAxNjM1NjlmMzQxMzQifQ=="/>
  </w:docVars>
  <w:rsids>
    <w:rsidRoot w:val="00F8130D"/>
    <w:rsid w:val="00030C0A"/>
    <w:rsid w:val="00126119"/>
    <w:rsid w:val="00135F76"/>
    <w:rsid w:val="002108D7"/>
    <w:rsid w:val="003A37C3"/>
    <w:rsid w:val="00430541"/>
    <w:rsid w:val="004A1A0B"/>
    <w:rsid w:val="007138B2"/>
    <w:rsid w:val="00861E63"/>
    <w:rsid w:val="0099119B"/>
    <w:rsid w:val="00AE2137"/>
    <w:rsid w:val="00C77533"/>
    <w:rsid w:val="00F01FB3"/>
    <w:rsid w:val="00F8130D"/>
    <w:rsid w:val="0AA07270"/>
    <w:rsid w:val="0E9E31A9"/>
    <w:rsid w:val="10600639"/>
    <w:rsid w:val="11022A6D"/>
    <w:rsid w:val="1C225608"/>
    <w:rsid w:val="29A4089B"/>
    <w:rsid w:val="2BDA5706"/>
    <w:rsid w:val="374E0226"/>
    <w:rsid w:val="3C5F65AA"/>
    <w:rsid w:val="464E4DFB"/>
    <w:rsid w:val="4DAD135D"/>
    <w:rsid w:val="4F087144"/>
    <w:rsid w:val="60E951E6"/>
    <w:rsid w:val="7CAB1036"/>
    <w:rsid w:val="7CF9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Calibri" w:hAnsi="Calibri" w:eastAsia="Calibri" w:cs="Calibri"/>
      <w:kern w:val="0"/>
      <w:sz w:val="21"/>
      <w:szCs w:val="20"/>
      <w:lang w:val="en-US" w:eastAsia="en-US" w:bidi="ar-SA"/>
      <w14:ligatures w14:val="none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qFormat/>
    <w:uiPriority w:val="0"/>
    <w:rPr>
      <w:rFonts w:ascii="等线 Light" w:hAnsi="等线 Light" w:eastAsia="等线 Light" w:cs="等线 Light"/>
      <w:sz w:val="20"/>
    </w:rPr>
  </w:style>
  <w:style w:type="paragraph" w:styleId="3">
    <w:name w:val="annotation text"/>
    <w:basedOn w:val="1"/>
    <w:link w:val="14"/>
    <w:semiHidden/>
    <w:unhideWhenUsed/>
    <w:qFormat/>
    <w:uiPriority w:val="99"/>
    <w:rPr>
      <w:sz w:val="20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16"/>
      <w:szCs w:val="16"/>
    </w:rPr>
  </w:style>
  <w:style w:type="table" w:customStyle="1" w:styleId="11">
    <w:name w:val="样式1"/>
    <w:basedOn w:val="7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:lang w:val="en-US"/>
      <w14:ligatures w14:val="none"/>
    </w:rPr>
    <w:tblPr>
      <w:tblBorders>
        <w:top w:val="single" w:color="auto" w:sz="12" w:space="0"/>
        <w:bottom w:val="single" w:color="auto" w:sz="12" w:space="0"/>
      </w:tblBorders>
    </w:tblPr>
  </w:style>
  <w:style w:type="paragraph" w:styleId="12">
    <w:name w:val="List Paragraph"/>
    <w:basedOn w:val="1"/>
    <w:qFormat/>
    <w:uiPriority w:val="0"/>
    <w:pPr>
      <w:ind w:left="720"/>
      <w:contextualSpacing/>
    </w:pPr>
  </w:style>
  <w:style w:type="paragraph" w:customStyle="1" w:styleId="13">
    <w:name w:val="Revision"/>
    <w:hidden/>
    <w:semiHidden/>
    <w:qFormat/>
    <w:uiPriority w:val="99"/>
    <w:pPr>
      <w:spacing w:after="0" w:line="240" w:lineRule="auto"/>
    </w:pPr>
    <w:rPr>
      <w:rFonts w:ascii="Calibri" w:hAnsi="Calibri" w:eastAsia="Calibri" w:cs="Calibri"/>
      <w:kern w:val="0"/>
      <w:sz w:val="21"/>
      <w:szCs w:val="20"/>
      <w:lang w:val="en-US" w:eastAsia="en-US" w:bidi="ar-SA"/>
      <w14:ligatures w14:val="none"/>
    </w:rPr>
  </w:style>
  <w:style w:type="character" w:customStyle="1" w:styleId="14">
    <w:name w:val="Comment Text Char"/>
    <w:basedOn w:val="9"/>
    <w:link w:val="3"/>
    <w:semiHidden/>
    <w:qFormat/>
    <w:uiPriority w:val="99"/>
    <w:rPr>
      <w:rFonts w:ascii="Calibri" w:hAnsi="Calibri" w:eastAsia="Calibri" w:cs="Calibri"/>
      <w:kern w:val="0"/>
      <w:sz w:val="20"/>
      <w:szCs w:val="20"/>
      <w:lang w:val="en-US"/>
      <w14:ligatures w14:val="none"/>
    </w:rPr>
  </w:style>
  <w:style w:type="character" w:customStyle="1" w:styleId="15">
    <w:name w:val="Comment Subject Char"/>
    <w:basedOn w:val="14"/>
    <w:link w:val="6"/>
    <w:semiHidden/>
    <w:qFormat/>
    <w:uiPriority w:val="99"/>
    <w:rPr>
      <w:rFonts w:ascii="Calibri" w:hAnsi="Calibri" w:eastAsia="Calibri" w:cs="Calibri"/>
      <w:b/>
      <w:bCs/>
      <w:kern w:val="0"/>
      <w:sz w:val="20"/>
      <w:szCs w:val="20"/>
      <w:lang w:val="en-US"/>
      <w14:ligatures w14:val="none"/>
    </w:rPr>
  </w:style>
  <w:style w:type="character" w:customStyle="1" w:styleId="16">
    <w:name w:val="Header Char"/>
    <w:basedOn w:val="9"/>
    <w:link w:val="5"/>
    <w:qFormat/>
    <w:uiPriority w:val="99"/>
    <w:rPr>
      <w:rFonts w:ascii="Calibri" w:hAnsi="Calibri" w:eastAsia="Calibri" w:cs="Calibri"/>
      <w:kern w:val="0"/>
      <w:sz w:val="18"/>
      <w:szCs w:val="18"/>
      <w:lang w:val="en-US"/>
      <w14:ligatures w14:val="none"/>
    </w:rPr>
  </w:style>
  <w:style w:type="character" w:customStyle="1" w:styleId="17">
    <w:name w:val="Footer Char"/>
    <w:basedOn w:val="9"/>
    <w:link w:val="4"/>
    <w:qFormat/>
    <w:uiPriority w:val="99"/>
    <w:rPr>
      <w:rFonts w:ascii="Calibri" w:hAnsi="Calibri" w:eastAsia="Calibri" w:cs="Calibri"/>
      <w:kern w:val="0"/>
      <w:sz w:val="18"/>
      <w:szCs w:val="18"/>
      <w:lang w:val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311</Words>
  <Characters>1328</Characters>
  <Lines>30</Lines>
  <Paragraphs>8</Paragraphs>
  <TotalTime>5</TotalTime>
  <ScaleCrop>false</ScaleCrop>
  <LinksUpToDate>false</LinksUpToDate>
  <CharactersWithSpaces>1491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2024-02-17T05:10:00Z</dcterms:created>
  <dc:creator>zhao'jun'feng</dc:creator>
  <cp:lastModifiedBy>谷xh</cp:lastModifiedBy>
  <dcterms:modified xsi:type="dcterms:W3CDTF">2024-10-01T07:54:12Z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ae27fe0582212d9cf99f63a561475816b4cf75ecba4885d9b3465cc115eace5d</vt:lpwstr>
  </property>
  <property fmtid="{D5CDD505-2E9C-101B-9397-08002B2CF9AE}" pid="3" name="KSOProductBuildVer">
    <vt:lpwstr>2052-12.1.0.17827</vt:lpwstr>
  </property>
  <property fmtid="{D5CDD505-2E9C-101B-9397-08002B2CF9AE}" pid="4" name="ICV">
    <vt:lpwstr>3D1D9FC13DC24CC09D57174EDD98B30B_12</vt:lpwstr>
  </property>
</Properties>
</file>