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72A31" w14:textId="77777777" w:rsidR="00342ADA" w:rsidRPr="00D650F1" w:rsidRDefault="00342ADA" w:rsidP="00342ADA">
      <w:pPr>
        <w:pStyle w:val="Heading3"/>
        <w:ind w:left="720"/>
        <w:rPr>
          <w:b/>
          <w:color w:val="000000" w:themeColor="text1"/>
          <w:sz w:val="22"/>
          <w:shd w:val="clear" w:color="auto" w:fill="FFFFFF"/>
        </w:rPr>
      </w:pPr>
      <w:bookmarkStart w:id="0" w:name="_Hlk177053777"/>
      <w:r w:rsidRPr="00D650F1">
        <w:rPr>
          <w:b/>
          <w:color w:val="000000" w:themeColor="text1"/>
          <w:sz w:val="22"/>
        </w:rPr>
        <w:t xml:space="preserve">Table </w:t>
      </w:r>
      <w:r>
        <w:rPr>
          <w:b/>
          <w:color w:val="000000" w:themeColor="text1"/>
          <w:sz w:val="22"/>
        </w:rPr>
        <w:t>1</w:t>
      </w:r>
      <w:r w:rsidRPr="00D650F1">
        <w:rPr>
          <w:b/>
          <w:color w:val="000000" w:themeColor="text1"/>
          <w:sz w:val="22"/>
        </w:rPr>
        <w:t xml:space="preserve">: Molecular docking score of the top </w:t>
      </w:r>
      <w:r>
        <w:rPr>
          <w:b/>
          <w:color w:val="000000" w:themeColor="text1"/>
          <w:sz w:val="22"/>
        </w:rPr>
        <w:t>4</w:t>
      </w:r>
      <w:r w:rsidRPr="00D650F1">
        <w:rPr>
          <w:b/>
          <w:color w:val="000000" w:themeColor="text1"/>
          <w:sz w:val="22"/>
        </w:rPr>
        <w:t xml:space="preserve"> hits along with biological activity.</w:t>
      </w:r>
    </w:p>
    <w:tbl>
      <w:tblPr>
        <w:tblStyle w:val="PlainTable51"/>
        <w:tblW w:w="51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1416"/>
        <w:gridCol w:w="992"/>
        <w:gridCol w:w="1416"/>
        <w:gridCol w:w="1274"/>
        <w:gridCol w:w="2434"/>
      </w:tblGrid>
      <w:tr w:rsidR="00342ADA" w:rsidRPr="00D650F1" w14:paraId="27475061" w14:textId="77777777" w:rsidTr="00875A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1" w:type="pct"/>
            <w:noWrap/>
            <w:vAlign w:val="center"/>
            <w:hideMark/>
          </w:tcPr>
          <w:p w14:paraId="1F5A6CD3" w14:textId="77777777" w:rsidR="00342ADA" w:rsidRPr="00D650F1" w:rsidRDefault="00342ADA" w:rsidP="00875ADD">
            <w:pPr>
              <w:tabs>
                <w:tab w:val="left" w:pos="540"/>
              </w:tabs>
              <w:spacing w:line="240" w:lineRule="auto"/>
              <w:jc w:val="center"/>
              <w:rPr>
                <w:rFonts w:eastAsia="Times New Roman"/>
                <w:b/>
                <w:bCs/>
                <w:color w:val="000000" w:themeColor="text1"/>
                <w:sz w:val="18"/>
                <w:lang w:val="en-IN" w:eastAsia="en-IN"/>
              </w:rPr>
            </w:pPr>
            <w:r w:rsidRPr="00D650F1">
              <w:rPr>
                <w:rFonts w:eastAsia="Times New Roman"/>
                <w:b/>
                <w:bCs/>
                <w:color w:val="000000" w:themeColor="text1"/>
                <w:sz w:val="18"/>
                <w:lang w:eastAsia="en-IN"/>
              </w:rPr>
              <w:t>S.No.</w:t>
            </w:r>
          </w:p>
        </w:tc>
        <w:tc>
          <w:tcPr>
            <w:tcW w:w="607" w:type="pct"/>
            <w:noWrap/>
            <w:vAlign w:val="center"/>
            <w:hideMark/>
          </w:tcPr>
          <w:p w14:paraId="6B0D9804" w14:textId="77777777" w:rsidR="00342ADA" w:rsidRPr="00D650F1" w:rsidRDefault="00342ADA" w:rsidP="00875ADD">
            <w:pPr>
              <w:tabs>
                <w:tab w:val="left" w:pos="540"/>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bCs/>
                <w:color w:val="000000" w:themeColor="text1"/>
                <w:sz w:val="18"/>
                <w:lang w:val="en-IN" w:eastAsia="en-IN"/>
              </w:rPr>
            </w:pPr>
            <w:r w:rsidRPr="00D650F1">
              <w:rPr>
                <w:rFonts w:eastAsia="Times New Roman"/>
                <w:b/>
                <w:bCs/>
                <w:color w:val="000000" w:themeColor="text1"/>
                <w:sz w:val="18"/>
                <w:lang w:val="en-IN" w:eastAsia="en-IN"/>
              </w:rPr>
              <w:t>Drugbank ID</w:t>
            </w:r>
          </w:p>
        </w:tc>
        <w:tc>
          <w:tcPr>
            <w:tcW w:w="758" w:type="pct"/>
            <w:noWrap/>
            <w:vAlign w:val="center"/>
            <w:hideMark/>
          </w:tcPr>
          <w:p w14:paraId="038DC898" w14:textId="77777777" w:rsidR="00342ADA" w:rsidRPr="00D650F1" w:rsidRDefault="00342ADA" w:rsidP="00875ADD">
            <w:pPr>
              <w:tabs>
                <w:tab w:val="left" w:pos="540"/>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bCs/>
                <w:color w:val="000000" w:themeColor="text1"/>
                <w:sz w:val="18"/>
                <w:lang w:val="en-IN" w:eastAsia="en-IN"/>
              </w:rPr>
            </w:pPr>
            <w:r w:rsidRPr="00D650F1">
              <w:rPr>
                <w:rFonts w:eastAsia="Times New Roman"/>
                <w:b/>
                <w:bCs/>
                <w:color w:val="000000" w:themeColor="text1"/>
                <w:sz w:val="18"/>
                <w:lang w:val="en-IN" w:eastAsia="en-IN"/>
              </w:rPr>
              <w:t>Generic Name</w:t>
            </w:r>
          </w:p>
        </w:tc>
        <w:tc>
          <w:tcPr>
            <w:tcW w:w="531" w:type="pct"/>
            <w:noWrap/>
            <w:vAlign w:val="center"/>
            <w:hideMark/>
          </w:tcPr>
          <w:p w14:paraId="71551B80" w14:textId="77777777" w:rsidR="00342ADA" w:rsidRPr="00D650F1" w:rsidRDefault="00342ADA" w:rsidP="00875ADD">
            <w:pPr>
              <w:tabs>
                <w:tab w:val="left" w:pos="540"/>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bCs/>
                <w:color w:val="000000" w:themeColor="text1"/>
                <w:sz w:val="18"/>
                <w:lang w:val="en-IN" w:eastAsia="en-IN"/>
              </w:rPr>
            </w:pPr>
            <w:r w:rsidRPr="00D650F1">
              <w:rPr>
                <w:rFonts w:eastAsia="Times New Roman"/>
                <w:b/>
                <w:bCs/>
                <w:color w:val="000000" w:themeColor="text1"/>
                <w:sz w:val="18"/>
                <w:lang w:eastAsia="en-IN"/>
              </w:rPr>
              <w:t>Libdock Score</w:t>
            </w:r>
          </w:p>
        </w:tc>
        <w:tc>
          <w:tcPr>
            <w:tcW w:w="758" w:type="pct"/>
            <w:noWrap/>
            <w:vAlign w:val="center"/>
            <w:hideMark/>
          </w:tcPr>
          <w:p w14:paraId="690CE4C0" w14:textId="77777777" w:rsidR="00342ADA" w:rsidRPr="00D650F1" w:rsidRDefault="00342ADA" w:rsidP="00875ADD">
            <w:pPr>
              <w:tabs>
                <w:tab w:val="left" w:pos="540"/>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bCs/>
                <w:color w:val="000000" w:themeColor="text1"/>
                <w:sz w:val="18"/>
                <w:lang w:val="en-IN" w:eastAsia="en-IN"/>
              </w:rPr>
            </w:pPr>
            <w:r w:rsidRPr="00D650F1">
              <w:rPr>
                <w:rFonts w:eastAsia="Times New Roman"/>
                <w:b/>
                <w:bCs/>
                <w:color w:val="000000" w:themeColor="text1"/>
                <w:sz w:val="18"/>
                <w:lang w:eastAsia="en-IN"/>
              </w:rPr>
              <w:t>-CDOCKER Energy Before flexible docking</w:t>
            </w:r>
          </w:p>
        </w:tc>
        <w:tc>
          <w:tcPr>
            <w:tcW w:w="682" w:type="pct"/>
            <w:vAlign w:val="center"/>
          </w:tcPr>
          <w:p w14:paraId="2EB07F47" w14:textId="77777777" w:rsidR="00342ADA" w:rsidRPr="00D650F1" w:rsidRDefault="00342ADA" w:rsidP="00875ADD">
            <w:pPr>
              <w:tabs>
                <w:tab w:val="left" w:pos="540"/>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bCs/>
                <w:color w:val="000000" w:themeColor="text1"/>
                <w:sz w:val="18"/>
                <w:lang w:val="en-IN" w:eastAsia="en-IN"/>
              </w:rPr>
            </w:pPr>
            <w:r w:rsidRPr="00D650F1">
              <w:rPr>
                <w:rFonts w:eastAsia="Times New Roman"/>
                <w:b/>
                <w:bCs/>
                <w:color w:val="000000" w:themeColor="text1"/>
                <w:sz w:val="18"/>
                <w:lang w:eastAsia="en-IN"/>
              </w:rPr>
              <w:t>-CDOCKER Energy After flexible docking</w:t>
            </w:r>
          </w:p>
        </w:tc>
        <w:tc>
          <w:tcPr>
            <w:tcW w:w="1303" w:type="pct"/>
            <w:vAlign w:val="center"/>
          </w:tcPr>
          <w:p w14:paraId="440FA55A" w14:textId="77777777" w:rsidR="00342ADA" w:rsidRPr="00D650F1" w:rsidRDefault="00342ADA" w:rsidP="00875ADD">
            <w:pPr>
              <w:tabs>
                <w:tab w:val="left" w:pos="540"/>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bCs/>
                <w:color w:val="000000" w:themeColor="text1"/>
                <w:sz w:val="18"/>
                <w:lang w:eastAsia="en-IN"/>
              </w:rPr>
            </w:pPr>
            <w:r w:rsidRPr="00D650F1">
              <w:rPr>
                <w:rFonts w:eastAsia="Times New Roman"/>
                <w:b/>
                <w:bCs/>
                <w:color w:val="000000" w:themeColor="text1"/>
                <w:sz w:val="18"/>
                <w:lang w:val="en-IN" w:eastAsia="en-IN"/>
              </w:rPr>
              <w:t>Biological Activity</w:t>
            </w:r>
          </w:p>
        </w:tc>
      </w:tr>
      <w:tr w:rsidR="00342ADA" w:rsidRPr="00D650F1" w14:paraId="2D59F287" w14:textId="77777777" w:rsidTr="00875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 w:type="pct"/>
            <w:noWrap/>
            <w:vAlign w:val="center"/>
            <w:hideMark/>
          </w:tcPr>
          <w:p w14:paraId="75E3552E" w14:textId="77777777" w:rsidR="00342ADA" w:rsidRPr="00D650F1" w:rsidRDefault="00342ADA" w:rsidP="00875ADD">
            <w:pPr>
              <w:tabs>
                <w:tab w:val="left" w:pos="540"/>
              </w:tabs>
              <w:spacing w:line="240" w:lineRule="auto"/>
              <w:jc w:val="center"/>
              <w:rPr>
                <w:rFonts w:eastAsia="Times New Roman"/>
                <w:color w:val="000000" w:themeColor="text1"/>
                <w:sz w:val="18"/>
                <w:lang w:val="en-IN" w:eastAsia="en-IN"/>
              </w:rPr>
            </w:pPr>
            <w:r>
              <w:rPr>
                <w:rFonts w:eastAsia="Times New Roman"/>
                <w:color w:val="000000" w:themeColor="text1"/>
                <w:sz w:val="18"/>
                <w:lang w:val="en-IN" w:eastAsia="en-IN"/>
              </w:rPr>
              <w:t>1</w:t>
            </w:r>
          </w:p>
        </w:tc>
        <w:tc>
          <w:tcPr>
            <w:tcW w:w="607" w:type="pct"/>
            <w:noWrap/>
            <w:vAlign w:val="center"/>
            <w:hideMark/>
          </w:tcPr>
          <w:p w14:paraId="2D47AB8A" w14:textId="77777777" w:rsidR="00342ADA" w:rsidRPr="00D650F1" w:rsidRDefault="00342ADA" w:rsidP="00875ADD">
            <w:pPr>
              <w:tabs>
                <w:tab w:val="left" w:pos="540"/>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DB08934</w:t>
            </w:r>
          </w:p>
        </w:tc>
        <w:tc>
          <w:tcPr>
            <w:tcW w:w="758" w:type="pct"/>
            <w:noWrap/>
            <w:vAlign w:val="center"/>
            <w:hideMark/>
          </w:tcPr>
          <w:p w14:paraId="318CA147" w14:textId="77777777" w:rsidR="00342ADA" w:rsidRPr="00D650F1" w:rsidRDefault="00342ADA" w:rsidP="00875ADD">
            <w:pPr>
              <w:tabs>
                <w:tab w:val="left" w:pos="540"/>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Sofosbuvir</w:t>
            </w:r>
          </w:p>
        </w:tc>
        <w:tc>
          <w:tcPr>
            <w:tcW w:w="531" w:type="pct"/>
            <w:vAlign w:val="center"/>
            <w:hideMark/>
          </w:tcPr>
          <w:p w14:paraId="7B13F9F4" w14:textId="77777777" w:rsidR="00342ADA" w:rsidRPr="00D650F1" w:rsidRDefault="00342ADA" w:rsidP="00875ADD">
            <w:pPr>
              <w:tabs>
                <w:tab w:val="left" w:pos="540"/>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126.3765</w:t>
            </w:r>
          </w:p>
        </w:tc>
        <w:tc>
          <w:tcPr>
            <w:tcW w:w="758" w:type="pct"/>
            <w:noWrap/>
            <w:vAlign w:val="center"/>
            <w:hideMark/>
          </w:tcPr>
          <w:p w14:paraId="48690BB0" w14:textId="77777777" w:rsidR="00342ADA" w:rsidRPr="00D650F1" w:rsidRDefault="00342ADA" w:rsidP="00875ADD">
            <w:pPr>
              <w:tabs>
                <w:tab w:val="left" w:pos="540"/>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56.7153</w:t>
            </w:r>
          </w:p>
        </w:tc>
        <w:tc>
          <w:tcPr>
            <w:tcW w:w="682" w:type="pct"/>
            <w:vAlign w:val="center"/>
          </w:tcPr>
          <w:p w14:paraId="00F23722" w14:textId="77777777" w:rsidR="00342ADA" w:rsidRPr="00D650F1" w:rsidRDefault="00342ADA" w:rsidP="00875ADD">
            <w:pPr>
              <w:tabs>
                <w:tab w:val="left" w:pos="540"/>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lang w:eastAsia="en-IN"/>
              </w:rPr>
            </w:pPr>
            <w:r w:rsidRPr="00D650F1">
              <w:rPr>
                <w:rFonts w:eastAsia="Times New Roman"/>
                <w:color w:val="000000" w:themeColor="text1"/>
                <w:sz w:val="18"/>
                <w:lang w:val="en-IN" w:eastAsia="en-IN"/>
              </w:rPr>
              <w:t>48.1377</w:t>
            </w:r>
          </w:p>
        </w:tc>
        <w:tc>
          <w:tcPr>
            <w:tcW w:w="1303" w:type="pct"/>
            <w:vAlign w:val="center"/>
          </w:tcPr>
          <w:p w14:paraId="6739BECF" w14:textId="77777777" w:rsidR="00342ADA" w:rsidRPr="00D650F1" w:rsidRDefault="00342ADA" w:rsidP="00875ADD">
            <w:pPr>
              <w:tabs>
                <w:tab w:val="left" w:pos="540"/>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eastAsia="en-IN"/>
              </w:rPr>
              <w:t>RNA-dependent RNA-polymerase</w:t>
            </w:r>
            <w:r w:rsidRPr="00D650F1">
              <w:rPr>
                <w:color w:val="000000" w:themeColor="text1"/>
                <w:sz w:val="18"/>
              </w:rPr>
              <w:fldChar w:fldCharType="begin"/>
            </w:r>
            <w:r>
              <w:rPr>
                <w:rFonts w:eastAsia="Times New Roman"/>
                <w:color w:val="000000" w:themeColor="text1"/>
                <w:sz w:val="18"/>
                <w:lang w:eastAsia="en-IN"/>
              </w:rPr>
              <w:instrText xml:space="preserve"> ADDIN ZOTERO_ITEM CSL_CITATION {"citationID":"aackqk3qj7","properties":{"formattedCitation":"[32]","plainCitation":"[32]","noteIndex":0},"citationItems":[{"id":1409,"uris":["http://zotero.org/users/4928180/items/DUY6HGYJ"],"itemData":{"id":1409,"type":"article-journal","abstract":"Introduction: Sofosbuvir/velpatasvir is a combination of direct-acting antivirals with pangenotypic activity for treatment of chronic hepatitis C virus infection. It was approved in 2020 for use in children aged 6-17 years and in June 2021 by the United States Food and Drug Administration for the age group 3-5 years.Areas covered: A literature search of PUBMED and EMBASE was conducted on April 30th and updated on June 10th. Other citations were identified in references of available literature and from ClinicalTrials.gov. The aim of the present research was to outline and discuss the pharmacokinetics, clinical efficacy, tolerability and safety of sofosbuvir/velpatasvir, exploring its actual and potential use in children and adolescents with chronic hepatitis C virus infection.Expert opinion: Five combinations of direct-acting antivirals, of whom three with pangenotypic activity, are now approved for children. No major differences in efficacy and safety profile have been described. Limited access to treatment still is a major issue, especially in low and middle-income countries.","container-title":"Expert Review of Gastroenterology &amp; Hepatology","DOI":"10.1080/17474124.2021.1963231","ISSN":"1747-4132","issue":"10","journalAbbreviation":"Expert Rev Gastroenterol Hepatol","language":"eng","note":"PMID: 34338120","page":"1097-1105","source":"PubMed","title":"Sofosbuvir/velpatasvir for the treatment of hepatitis C in pediatric patients","volume":"15","author":[{"family":"Rubino","given":"Chiara"},{"family":"Trapani","given":"Sandra"},{"family":"Indolfi","given":"Giuseppe"}],"issued":{"date-parts":[["2021",10]]}}}],"schema":"https://github.com/citation-style-language/schema/raw/master/csl-citation.json"} </w:instrText>
            </w:r>
            <w:r w:rsidRPr="00D650F1">
              <w:rPr>
                <w:color w:val="000000" w:themeColor="text1"/>
                <w:sz w:val="18"/>
              </w:rPr>
              <w:fldChar w:fldCharType="separate"/>
            </w:r>
            <w:r w:rsidRPr="008C0D8C">
              <w:rPr>
                <w:sz w:val="18"/>
              </w:rPr>
              <w:t>[32]</w:t>
            </w:r>
            <w:r w:rsidRPr="00D650F1">
              <w:rPr>
                <w:color w:val="000000" w:themeColor="text1"/>
                <w:sz w:val="18"/>
              </w:rPr>
              <w:fldChar w:fldCharType="end"/>
            </w:r>
          </w:p>
        </w:tc>
      </w:tr>
      <w:tr w:rsidR="00342ADA" w:rsidRPr="00D650F1" w14:paraId="3BB7D9F1" w14:textId="77777777" w:rsidTr="00875ADD">
        <w:tc>
          <w:tcPr>
            <w:cnfStyle w:val="001000000000" w:firstRow="0" w:lastRow="0" w:firstColumn="1" w:lastColumn="0" w:oddVBand="0" w:evenVBand="0" w:oddHBand="0" w:evenHBand="0" w:firstRowFirstColumn="0" w:firstRowLastColumn="0" w:lastRowFirstColumn="0" w:lastRowLastColumn="0"/>
            <w:tcW w:w="361" w:type="pct"/>
            <w:noWrap/>
            <w:vAlign w:val="center"/>
            <w:hideMark/>
          </w:tcPr>
          <w:p w14:paraId="6EB9F67D" w14:textId="77777777" w:rsidR="00342ADA" w:rsidRPr="00D650F1" w:rsidRDefault="00342ADA" w:rsidP="00875ADD">
            <w:pPr>
              <w:tabs>
                <w:tab w:val="left" w:pos="540"/>
              </w:tabs>
              <w:spacing w:line="240" w:lineRule="auto"/>
              <w:jc w:val="center"/>
              <w:rPr>
                <w:rFonts w:eastAsia="Times New Roman"/>
                <w:color w:val="000000" w:themeColor="text1"/>
                <w:sz w:val="18"/>
                <w:lang w:val="en-IN" w:eastAsia="en-IN"/>
              </w:rPr>
            </w:pPr>
            <w:r>
              <w:rPr>
                <w:rFonts w:eastAsia="Times New Roman"/>
                <w:color w:val="000000" w:themeColor="text1"/>
                <w:sz w:val="18"/>
                <w:lang w:val="en-IN" w:eastAsia="en-IN"/>
              </w:rPr>
              <w:t>2</w:t>
            </w:r>
          </w:p>
        </w:tc>
        <w:tc>
          <w:tcPr>
            <w:tcW w:w="607" w:type="pct"/>
            <w:noWrap/>
            <w:vAlign w:val="center"/>
            <w:hideMark/>
          </w:tcPr>
          <w:p w14:paraId="6F320441" w14:textId="77777777" w:rsidR="00342ADA" w:rsidRPr="00D650F1" w:rsidRDefault="00342ADA" w:rsidP="00875ADD">
            <w:pPr>
              <w:tabs>
                <w:tab w:val="left" w:pos="540"/>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DB00775</w:t>
            </w:r>
          </w:p>
        </w:tc>
        <w:tc>
          <w:tcPr>
            <w:tcW w:w="758" w:type="pct"/>
            <w:noWrap/>
            <w:vAlign w:val="center"/>
            <w:hideMark/>
          </w:tcPr>
          <w:p w14:paraId="6CDA32B6" w14:textId="77777777" w:rsidR="00342ADA" w:rsidRPr="00D650F1" w:rsidRDefault="00342ADA" w:rsidP="00875ADD">
            <w:pPr>
              <w:tabs>
                <w:tab w:val="left" w:pos="540"/>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Tirofiban</w:t>
            </w:r>
          </w:p>
        </w:tc>
        <w:tc>
          <w:tcPr>
            <w:tcW w:w="531" w:type="pct"/>
            <w:vAlign w:val="center"/>
            <w:hideMark/>
          </w:tcPr>
          <w:p w14:paraId="09D86F20" w14:textId="77777777" w:rsidR="00342ADA" w:rsidRPr="00D650F1" w:rsidRDefault="00342ADA" w:rsidP="00875ADD">
            <w:pPr>
              <w:tabs>
                <w:tab w:val="left" w:pos="540"/>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125.0846</w:t>
            </w:r>
          </w:p>
        </w:tc>
        <w:tc>
          <w:tcPr>
            <w:tcW w:w="758" w:type="pct"/>
            <w:noWrap/>
            <w:vAlign w:val="center"/>
            <w:hideMark/>
          </w:tcPr>
          <w:p w14:paraId="4F2BCD9B" w14:textId="77777777" w:rsidR="00342ADA" w:rsidRPr="00D650F1" w:rsidRDefault="00342ADA" w:rsidP="00875ADD">
            <w:pPr>
              <w:tabs>
                <w:tab w:val="left" w:pos="540"/>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40.0981</w:t>
            </w:r>
          </w:p>
        </w:tc>
        <w:tc>
          <w:tcPr>
            <w:tcW w:w="682" w:type="pct"/>
            <w:vAlign w:val="center"/>
          </w:tcPr>
          <w:p w14:paraId="5E7B88E0" w14:textId="77777777" w:rsidR="00342ADA" w:rsidRPr="00D650F1" w:rsidRDefault="00342ADA" w:rsidP="00875ADD">
            <w:pPr>
              <w:tabs>
                <w:tab w:val="left" w:pos="540"/>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lang w:eastAsia="en-IN"/>
              </w:rPr>
            </w:pPr>
            <w:r w:rsidRPr="00D650F1">
              <w:rPr>
                <w:rFonts w:eastAsia="Times New Roman"/>
                <w:color w:val="000000" w:themeColor="text1"/>
                <w:sz w:val="18"/>
                <w:lang w:val="en-IN" w:eastAsia="en-IN"/>
              </w:rPr>
              <w:t>42.8513</w:t>
            </w:r>
          </w:p>
        </w:tc>
        <w:tc>
          <w:tcPr>
            <w:tcW w:w="1303" w:type="pct"/>
            <w:vAlign w:val="center"/>
          </w:tcPr>
          <w:p w14:paraId="443EE3D9" w14:textId="77777777" w:rsidR="00342ADA" w:rsidRPr="00D650F1" w:rsidRDefault="00342ADA" w:rsidP="00875ADD">
            <w:pPr>
              <w:tabs>
                <w:tab w:val="left" w:pos="540"/>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eastAsia="en-IN"/>
              </w:rPr>
              <w:t>Integrin alpha-IIb antagonist Humans Integrin beta-3, fibrinogen binding to the GP IIb/IIIa receptor</w:t>
            </w:r>
            <w:r w:rsidRPr="00D650F1">
              <w:rPr>
                <w:color w:val="000000" w:themeColor="text1"/>
                <w:sz w:val="18"/>
              </w:rPr>
              <w:fldChar w:fldCharType="begin"/>
            </w:r>
            <w:r>
              <w:rPr>
                <w:rFonts w:eastAsia="Times New Roman"/>
                <w:color w:val="000000" w:themeColor="text1"/>
                <w:sz w:val="18"/>
                <w:lang w:eastAsia="en-IN"/>
              </w:rPr>
              <w:instrText xml:space="preserve"> ADDIN ZOTERO_ITEM CSL_CITATION {"citationID":"a18qn58gibh","properties":{"formattedCitation":"[33]","plainCitation":"[33]","noteIndex":0},"citationItems":[{"id":1411,"uris":["http://zotero.org/users/4928180/items/6U7NDGX2"],"itemData":{"id":1411,"type":"article-journal","abstract":"BACKGROUND: The effects of the glycoprotein IIb/IIIa receptor inhibitor tirofiban in patients with acute ischemic stroke but who have no evidence of complete occlusion of large or medium-sized vessels have not been extensively studied.\nMETHODS: In a multicenter trial in China, we enrolled patients with ischemic stroke without occlusion of large or medium-sized vessels and with a National Institutes of Health Stroke Scale score of 5 or more and at least one moderately to severely weak limb. Eligible patients had any of four clinical presentations: ineligible for thrombolysis or thrombectomy and within 24 hours after the patient was last known to be well; progression of stroke symptoms 24 to 96 hours after onset; early neurologic deterioration after thrombolysis; or thrombolysis with no improvement at 4 to 24 hours. Patients were assigned to receive intravenous tirofiban (plus oral placebo) or oral aspirin (100 mg per day, plus intravenous placebo) for 2 days; all patients then received oral aspirin until day 90. The primary efficacy end point was an excellent outcome, defined as a score of 0 or 1 on the modified Rankin scale (range, 0 [no symptoms] to 6 [death]) at 90 days. Secondary end points included functional independence at 90 days and a quality-of-life score. The primary safety end points were death and symptomatic intracranial hemorrhage.\nRESULTS: A total of 606 patients were assigned to the tirofiban group and 571 to the aspirin group. Most patients had small infarctions that were presumed to be atherosclerotic. The percentage of patients with a score of 0 or 1 on the modified Rankin scale at 90 days was 29.1% with tirofiban and 22.2% with aspirin (adjusted risk ratio, 1.26; 95% confidence interval, 1.04 to 1.53, P = 0.02). Results for secondary end points were generally not consistent with the results of the primary analysis. Mortality was similar in the two groups. The incidence of symptomatic intracranial hemorrhage was 1.0% in the tirofiban group and 0% in the aspirin group.\nCONCLUSIONS: In this trial involving heterogeneous groups of patients with stroke of recent onset or progression of stroke symptoms and nonoccluded large and medium-sized cerebral vessels, intravenous tirofiban was associated with a greater likelihood of an excellent outcome than low-dose aspirin. Incidences of intracranial hemorrhages were low but slightly higher with tirofiban. (Funded by the National Natural Science Foundation of China; RESCUE BT2 Chinese Clinical Trial Registry number, ChiCTR2000029502.).","container-title":"The New England Journal of Medicine","DOI":"10.1056/NEJMoa2214299","ISSN":"1533-4406","issue":"22","journalAbbreviation":"N Engl J Med","language":"eng","note":"PMID: 37256974","page":"2025-2036","source":"PubMed","title":"Tirofiban for Stroke without Large or Medium-Sized Vessel Occlusion","volume":"388","author":[{"family":"Zi","given":"Wenjie"},{"family":"Song","given":"Jiaxing"},{"family":"Kong","given":"Weilin"},{"family":"Huang","given":"Jiacheng"},{"family":"Guo","given":"Changwei"},{"family":"He","given":"Wencheng"},{"family":"Yu","given":"Yinquan"},{"family":"Zhang","given":"Bo"},{"family":"Geng","given":"Wanjie"},{"family":"Tan","given":"Xiaolin"},{"family":"Tian","given":"Yaoyu"},{"family":"Liu","given":"Zongtao"},{"family":"Cao","given":"Minghua"},{"family":"Cheng","given":"Daoyou"},{"family":"Li","given":"Bo"},{"family":"Huang","given":"Wenguo"},{"family":"Liu","given":"Junsheng"},{"family":"Wang","given":"Pengfei"},{"family":"Yu","given":"Zhou"},{"family":"Liang","given":"Hao"},{"family":"Yang","given":"Shuang"},{"family":"Tang","given":"Mingshan"},{"family":"Liu","given":"Wenhua"},{"family":"Huang","given":"Xianjun"},{"family":"Liu","given":"Shugai"},{"family":"Tang","given":"Yufeng"},{"family":"Wu","given":"Youlin"},{"family":"Yao","given":"Li"},{"family":"Shi","given":"Zhu"},{"family":"He","given":"Pengcheng"},{"family":"Zhao","given":"Haojin"},{"family":"Chen","given":"Zhuo"},{"family":"Luo","given":"Jun"},{"family":"Wan","given":"Yue"},{"family":"Shi","given":"Qiang"},{"family":"Wang","given":"Maorong"},{"family":"Yang","given":"De"},{"family":"Chen","given":"Xianglin"},{"family":"Huang","given":"Fang"},{"family":"Mu","given":"Jinlin"},{"family":"Li","given":"Hao"},{"family":"Li","given":"Zhimin"},{"family":"Zheng","given":"Jingbang"},{"family":"Xie","given":"Shunli"},{"family":"Cai","given":"Tieying"},{"family":"Peng","given":"Yuqi"},{"family":"Xie","given":"Weihua"},{"family":"Qiu","given":"Zhongming"},{"family":"Liu","given":"Chang"},{"family":"Yue","given":"Chengsong"},{"family":"Li","given":"Linyu"},{"family":"Tian","given":"Yan"},{"family":"Yang","given":"Dahong"},{"family":"Miao","given":"Jian"},{"family":"Yang","given":"Jie"},{"family":"Hu","given":"Jinrong"},{"family":"Nogueira","given":"Raul G."},{"family":"Wang","given":"Duolao"},{"family":"Saver","given":"Jeffrey L."},{"family":"Li","given":"Fengli"},{"family":"Yang","given":"Qingwu"},{"literal":"RESCUE BT2 Investigators"}],"issued":{"date-parts":[["2023",6,1]]}}}],"schema":"https://github.com/citation-style-language/schema/raw/master/csl-citation.json"} </w:instrText>
            </w:r>
            <w:r w:rsidRPr="00D650F1">
              <w:rPr>
                <w:color w:val="000000" w:themeColor="text1"/>
                <w:sz w:val="18"/>
              </w:rPr>
              <w:fldChar w:fldCharType="separate"/>
            </w:r>
            <w:r w:rsidRPr="008C0D8C">
              <w:rPr>
                <w:sz w:val="18"/>
              </w:rPr>
              <w:t>[33]</w:t>
            </w:r>
            <w:r w:rsidRPr="00D650F1">
              <w:rPr>
                <w:color w:val="000000" w:themeColor="text1"/>
                <w:sz w:val="18"/>
              </w:rPr>
              <w:fldChar w:fldCharType="end"/>
            </w:r>
          </w:p>
        </w:tc>
      </w:tr>
      <w:tr w:rsidR="00342ADA" w:rsidRPr="00D650F1" w14:paraId="10B2D9F7" w14:textId="77777777" w:rsidTr="00875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 w:type="pct"/>
            <w:noWrap/>
            <w:vAlign w:val="center"/>
            <w:hideMark/>
          </w:tcPr>
          <w:p w14:paraId="1730D1CA" w14:textId="77777777" w:rsidR="00342ADA" w:rsidRPr="00D650F1" w:rsidRDefault="00342ADA" w:rsidP="00875ADD">
            <w:pPr>
              <w:tabs>
                <w:tab w:val="left" w:pos="540"/>
              </w:tabs>
              <w:spacing w:line="240" w:lineRule="auto"/>
              <w:jc w:val="center"/>
              <w:rPr>
                <w:rFonts w:eastAsia="Times New Roman"/>
                <w:color w:val="000000" w:themeColor="text1"/>
                <w:sz w:val="18"/>
                <w:lang w:val="en-IN" w:eastAsia="en-IN"/>
              </w:rPr>
            </w:pPr>
            <w:r>
              <w:rPr>
                <w:rFonts w:eastAsia="Times New Roman"/>
                <w:color w:val="000000" w:themeColor="text1"/>
                <w:sz w:val="18"/>
                <w:lang w:val="en-IN" w:eastAsia="en-IN"/>
              </w:rPr>
              <w:t>3</w:t>
            </w:r>
          </w:p>
        </w:tc>
        <w:tc>
          <w:tcPr>
            <w:tcW w:w="607" w:type="pct"/>
            <w:noWrap/>
            <w:vAlign w:val="center"/>
            <w:hideMark/>
          </w:tcPr>
          <w:p w14:paraId="46ECE0B0" w14:textId="77777777" w:rsidR="00342ADA" w:rsidRPr="00D650F1" w:rsidRDefault="00342ADA" w:rsidP="00875ADD">
            <w:pPr>
              <w:tabs>
                <w:tab w:val="left" w:pos="540"/>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DB00881</w:t>
            </w:r>
          </w:p>
        </w:tc>
        <w:tc>
          <w:tcPr>
            <w:tcW w:w="758" w:type="pct"/>
            <w:noWrap/>
            <w:vAlign w:val="center"/>
            <w:hideMark/>
          </w:tcPr>
          <w:p w14:paraId="0874A385" w14:textId="77777777" w:rsidR="00342ADA" w:rsidRPr="00D650F1" w:rsidRDefault="00342ADA" w:rsidP="00875ADD">
            <w:pPr>
              <w:tabs>
                <w:tab w:val="left" w:pos="540"/>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Quinapril</w:t>
            </w:r>
          </w:p>
        </w:tc>
        <w:tc>
          <w:tcPr>
            <w:tcW w:w="531" w:type="pct"/>
            <w:vAlign w:val="center"/>
            <w:hideMark/>
          </w:tcPr>
          <w:p w14:paraId="7DB1E826" w14:textId="77777777" w:rsidR="00342ADA" w:rsidRPr="00D650F1" w:rsidRDefault="00342ADA" w:rsidP="00875ADD">
            <w:pPr>
              <w:tabs>
                <w:tab w:val="left" w:pos="540"/>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124.9284</w:t>
            </w:r>
          </w:p>
        </w:tc>
        <w:tc>
          <w:tcPr>
            <w:tcW w:w="758" w:type="pct"/>
            <w:noWrap/>
            <w:vAlign w:val="center"/>
            <w:hideMark/>
          </w:tcPr>
          <w:p w14:paraId="2D23FAE8" w14:textId="77777777" w:rsidR="00342ADA" w:rsidRPr="00D650F1" w:rsidRDefault="00342ADA" w:rsidP="00875ADD">
            <w:pPr>
              <w:tabs>
                <w:tab w:val="left" w:pos="540"/>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43.7751</w:t>
            </w:r>
          </w:p>
        </w:tc>
        <w:tc>
          <w:tcPr>
            <w:tcW w:w="682" w:type="pct"/>
            <w:vAlign w:val="center"/>
          </w:tcPr>
          <w:p w14:paraId="585D6EEC" w14:textId="77777777" w:rsidR="00342ADA" w:rsidRPr="00D650F1" w:rsidRDefault="00342ADA" w:rsidP="00875ADD">
            <w:pPr>
              <w:tabs>
                <w:tab w:val="left" w:pos="540"/>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lang w:eastAsia="en-IN"/>
              </w:rPr>
            </w:pPr>
            <w:r w:rsidRPr="00D650F1">
              <w:rPr>
                <w:rFonts w:eastAsia="Times New Roman"/>
                <w:color w:val="000000" w:themeColor="text1"/>
                <w:sz w:val="18"/>
                <w:lang w:val="en-IN" w:eastAsia="en-IN"/>
              </w:rPr>
              <w:t>40.9351</w:t>
            </w:r>
          </w:p>
        </w:tc>
        <w:tc>
          <w:tcPr>
            <w:tcW w:w="1303" w:type="pct"/>
            <w:vAlign w:val="center"/>
          </w:tcPr>
          <w:p w14:paraId="13752901" w14:textId="77777777" w:rsidR="00342ADA" w:rsidRPr="00D650F1" w:rsidRDefault="00342ADA" w:rsidP="00875ADD">
            <w:pPr>
              <w:tabs>
                <w:tab w:val="left" w:pos="540"/>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eastAsia="en-IN"/>
              </w:rPr>
              <w:t>Angiotensin-converting enzyme</w:t>
            </w:r>
            <w:r w:rsidRPr="00D650F1">
              <w:rPr>
                <w:color w:val="000000" w:themeColor="text1"/>
                <w:sz w:val="18"/>
              </w:rPr>
              <w:fldChar w:fldCharType="begin"/>
            </w:r>
            <w:r>
              <w:rPr>
                <w:rFonts w:eastAsia="Times New Roman"/>
                <w:color w:val="000000" w:themeColor="text1"/>
                <w:sz w:val="18"/>
                <w:lang w:eastAsia="en-IN"/>
              </w:rPr>
              <w:instrText xml:space="preserve"> ADDIN ZOTERO_ITEM CSL_CITATION {"citationID":"a26h4tj6ov6","properties":{"formattedCitation":"[34]","plainCitation":"[34]","noteIndex":0},"citationItems":[{"id":1414,"uris":["http://zotero.org/users/4928180/items/JXKLZWCP"],"itemData":{"id":1414,"type":"article-journal","abstract":"Quinapril is a new non-sulfhydryl angiotensin-converting enzyme (ACE) inhibitor. The drug undergoes hepatic hydrolysis into its major active diacid metabolite, quinaprilat, and two minor inactive metabolites. On a weight basis quinaprilat is three times as potent an ACE inhibitor as quinapril. Approximately 60 percent of an oral dose of quinapril is absorbed. In contrast with captopril, the absorption of quinapril is unaffected by food. Peak serum concentrations of quinapril and quinaprilat are achieved within one and two hours, respectively. Approximately 61 percent of an orally administered dose is excreted in the urine, principally as quinaprilat. The elimination half-life of quinaprilat is three hours, but is prolonged up to 11 hours in patients with renal dysfunction. Quinapril dose reduction is recommended in patients with a creatinine clearance of 0.50 mL/sec or less. In the elderly the elimination of quinaprilat is reduced and correlates well with renal function. In patients with cirrhosis the hydrolysis of quinapril to quinaprilat is impaired resulting in lower plasma quinaprilat concentrations and up to a two-fold increase in quinapril half-life. Quinaprilat has a strong binding capacity to tissue ACE allowing for once-daily dosing. The recommended starting dose for quinapril is 20 mg/d. The nature and incidence of adverse reactions to quinapril are similar to those of enalapril and captopril. Quinapril's antihypertensive efficacy is equal to that of captopril and enalapril. A small number of patients with congestive heart failure (CHF) have been treated with quinapril. Preliminary data indicate that quinapril is an equally effective therapeutic alternative to presently available ACE inhibitors in the treatment of CHF.(ABSTRACT TRUNCATED AT 250 WORDS)","container-title":"DICP: the annals of pharmacotherapy","DOI":"10.1177/106002809102500510","ISSN":"1042-9611","issue":"5","journalAbbreviation":"DICP","language":"eng","note":"PMID: 2068835","page":"499-504","source":"PubMed","title":"Quinapril: a new second-generation ACE inhibitor","title-short":"Quinapril","volume":"25","author":[{"family":"Cetnarowski-Cropp","given":"A. B."}],"issued":{"date-parts":[["1991",5]]}}}],"schema":"https://github.com/citation-style-language/schema/raw/master/csl-citation.json"} </w:instrText>
            </w:r>
            <w:r w:rsidRPr="00D650F1">
              <w:rPr>
                <w:color w:val="000000" w:themeColor="text1"/>
                <w:sz w:val="18"/>
              </w:rPr>
              <w:fldChar w:fldCharType="separate"/>
            </w:r>
            <w:r w:rsidRPr="008C0D8C">
              <w:rPr>
                <w:sz w:val="18"/>
              </w:rPr>
              <w:t>[34]</w:t>
            </w:r>
            <w:r w:rsidRPr="00D650F1">
              <w:rPr>
                <w:color w:val="000000" w:themeColor="text1"/>
                <w:sz w:val="18"/>
              </w:rPr>
              <w:fldChar w:fldCharType="end"/>
            </w:r>
          </w:p>
        </w:tc>
      </w:tr>
      <w:tr w:rsidR="00342ADA" w:rsidRPr="00D650F1" w14:paraId="7E64A6F8" w14:textId="77777777" w:rsidTr="00875ADD">
        <w:tc>
          <w:tcPr>
            <w:cnfStyle w:val="001000000000" w:firstRow="0" w:lastRow="0" w:firstColumn="1" w:lastColumn="0" w:oddVBand="0" w:evenVBand="0" w:oddHBand="0" w:evenHBand="0" w:firstRowFirstColumn="0" w:firstRowLastColumn="0" w:lastRowFirstColumn="0" w:lastRowLastColumn="0"/>
            <w:tcW w:w="361" w:type="pct"/>
            <w:noWrap/>
            <w:vAlign w:val="center"/>
            <w:hideMark/>
          </w:tcPr>
          <w:p w14:paraId="3860A0F6" w14:textId="77777777" w:rsidR="00342ADA" w:rsidRPr="00D650F1" w:rsidRDefault="00342ADA" w:rsidP="00875ADD">
            <w:pPr>
              <w:tabs>
                <w:tab w:val="left" w:pos="540"/>
              </w:tabs>
              <w:spacing w:line="240" w:lineRule="auto"/>
              <w:jc w:val="center"/>
              <w:rPr>
                <w:rFonts w:eastAsia="Times New Roman"/>
                <w:color w:val="000000" w:themeColor="text1"/>
                <w:sz w:val="18"/>
                <w:lang w:val="en-IN" w:eastAsia="en-IN"/>
              </w:rPr>
            </w:pPr>
            <w:r>
              <w:rPr>
                <w:rFonts w:eastAsia="Times New Roman"/>
                <w:color w:val="000000" w:themeColor="text1"/>
                <w:sz w:val="18"/>
                <w:lang w:val="en-IN" w:eastAsia="en-IN"/>
              </w:rPr>
              <w:t>4</w:t>
            </w:r>
          </w:p>
        </w:tc>
        <w:tc>
          <w:tcPr>
            <w:tcW w:w="607" w:type="pct"/>
            <w:noWrap/>
            <w:vAlign w:val="center"/>
            <w:hideMark/>
          </w:tcPr>
          <w:p w14:paraId="6E0BDB1A" w14:textId="77777777" w:rsidR="00342ADA" w:rsidRPr="00D650F1" w:rsidRDefault="00342ADA" w:rsidP="00875ADD">
            <w:pPr>
              <w:tabs>
                <w:tab w:val="left" w:pos="540"/>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DB00542</w:t>
            </w:r>
          </w:p>
        </w:tc>
        <w:tc>
          <w:tcPr>
            <w:tcW w:w="758" w:type="pct"/>
            <w:noWrap/>
            <w:vAlign w:val="center"/>
            <w:hideMark/>
          </w:tcPr>
          <w:p w14:paraId="57E15733" w14:textId="77777777" w:rsidR="00342ADA" w:rsidRPr="00D650F1" w:rsidRDefault="00342ADA" w:rsidP="00875ADD">
            <w:pPr>
              <w:tabs>
                <w:tab w:val="left" w:pos="540"/>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Benazepril</w:t>
            </w:r>
          </w:p>
        </w:tc>
        <w:tc>
          <w:tcPr>
            <w:tcW w:w="531" w:type="pct"/>
            <w:vAlign w:val="center"/>
            <w:hideMark/>
          </w:tcPr>
          <w:p w14:paraId="7ADB28F3" w14:textId="77777777" w:rsidR="00342ADA" w:rsidRPr="00D650F1" w:rsidRDefault="00342ADA" w:rsidP="00875ADD">
            <w:pPr>
              <w:tabs>
                <w:tab w:val="left" w:pos="540"/>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125.6081</w:t>
            </w:r>
          </w:p>
        </w:tc>
        <w:tc>
          <w:tcPr>
            <w:tcW w:w="758" w:type="pct"/>
            <w:noWrap/>
            <w:vAlign w:val="center"/>
            <w:hideMark/>
          </w:tcPr>
          <w:p w14:paraId="44BEE1EC" w14:textId="77777777" w:rsidR="00342ADA" w:rsidRPr="00D650F1" w:rsidRDefault="00342ADA" w:rsidP="00875ADD">
            <w:pPr>
              <w:tabs>
                <w:tab w:val="left" w:pos="540"/>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val="en-IN" w:eastAsia="en-IN"/>
              </w:rPr>
              <w:t>38.4797</w:t>
            </w:r>
          </w:p>
        </w:tc>
        <w:tc>
          <w:tcPr>
            <w:tcW w:w="682" w:type="pct"/>
            <w:vAlign w:val="center"/>
          </w:tcPr>
          <w:p w14:paraId="69EDE716" w14:textId="77777777" w:rsidR="00342ADA" w:rsidRPr="00D650F1" w:rsidRDefault="00342ADA" w:rsidP="00875ADD">
            <w:pPr>
              <w:tabs>
                <w:tab w:val="left" w:pos="540"/>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lang w:eastAsia="en-IN"/>
              </w:rPr>
            </w:pPr>
            <w:r w:rsidRPr="00D650F1">
              <w:rPr>
                <w:rFonts w:eastAsia="Times New Roman"/>
                <w:color w:val="000000" w:themeColor="text1"/>
                <w:sz w:val="18"/>
                <w:lang w:val="en-IN" w:eastAsia="en-IN"/>
              </w:rPr>
              <w:t>39.2084</w:t>
            </w:r>
          </w:p>
        </w:tc>
        <w:tc>
          <w:tcPr>
            <w:tcW w:w="1303" w:type="pct"/>
            <w:vAlign w:val="center"/>
          </w:tcPr>
          <w:p w14:paraId="66C7145A" w14:textId="77777777" w:rsidR="00342ADA" w:rsidRPr="00D650F1" w:rsidRDefault="00342ADA" w:rsidP="00875ADD">
            <w:pPr>
              <w:tabs>
                <w:tab w:val="left" w:pos="540"/>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lang w:val="en-IN" w:eastAsia="en-IN"/>
              </w:rPr>
            </w:pPr>
            <w:r w:rsidRPr="00D650F1">
              <w:rPr>
                <w:rFonts w:eastAsia="Times New Roman"/>
                <w:color w:val="000000" w:themeColor="text1"/>
                <w:sz w:val="18"/>
                <w:lang w:eastAsia="en-IN"/>
              </w:rPr>
              <w:t>Angiotensin-converting enzyme</w:t>
            </w:r>
            <w:r w:rsidRPr="00D650F1">
              <w:rPr>
                <w:color w:val="000000" w:themeColor="text1"/>
                <w:sz w:val="18"/>
              </w:rPr>
              <w:fldChar w:fldCharType="begin"/>
            </w:r>
            <w:r>
              <w:rPr>
                <w:rFonts w:eastAsia="Times New Roman"/>
                <w:color w:val="000000" w:themeColor="text1"/>
                <w:sz w:val="18"/>
                <w:lang w:eastAsia="en-IN"/>
              </w:rPr>
              <w:instrText xml:space="preserve"> ADDIN ZOTERO_ITEM CSL_CITATION {"citationID":"a1pdg1qk9b2","properties":{"formattedCitation":"[35]","plainCitation":"[35]","noteIndex":0},"citationItems":[{"id":1416,"uris":["http://zotero.org/users/4928180/items/HG3TMXAF"],"itemData":{"id":1416,"type":"article-journal","abstract":"Benazepril is a prodrug that, following rapid conversion to benazeprilat, is a potent nonsulfhydryl inhibitor of angiotensin-converting enzyme. The absorption, bioactivation, distribution, and elimination of benazepril and benazeprilat have been evaluated in healthy subjects, hypertensive patients, and patients with characteristics known to alter the pharmacokinetic disposition of ACE inhibitors, such as renal impairment, hepatic impairment, and advanced age. Following oral administration, benazepril is absorbed and transformed into benazeprilat in the liver. Coadministration of benazepril with food delays absorption slightly but does not affect the ultimate bioavailability of benazeprilat. Severe hepatic impairment slows conversion of benazepril to benazeprilat but does not affect the overall bioavailability of benazeprilat; thus dosage adjustment is not necessary in the hepatically impaired population. Mild-to-moderate renal impairment (creatinine clearance greater than 30 ml/min) slightly increases benazeprilat concentrations; severe renal impairment (creatinine clearance less than 30 ml/min) reduces benazeprilat elimination and requires dosage reduction. In elderly patients, benazepril disposition is the same as in younger patients, although benazeprilat clearance is slightly reduced. No clinically significant drug-drug interactions occur with benazepril and many other medications commonly prescribed to elderly hypertensive patients. The pharmacokinetic characteristics of benazepril are stable over a wide range of conditions, and dosage adjustments for pharmacokinetic reasons are required infrequently.","container-title":"Clinical Cardiology","DOI":"10.1002/clc.4960141807","ISSN":"0160-9289","issue":"8 Suppl 4","journalAbbreviation":"Clin Cardiol","language":"eng","note":"PMID: 1893642","page":"IV44-50; discussion IV51-55","source":"PubMed","title":"The pharmacokinetics of benazepril relative to other ACE inhibitors","volume":"14","author":[{"family":"Gengo","given":"F. M."},{"family":"Brady","given":"E."}],"issued":{"date-parts":[["1991",8]]}}}],"schema":"https://github.com/citation-style-language/schema/raw/master/csl-citation.json"} </w:instrText>
            </w:r>
            <w:r w:rsidRPr="00D650F1">
              <w:rPr>
                <w:color w:val="000000" w:themeColor="text1"/>
                <w:sz w:val="18"/>
              </w:rPr>
              <w:fldChar w:fldCharType="separate"/>
            </w:r>
            <w:r w:rsidRPr="008C0D8C">
              <w:rPr>
                <w:sz w:val="18"/>
              </w:rPr>
              <w:t>[35]</w:t>
            </w:r>
            <w:r w:rsidRPr="00D650F1">
              <w:rPr>
                <w:color w:val="000000" w:themeColor="text1"/>
                <w:sz w:val="18"/>
              </w:rPr>
              <w:fldChar w:fldCharType="end"/>
            </w:r>
          </w:p>
        </w:tc>
      </w:tr>
      <w:bookmarkEnd w:id="0"/>
    </w:tbl>
    <w:p w14:paraId="766675F8" w14:textId="77777777" w:rsidR="00342ADA" w:rsidRPr="00083880" w:rsidRDefault="00342ADA" w:rsidP="00342ADA">
      <w:pPr>
        <w:spacing w:line="259" w:lineRule="auto"/>
        <w:jc w:val="left"/>
        <w:rPr>
          <w:b/>
          <w:iCs/>
          <w:color w:val="000000" w:themeColor="text1"/>
          <w:sz w:val="22"/>
        </w:rPr>
        <w:sectPr w:rsidR="00342ADA" w:rsidRPr="00083880" w:rsidSect="00342ADA">
          <w:pgSz w:w="11906" w:h="16838"/>
          <w:pgMar w:top="1440" w:right="1440" w:bottom="1440" w:left="1440" w:header="708" w:footer="708" w:gutter="0"/>
          <w:cols w:space="708"/>
          <w:docGrid w:linePitch="360"/>
        </w:sectPr>
      </w:pPr>
    </w:p>
    <w:p w14:paraId="53C8B14A" w14:textId="77777777" w:rsidR="00342ADA" w:rsidRPr="00D650F1" w:rsidRDefault="00342ADA" w:rsidP="00342ADA">
      <w:pPr>
        <w:pStyle w:val="Caption"/>
        <w:keepNext/>
        <w:tabs>
          <w:tab w:val="left" w:pos="540"/>
        </w:tabs>
        <w:spacing w:after="100"/>
        <w:rPr>
          <w:b/>
          <w:i w:val="0"/>
          <w:color w:val="000000" w:themeColor="text1"/>
          <w:sz w:val="22"/>
          <w:szCs w:val="24"/>
        </w:rPr>
      </w:pPr>
      <w:r w:rsidRPr="00D650F1">
        <w:rPr>
          <w:b/>
          <w:i w:val="0"/>
          <w:color w:val="000000" w:themeColor="text1"/>
          <w:sz w:val="22"/>
          <w:szCs w:val="24"/>
        </w:rPr>
        <w:lastRenderedPageBreak/>
        <w:t xml:space="preserve">Table </w:t>
      </w:r>
      <w:r>
        <w:rPr>
          <w:b/>
          <w:i w:val="0"/>
          <w:color w:val="000000" w:themeColor="text1"/>
          <w:sz w:val="22"/>
          <w:szCs w:val="24"/>
        </w:rPr>
        <w:t>2</w:t>
      </w:r>
      <w:r w:rsidRPr="00D650F1">
        <w:rPr>
          <w:b/>
          <w:i w:val="0"/>
          <w:color w:val="000000" w:themeColor="text1"/>
          <w:sz w:val="22"/>
          <w:szCs w:val="24"/>
        </w:rPr>
        <w:t>: Non</w:t>
      </w:r>
      <w:r>
        <w:rPr>
          <w:b/>
          <w:i w:val="0"/>
          <w:color w:val="000000" w:themeColor="text1"/>
          <w:sz w:val="22"/>
          <w:szCs w:val="24"/>
        </w:rPr>
        <w:t>-</w:t>
      </w:r>
      <w:r w:rsidRPr="00D650F1">
        <w:rPr>
          <w:b/>
          <w:i w:val="0"/>
          <w:color w:val="000000" w:themeColor="text1"/>
          <w:sz w:val="22"/>
          <w:szCs w:val="24"/>
        </w:rPr>
        <w:t>Bond</w:t>
      </w:r>
      <w:r>
        <w:rPr>
          <w:b/>
          <w:i w:val="0"/>
          <w:color w:val="000000" w:themeColor="text1"/>
          <w:sz w:val="22"/>
          <w:szCs w:val="24"/>
        </w:rPr>
        <w:t>ed</w:t>
      </w:r>
      <w:r w:rsidRPr="00D650F1">
        <w:rPr>
          <w:b/>
          <w:i w:val="0"/>
          <w:color w:val="000000" w:themeColor="text1"/>
          <w:sz w:val="22"/>
          <w:szCs w:val="24"/>
        </w:rPr>
        <w:t xml:space="preserve"> interactions between PCSK9 and top 4 hit compounds along with their structures after MD Simulation.</w:t>
      </w:r>
    </w:p>
    <w:tbl>
      <w:tblPr>
        <w:tblStyle w:val="TableGrid"/>
        <w:tblW w:w="0" w:type="auto"/>
        <w:tblLayout w:type="fixed"/>
        <w:tblLook w:val="04A0" w:firstRow="1" w:lastRow="0" w:firstColumn="1" w:lastColumn="0" w:noHBand="0" w:noVBand="1"/>
      </w:tblPr>
      <w:tblGrid>
        <w:gridCol w:w="648"/>
        <w:gridCol w:w="1530"/>
        <w:gridCol w:w="1530"/>
        <w:gridCol w:w="2790"/>
        <w:gridCol w:w="2070"/>
        <w:gridCol w:w="2700"/>
        <w:gridCol w:w="2187"/>
      </w:tblGrid>
      <w:tr w:rsidR="00342ADA" w:rsidRPr="00D650F1" w14:paraId="194A1BF9" w14:textId="77777777" w:rsidTr="00875ADD">
        <w:trPr>
          <w:cantSplit/>
        </w:trPr>
        <w:tc>
          <w:tcPr>
            <w:tcW w:w="648" w:type="dxa"/>
          </w:tcPr>
          <w:p w14:paraId="55464A02" w14:textId="77777777" w:rsidR="00342ADA" w:rsidRPr="00D650F1" w:rsidRDefault="00342ADA" w:rsidP="00875ADD">
            <w:pPr>
              <w:tabs>
                <w:tab w:val="left" w:pos="540"/>
              </w:tabs>
              <w:spacing w:line="240" w:lineRule="auto"/>
              <w:rPr>
                <w:b/>
                <w:bCs/>
                <w:color w:val="000000" w:themeColor="text1"/>
                <w:sz w:val="20"/>
                <w:szCs w:val="20"/>
              </w:rPr>
            </w:pPr>
            <w:r>
              <w:rPr>
                <w:b/>
                <w:bCs/>
                <w:color w:val="000000" w:themeColor="text1"/>
                <w:sz w:val="20"/>
                <w:szCs w:val="20"/>
              </w:rPr>
              <w:t>S.No</w:t>
            </w:r>
          </w:p>
        </w:tc>
        <w:tc>
          <w:tcPr>
            <w:tcW w:w="1530" w:type="dxa"/>
          </w:tcPr>
          <w:p w14:paraId="04921EAC" w14:textId="77777777" w:rsidR="00342ADA" w:rsidRPr="00D650F1" w:rsidRDefault="00342ADA" w:rsidP="00875ADD">
            <w:pPr>
              <w:tabs>
                <w:tab w:val="left" w:pos="540"/>
              </w:tabs>
              <w:spacing w:line="240" w:lineRule="auto"/>
              <w:rPr>
                <w:b/>
                <w:bCs/>
                <w:color w:val="000000" w:themeColor="text1"/>
                <w:sz w:val="20"/>
                <w:szCs w:val="20"/>
              </w:rPr>
            </w:pPr>
            <w:r w:rsidRPr="00D650F1">
              <w:rPr>
                <w:b/>
                <w:bCs/>
                <w:color w:val="000000" w:themeColor="text1"/>
                <w:sz w:val="20"/>
                <w:szCs w:val="20"/>
              </w:rPr>
              <w:t xml:space="preserve">Drugbank ID </w:t>
            </w:r>
          </w:p>
        </w:tc>
        <w:tc>
          <w:tcPr>
            <w:tcW w:w="1530" w:type="dxa"/>
          </w:tcPr>
          <w:p w14:paraId="74AF6E32" w14:textId="77777777" w:rsidR="00342ADA" w:rsidRPr="00D650F1" w:rsidRDefault="00342ADA" w:rsidP="00875ADD">
            <w:pPr>
              <w:tabs>
                <w:tab w:val="left" w:pos="540"/>
              </w:tabs>
              <w:spacing w:line="240" w:lineRule="auto"/>
              <w:rPr>
                <w:b/>
                <w:bCs/>
                <w:color w:val="000000" w:themeColor="text1"/>
                <w:sz w:val="20"/>
                <w:szCs w:val="20"/>
              </w:rPr>
            </w:pPr>
            <w:r w:rsidRPr="00D650F1">
              <w:rPr>
                <w:b/>
                <w:bCs/>
                <w:color w:val="000000" w:themeColor="text1"/>
                <w:sz w:val="20"/>
                <w:szCs w:val="20"/>
              </w:rPr>
              <w:t>Generic Name</w:t>
            </w:r>
          </w:p>
        </w:tc>
        <w:tc>
          <w:tcPr>
            <w:tcW w:w="2790" w:type="dxa"/>
          </w:tcPr>
          <w:p w14:paraId="09235979" w14:textId="77777777" w:rsidR="00342ADA" w:rsidRPr="00D650F1" w:rsidRDefault="00342ADA" w:rsidP="00875ADD">
            <w:pPr>
              <w:tabs>
                <w:tab w:val="left" w:pos="540"/>
              </w:tabs>
              <w:spacing w:line="240" w:lineRule="auto"/>
              <w:rPr>
                <w:b/>
                <w:bCs/>
                <w:color w:val="000000" w:themeColor="text1"/>
                <w:sz w:val="20"/>
                <w:szCs w:val="20"/>
              </w:rPr>
            </w:pPr>
            <w:r w:rsidRPr="00D650F1">
              <w:rPr>
                <w:b/>
                <w:bCs/>
                <w:color w:val="000000" w:themeColor="text1"/>
                <w:sz w:val="20"/>
                <w:szCs w:val="20"/>
              </w:rPr>
              <w:t>Structure</w:t>
            </w:r>
          </w:p>
        </w:tc>
        <w:tc>
          <w:tcPr>
            <w:tcW w:w="2070" w:type="dxa"/>
          </w:tcPr>
          <w:p w14:paraId="2C2C1A40" w14:textId="77777777" w:rsidR="00342ADA" w:rsidRPr="00D650F1" w:rsidRDefault="00342ADA" w:rsidP="00875ADD">
            <w:pPr>
              <w:tabs>
                <w:tab w:val="left" w:pos="540"/>
              </w:tabs>
              <w:spacing w:line="240" w:lineRule="auto"/>
              <w:rPr>
                <w:b/>
                <w:bCs/>
                <w:color w:val="000000" w:themeColor="text1"/>
                <w:sz w:val="20"/>
                <w:szCs w:val="20"/>
              </w:rPr>
            </w:pPr>
            <w:r w:rsidRPr="00D650F1">
              <w:rPr>
                <w:b/>
                <w:bCs/>
                <w:color w:val="000000" w:themeColor="text1"/>
                <w:sz w:val="20"/>
                <w:szCs w:val="20"/>
              </w:rPr>
              <w:t>Interacting Residues</w:t>
            </w:r>
          </w:p>
        </w:tc>
        <w:tc>
          <w:tcPr>
            <w:tcW w:w="2700" w:type="dxa"/>
          </w:tcPr>
          <w:p w14:paraId="32F7D1EE" w14:textId="77777777" w:rsidR="00342ADA" w:rsidRPr="00D650F1" w:rsidRDefault="00342ADA" w:rsidP="00875ADD">
            <w:pPr>
              <w:tabs>
                <w:tab w:val="left" w:pos="540"/>
              </w:tabs>
              <w:spacing w:line="240" w:lineRule="auto"/>
              <w:rPr>
                <w:b/>
                <w:bCs/>
                <w:color w:val="000000" w:themeColor="text1"/>
                <w:sz w:val="20"/>
                <w:szCs w:val="20"/>
              </w:rPr>
            </w:pPr>
            <w:r w:rsidRPr="00D650F1">
              <w:rPr>
                <w:b/>
                <w:bCs/>
                <w:color w:val="000000" w:themeColor="text1"/>
                <w:sz w:val="20"/>
                <w:szCs w:val="20"/>
              </w:rPr>
              <w:t>Type of interaction</w:t>
            </w:r>
          </w:p>
        </w:tc>
        <w:tc>
          <w:tcPr>
            <w:tcW w:w="2187" w:type="dxa"/>
          </w:tcPr>
          <w:p w14:paraId="683D78A4" w14:textId="77777777" w:rsidR="00342ADA" w:rsidRPr="00D650F1" w:rsidRDefault="00342ADA" w:rsidP="00875ADD">
            <w:pPr>
              <w:tabs>
                <w:tab w:val="left" w:pos="540"/>
              </w:tabs>
              <w:spacing w:line="240" w:lineRule="auto"/>
              <w:rPr>
                <w:b/>
                <w:bCs/>
                <w:color w:val="000000" w:themeColor="text1"/>
                <w:sz w:val="20"/>
                <w:szCs w:val="20"/>
              </w:rPr>
            </w:pPr>
            <w:r w:rsidRPr="00D650F1">
              <w:rPr>
                <w:b/>
                <w:bCs/>
                <w:color w:val="000000" w:themeColor="text1"/>
                <w:sz w:val="20"/>
                <w:szCs w:val="20"/>
              </w:rPr>
              <w:t>Distance (Å)</w:t>
            </w:r>
          </w:p>
        </w:tc>
      </w:tr>
      <w:tr w:rsidR="00342ADA" w:rsidRPr="00D650F1" w14:paraId="2244B7B8" w14:textId="77777777" w:rsidTr="00875ADD">
        <w:trPr>
          <w:cantSplit/>
          <w:trHeight w:val="1502"/>
        </w:trPr>
        <w:tc>
          <w:tcPr>
            <w:tcW w:w="648" w:type="dxa"/>
          </w:tcPr>
          <w:p w14:paraId="4B1FE49E"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1.</w:t>
            </w:r>
          </w:p>
        </w:tc>
        <w:tc>
          <w:tcPr>
            <w:tcW w:w="1530" w:type="dxa"/>
          </w:tcPr>
          <w:p w14:paraId="21924DFA" w14:textId="77777777" w:rsidR="00342ADA" w:rsidRPr="00D650F1" w:rsidRDefault="00342ADA" w:rsidP="00875ADD">
            <w:pPr>
              <w:tabs>
                <w:tab w:val="left" w:pos="540"/>
              </w:tabs>
              <w:spacing w:line="240" w:lineRule="auto"/>
              <w:jc w:val="left"/>
              <w:rPr>
                <w:color w:val="000000" w:themeColor="text1"/>
                <w:sz w:val="20"/>
                <w:szCs w:val="20"/>
              </w:rPr>
            </w:pPr>
            <w:r w:rsidRPr="00D650F1">
              <w:rPr>
                <w:rFonts w:eastAsia="Times New Roman"/>
                <w:color w:val="000000" w:themeColor="text1"/>
                <w:sz w:val="20"/>
                <w:szCs w:val="20"/>
                <w:lang w:val="en-IN" w:eastAsia="en-IN"/>
              </w:rPr>
              <w:t>DB08934</w:t>
            </w:r>
          </w:p>
        </w:tc>
        <w:tc>
          <w:tcPr>
            <w:tcW w:w="1530" w:type="dxa"/>
          </w:tcPr>
          <w:p w14:paraId="04C63BBA" w14:textId="77777777" w:rsidR="00342ADA" w:rsidRPr="00D650F1" w:rsidRDefault="00342ADA" w:rsidP="00875ADD">
            <w:pPr>
              <w:tabs>
                <w:tab w:val="left" w:pos="540"/>
              </w:tabs>
              <w:spacing w:line="240" w:lineRule="auto"/>
              <w:jc w:val="left"/>
              <w:rPr>
                <w:color w:val="000000" w:themeColor="text1"/>
                <w:sz w:val="20"/>
                <w:szCs w:val="20"/>
              </w:rPr>
            </w:pPr>
            <w:r w:rsidRPr="00D650F1">
              <w:rPr>
                <w:rFonts w:eastAsia="Times New Roman"/>
                <w:color w:val="000000" w:themeColor="text1"/>
                <w:sz w:val="20"/>
                <w:szCs w:val="20"/>
                <w:lang w:val="en-IN" w:eastAsia="en-IN"/>
              </w:rPr>
              <w:t>Sofosbuvir</w:t>
            </w:r>
          </w:p>
        </w:tc>
        <w:tc>
          <w:tcPr>
            <w:tcW w:w="2790" w:type="dxa"/>
          </w:tcPr>
          <w:p w14:paraId="43EE021F"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noProof/>
                <w:color w:val="000000" w:themeColor="text1"/>
                <w:sz w:val="20"/>
                <w:szCs w:val="20"/>
              </w:rPr>
              <w:drawing>
                <wp:inline distT="0" distB="0" distL="0" distR="0" wp14:anchorId="521C0FBD" wp14:editId="19949CCE">
                  <wp:extent cx="1434571" cy="1348154"/>
                  <wp:effectExtent l="0" t="0" r="0" b="4445"/>
                  <wp:docPr id="16350791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2349" cy="1364861"/>
                          </a:xfrm>
                          <a:prstGeom prst="rect">
                            <a:avLst/>
                          </a:prstGeom>
                          <a:noFill/>
                          <a:ln>
                            <a:noFill/>
                          </a:ln>
                        </pic:spPr>
                      </pic:pic>
                    </a:graphicData>
                  </a:graphic>
                </wp:inline>
              </w:drawing>
            </w:r>
          </w:p>
        </w:tc>
        <w:tc>
          <w:tcPr>
            <w:tcW w:w="2070" w:type="dxa"/>
          </w:tcPr>
          <w:p w14:paraId="1CD437E8"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SER383</w:t>
            </w:r>
          </w:p>
          <w:p w14:paraId="14716E30"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GLY384</w:t>
            </w:r>
          </w:p>
          <w:p w14:paraId="5E9CF609"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 xml:space="preserve">PHE150 </w:t>
            </w:r>
          </w:p>
          <w:p w14:paraId="4697A5DD"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 xml:space="preserve">HIS226 </w:t>
            </w:r>
          </w:p>
          <w:p w14:paraId="42C2ED05"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LEU348</w:t>
            </w:r>
          </w:p>
          <w:p w14:paraId="4B0BBB92"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 xml:space="preserve">PHE318 </w:t>
            </w:r>
          </w:p>
          <w:p w14:paraId="1C27B951"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ALA151</w:t>
            </w:r>
          </w:p>
        </w:tc>
        <w:tc>
          <w:tcPr>
            <w:tcW w:w="2700" w:type="dxa"/>
          </w:tcPr>
          <w:p w14:paraId="3AFD13C5"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Conventional Hydrogen Bond</w:t>
            </w:r>
          </w:p>
          <w:p w14:paraId="19EC4103"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Carbon Hydrogen Bond</w:t>
            </w:r>
          </w:p>
          <w:p w14:paraId="1786DEC4"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Pi-Pi Stacked</w:t>
            </w:r>
          </w:p>
          <w:p w14:paraId="2C1CD467"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Pi-Pi T-shaped</w:t>
            </w:r>
          </w:p>
          <w:p w14:paraId="690D4D08"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Alkyl</w:t>
            </w:r>
          </w:p>
          <w:p w14:paraId="3E510F09"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Pi-Alkyl</w:t>
            </w:r>
          </w:p>
          <w:p w14:paraId="46BAB206"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Pi-Alkyl</w:t>
            </w:r>
          </w:p>
        </w:tc>
        <w:tc>
          <w:tcPr>
            <w:tcW w:w="2187" w:type="dxa"/>
          </w:tcPr>
          <w:tbl>
            <w:tblPr>
              <w:tblW w:w="5519" w:type="dxa"/>
              <w:tblInd w:w="7" w:type="dxa"/>
              <w:tblLayout w:type="fixed"/>
              <w:tblLook w:val="04A0" w:firstRow="1" w:lastRow="0" w:firstColumn="1" w:lastColumn="0" w:noHBand="0" w:noVBand="1"/>
            </w:tblPr>
            <w:tblGrid>
              <w:gridCol w:w="1964"/>
            </w:tblGrid>
            <w:tr w:rsidR="00342ADA" w:rsidRPr="00D650F1" w14:paraId="1DE5DC2C" w14:textId="77777777" w:rsidTr="00875ADD">
              <w:trPr>
                <w:trHeight w:val="293"/>
              </w:trPr>
              <w:tc>
                <w:tcPr>
                  <w:tcW w:w="5519" w:type="dxa"/>
                  <w:tcBorders>
                    <w:top w:val="nil"/>
                    <w:left w:val="nil"/>
                    <w:bottom w:val="nil"/>
                    <w:right w:val="nil"/>
                  </w:tcBorders>
                  <w:shd w:val="clear" w:color="auto" w:fill="auto"/>
                  <w:noWrap/>
                  <w:vAlign w:val="bottom"/>
                </w:tcPr>
                <w:p w14:paraId="034C5D49" w14:textId="77777777" w:rsidR="00342ADA" w:rsidRPr="00D650F1" w:rsidRDefault="00342ADA" w:rsidP="00875ADD">
                  <w:pPr>
                    <w:tabs>
                      <w:tab w:val="left" w:pos="540"/>
                    </w:tabs>
                    <w:spacing w:after="0" w:line="240" w:lineRule="auto"/>
                    <w:jc w:val="left"/>
                    <w:rPr>
                      <w:color w:val="000000" w:themeColor="text1"/>
                      <w:sz w:val="20"/>
                      <w:szCs w:val="20"/>
                    </w:rPr>
                  </w:pPr>
                  <w:r w:rsidRPr="00D650F1">
                    <w:rPr>
                      <w:color w:val="000000" w:themeColor="text1"/>
                      <w:sz w:val="20"/>
                      <w:szCs w:val="20"/>
                    </w:rPr>
                    <w:t>2.27952</w:t>
                  </w:r>
                </w:p>
                <w:p w14:paraId="23A3697A" w14:textId="77777777" w:rsidR="00342ADA" w:rsidRPr="00D650F1" w:rsidRDefault="00342ADA" w:rsidP="00875ADD">
                  <w:pPr>
                    <w:tabs>
                      <w:tab w:val="left" w:pos="540"/>
                    </w:tabs>
                    <w:spacing w:after="0" w:line="240" w:lineRule="auto"/>
                    <w:jc w:val="left"/>
                    <w:rPr>
                      <w:color w:val="000000" w:themeColor="text1"/>
                      <w:sz w:val="20"/>
                      <w:szCs w:val="20"/>
                    </w:rPr>
                  </w:pPr>
                  <w:r w:rsidRPr="00D650F1">
                    <w:rPr>
                      <w:color w:val="000000" w:themeColor="text1"/>
                      <w:sz w:val="20"/>
                      <w:szCs w:val="20"/>
                    </w:rPr>
                    <w:t>3.50641</w:t>
                  </w:r>
                </w:p>
                <w:p w14:paraId="4F122A63" w14:textId="77777777" w:rsidR="00342ADA" w:rsidRPr="00D650F1" w:rsidRDefault="00342ADA" w:rsidP="00875ADD">
                  <w:pPr>
                    <w:tabs>
                      <w:tab w:val="left" w:pos="540"/>
                    </w:tabs>
                    <w:spacing w:after="0" w:line="240" w:lineRule="auto"/>
                    <w:jc w:val="left"/>
                    <w:rPr>
                      <w:color w:val="000000" w:themeColor="text1"/>
                      <w:sz w:val="20"/>
                      <w:szCs w:val="20"/>
                    </w:rPr>
                  </w:pPr>
                  <w:r w:rsidRPr="00D650F1">
                    <w:rPr>
                      <w:color w:val="000000" w:themeColor="text1"/>
                      <w:sz w:val="20"/>
                      <w:szCs w:val="20"/>
                    </w:rPr>
                    <w:t>3.87567</w:t>
                  </w:r>
                </w:p>
                <w:p w14:paraId="06F10A3C" w14:textId="77777777" w:rsidR="00342ADA" w:rsidRPr="00D650F1" w:rsidRDefault="00342ADA" w:rsidP="00875ADD">
                  <w:pPr>
                    <w:tabs>
                      <w:tab w:val="left" w:pos="540"/>
                    </w:tabs>
                    <w:spacing w:after="0" w:line="240" w:lineRule="auto"/>
                    <w:jc w:val="left"/>
                    <w:rPr>
                      <w:color w:val="000000" w:themeColor="text1"/>
                      <w:sz w:val="20"/>
                      <w:szCs w:val="20"/>
                    </w:rPr>
                  </w:pPr>
                  <w:r w:rsidRPr="00D650F1">
                    <w:rPr>
                      <w:color w:val="000000" w:themeColor="text1"/>
                      <w:sz w:val="20"/>
                      <w:szCs w:val="20"/>
                    </w:rPr>
                    <w:t>4.92837</w:t>
                  </w:r>
                </w:p>
                <w:p w14:paraId="68225358" w14:textId="77777777" w:rsidR="00342ADA" w:rsidRPr="00D650F1" w:rsidRDefault="00342ADA" w:rsidP="00875ADD">
                  <w:pPr>
                    <w:tabs>
                      <w:tab w:val="left" w:pos="540"/>
                    </w:tabs>
                    <w:spacing w:after="0" w:line="240" w:lineRule="auto"/>
                    <w:jc w:val="left"/>
                    <w:rPr>
                      <w:color w:val="000000" w:themeColor="text1"/>
                      <w:sz w:val="20"/>
                      <w:szCs w:val="20"/>
                    </w:rPr>
                  </w:pPr>
                  <w:r w:rsidRPr="00D650F1">
                    <w:rPr>
                      <w:color w:val="000000" w:themeColor="text1"/>
                      <w:sz w:val="20"/>
                      <w:szCs w:val="20"/>
                    </w:rPr>
                    <w:t>4.86404</w:t>
                  </w:r>
                </w:p>
                <w:p w14:paraId="07E455FA" w14:textId="77777777" w:rsidR="00342ADA" w:rsidRPr="00D650F1" w:rsidRDefault="00342ADA" w:rsidP="00875ADD">
                  <w:pPr>
                    <w:tabs>
                      <w:tab w:val="left" w:pos="540"/>
                    </w:tabs>
                    <w:spacing w:after="0" w:line="240" w:lineRule="auto"/>
                    <w:jc w:val="left"/>
                    <w:rPr>
                      <w:color w:val="000000" w:themeColor="text1"/>
                      <w:sz w:val="20"/>
                      <w:szCs w:val="20"/>
                    </w:rPr>
                  </w:pPr>
                  <w:r w:rsidRPr="00D650F1">
                    <w:rPr>
                      <w:color w:val="000000" w:themeColor="text1"/>
                      <w:sz w:val="20"/>
                      <w:szCs w:val="20"/>
                    </w:rPr>
                    <w:t>4.42329</w:t>
                  </w:r>
                </w:p>
                <w:p w14:paraId="5DC306B9" w14:textId="77777777" w:rsidR="00342ADA" w:rsidRPr="00D650F1" w:rsidRDefault="00342ADA" w:rsidP="00875ADD">
                  <w:pPr>
                    <w:tabs>
                      <w:tab w:val="left" w:pos="540"/>
                    </w:tabs>
                    <w:spacing w:after="0" w:line="240" w:lineRule="auto"/>
                    <w:jc w:val="left"/>
                    <w:rPr>
                      <w:color w:val="000000" w:themeColor="text1"/>
                      <w:sz w:val="20"/>
                      <w:szCs w:val="20"/>
                    </w:rPr>
                  </w:pPr>
                  <w:r w:rsidRPr="00D650F1">
                    <w:rPr>
                      <w:color w:val="000000" w:themeColor="text1"/>
                      <w:sz w:val="20"/>
                      <w:szCs w:val="20"/>
                    </w:rPr>
                    <w:t>4.34863</w:t>
                  </w:r>
                </w:p>
              </w:tc>
            </w:tr>
          </w:tbl>
          <w:p w14:paraId="163C4C38" w14:textId="77777777" w:rsidR="00342ADA" w:rsidRPr="00D650F1" w:rsidRDefault="00342ADA" w:rsidP="00875ADD">
            <w:pPr>
              <w:tabs>
                <w:tab w:val="left" w:pos="540"/>
              </w:tabs>
              <w:spacing w:line="240" w:lineRule="auto"/>
              <w:jc w:val="left"/>
              <w:rPr>
                <w:color w:val="000000" w:themeColor="text1"/>
                <w:sz w:val="20"/>
                <w:szCs w:val="20"/>
              </w:rPr>
            </w:pPr>
          </w:p>
        </w:tc>
      </w:tr>
      <w:tr w:rsidR="00342ADA" w:rsidRPr="00D650F1" w14:paraId="79ED2760" w14:textId="77777777" w:rsidTr="00875ADD">
        <w:trPr>
          <w:cantSplit/>
        </w:trPr>
        <w:tc>
          <w:tcPr>
            <w:tcW w:w="648" w:type="dxa"/>
          </w:tcPr>
          <w:p w14:paraId="4148CA3C"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2.</w:t>
            </w:r>
          </w:p>
        </w:tc>
        <w:tc>
          <w:tcPr>
            <w:tcW w:w="1530" w:type="dxa"/>
          </w:tcPr>
          <w:p w14:paraId="20834913" w14:textId="77777777" w:rsidR="00342ADA" w:rsidRPr="00D650F1" w:rsidRDefault="00342ADA" w:rsidP="00875ADD">
            <w:pPr>
              <w:tabs>
                <w:tab w:val="left" w:pos="540"/>
              </w:tabs>
              <w:spacing w:line="240" w:lineRule="auto"/>
              <w:jc w:val="left"/>
              <w:rPr>
                <w:color w:val="000000" w:themeColor="text1"/>
                <w:sz w:val="20"/>
                <w:szCs w:val="20"/>
              </w:rPr>
            </w:pPr>
            <w:r w:rsidRPr="00D650F1">
              <w:rPr>
                <w:rFonts w:eastAsia="Times New Roman"/>
                <w:color w:val="000000" w:themeColor="text1"/>
                <w:sz w:val="20"/>
                <w:szCs w:val="20"/>
                <w:lang w:val="en-IN" w:eastAsia="en-IN"/>
              </w:rPr>
              <w:t>DB00775</w:t>
            </w:r>
          </w:p>
        </w:tc>
        <w:tc>
          <w:tcPr>
            <w:tcW w:w="1530" w:type="dxa"/>
          </w:tcPr>
          <w:p w14:paraId="6797193E" w14:textId="77777777" w:rsidR="00342ADA" w:rsidRPr="00D650F1" w:rsidRDefault="00342ADA" w:rsidP="00875ADD">
            <w:pPr>
              <w:tabs>
                <w:tab w:val="left" w:pos="540"/>
              </w:tabs>
              <w:spacing w:line="240" w:lineRule="auto"/>
              <w:jc w:val="left"/>
              <w:rPr>
                <w:color w:val="000000" w:themeColor="text1"/>
                <w:sz w:val="20"/>
                <w:szCs w:val="20"/>
              </w:rPr>
            </w:pPr>
            <w:r w:rsidRPr="00D650F1">
              <w:rPr>
                <w:rFonts w:eastAsia="Times New Roman"/>
                <w:color w:val="000000" w:themeColor="text1"/>
                <w:sz w:val="20"/>
                <w:szCs w:val="20"/>
                <w:lang w:val="en-IN" w:eastAsia="en-IN"/>
              </w:rPr>
              <w:t>Tirofiban</w:t>
            </w:r>
          </w:p>
        </w:tc>
        <w:tc>
          <w:tcPr>
            <w:tcW w:w="2790" w:type="dxa"/>
          </w:tcPr>
          <w:p w14:paraId="2AB05A55"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noProof/>
                <w:color w:val="000000" w:themeColor="text1"/>
                <w:sz w:val="20"/>
                <w:szCs w:val="20"/>
              </w:rPr>
              <w:drawing>
                <wp:inline distT="0" distB="0" distL="0" distR="0" wp14:anchorId="755047D3" wp14:editId="23E06450">
                  <wp:extent cx="1609352" cy="589915"/>
                  <wp:effectExtent l="0" t="0" r="0" b="635"/>
                  <wp:docPr id="6764684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5764" cy="603262"/>
                          </a:xfrm>
                          <a:prstGeom prst="rect">
                            <a:avLst/>
                          </a:prstGeom>
                          <a:noFill/>
                          <a:ln>
                            <a:noFill/>
                          </a:ln>
                        </pic:spPr>
                      </pic:pic>
                    </a:graphicData>
                  </a:graphic>
                </wp:inline>
              </w:drawing>
            </w:r>
          </w:p>
        </w:tc>
        <w:tc>
          <w:tcPr>
            <w:tcW w:w="2070" w:type="dxa"/>
          </w:tcPr>
          <w:p w14:paraId="4A863D8E"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 xml:space="preserve">PHE323 </w:t>
            </w:r>
          </w:p>
          <w:p w14:paraId="1AF43FCA"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ARG218</w:t>
            </w:r>
          </w:p>
          <w:p w14:paraId="273FDBA3"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PRO320</w:t>
            </w:r>
          </w:p>
          <w:p w14:paraId="57D9B8FB"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ALA220</w:t>
            </w:r>
          </w:p>
          <w:p w14:paraId="569A5AEF"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SER221</w:t>
            </w:r>
          </w:p>
          <w:p w14:paraId="7A9F7649"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CYS223</w:t>
            </w:r>
          </w:p>
          <w:p w14:paraId="5289CB33"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 xml:space="preserve">VAL307 </w:t>
            </w:r>
          </w:p>
          <w:p w14:paraId="0B4546F6"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LEU348</w:t>
            </w:r>
          </w:p>
          <w:p w14:paraId="7BC00043" w14:textId="77777777" w:rsidR="00342ADA" w:rsidRPr="00D650F1" w:rsidRDefault="00342ADA" w:rsidP="00875ADD">
            <w:pPr>
              <w:tabs>
                <w:tab w:val="left" w:pos="540"/>
              </w:tabs>
              <w:spacing w:line="240" w:lineRule="auto"/>
              <w:jc w:val="left"/>
              <w:rPr>
                <w:color w:val="000000" w:themeColor="text1"/>
                <w:sz w:val="20"/>
                <w:szCs w:val="20"/>
              </w:rPr>
            </w:pPr>
            <w:r w:rsidRPr="00D650F1">
              <w:rPr>
                <w:rFonts w:eastAsia="Times New Roman"/>
                <w:color w:val="000000" w:themeColor="text1"/>
                <w:sz w:val="20"/>
                <w:szCs w:val="20"/>
                <w:lang w:val="en-IN" w:eastAsia="en-IN"/>
              </w:rPr>
              <w:t>LEU351</w:t>
            </w:r>
          </w:p>
        </w:tc>
        <w:tc>
          <w:tcPr>
            <w:tcW w:w="2700" w:type="dxa"/>
          </w:tcPr>
          <w:p w14:paraId="0FD713B0"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Pi-Pi T-shaped</w:t>
            </w:r>
          </w:p>
          <w:p w14:paraId="491AF877"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Pi-Alkyl</w:t>
            </w:r>
          </w:p>
          <w:p w14:paraId="2ABAC98B"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Pi-Alkyl</w:t>
            </w:r>
          </w:p>
          <w:p w14:paraId="5AD2AAF1"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Conventional Hydrogen Bond</w:t>
            </w:r>
          </w:p>
          <w:p w14:paraId="5EF4CA66"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Carbon Hydrogen Bond</w:t>
            </w:r>
          </w:p>
          <w:p w14:paraId="700585A4"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Carbon Hydrogen Bond</w:t>
            </w:r>
          </w:p>
          <w:p w14:paraId="1EE4D593"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Alkyl</w:t>
            </w:r>
          </w:p>
          <w:p w14:paraId="4BE21895"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Alkyl</w:t>
            </w:r>
          </w:p>
          <w:p w14:paraId="3BD5DE1A" w14:textId="77777777" w:rsidR="00342ADA" w:rsidRPr="00D650F1" w:rsidRDefault="00342ADA" w:rsidP="00875ADD">
            <w:pPr>
              <w:tabs>
                <w:tab w:val="left" w:pos="540"/>
              </w:tabs>
              <w:spacing w:line="240" w:lineRule="auto"/>
              <w:jc w:val="left"/>
              <w:rPr>
                <w:color w:val="000000" w:themeColor="text1"/>
                <w:sz w:val="20"/>
                <w:szCs w:val="20"/>
              </w:rPr>
            </w:pPr>
            <w:r w:rsidRPr="00D650F1">
              <w:rPr>
                <w:rFonts w:eastAsia="Times New Roman"/>
                <w:color w:val="000000" w:themeColor="text1"/>
                <w:sz w:val="20"/>
                <w:szCs w:val="20"/>
                <w:lang w:val="en-IN" w:eastAsia="en-IN"/>
              </w:rPr>
              <w:t>Alkyl</w:t>
            </w:r>
          </w:p>
        </w:tc>
        <w:tc>
          <w:tcPr>
            <w:tcW w:w="2187" w:type="dxa"/>
          </w:tcPr>
          <w:p w14:paraId="16B65A59" w14:textId="77777777" w:rsidR="00342ADA" w:rsidRPr="00D650F1" w:rsidRDefault="00342ADA" w:rsidP="00875ADD">
            <w:pPr>
              <w:tabs>
                <w:tab w:val="left" w:pos="540"/>
              </w:tabs>
              <w:spacing w:line="240" w:lineRule="auto"/>
              <w:jc w:val="left"/>
              <w:rPr>
                <w:rFonts w:eastAsia="Calibri"/>
                <w:color w:val="000000" w:themeColor="text1"/>
                <w:sz w:val="20"/>
                <w:szCs w:val="20"/>
              </w:rPr>
            </w:pPr>
            <w:r w:rsidRPr="00D650F1">
              <w:rPr>
                <w:rFonts w:eastAsia="Calibri"/>
                <w:color w:val="000000" w:themeColor="text1"/>
                <w:sz w:val="20"/>
                <w:szCs w:val="20"/>
              </w:rPr>
              <w:t>5.81342</w:t>
            </w:r>
          </w:p>
          <w:p w14:paraId="6CB4C612" w14:textId="77777777" w:rsidR="00342ADA" w:rsidRPr="00D650F1" w:rsidRDefault="00342ADA" w:rsidP="00875ADD">
            <w:pPr>
              <w:tabs>
                <w:tab w:val="left" w:pos="540"/>
              </w:tabs>
              <w:spacing w:line="240" w:lineRule="auto"/>
              <w:jc w:val="left"/>
              <w:rPr>
                <w:rFonts w:eastAsia="Calibri"/>
                <w:color w:val="000000" w:themeColor="text1"/>
                <w:sz w:val="20"/>
                <w:szCs w:val="20"/>
              </w:rPr>
            </w:pPr>
            <w:r w:rsidRPr="00D650F1">
              <w:rPr>
                <w:rFonts w:eastAsia="Calibri"/>
                <w:color w:val="000000" w:themeColor="text1"/>
                <w:sz w:val="20"/>
                <w:szCs w:val="20"/>
              </w:rPr>
              <w:t>5.49858</w:t>
            </w:r>
          </w:p>
          <w:p w14:paraId="6E1F9427" w14:textId="77777777" w:rsidR="00342ADA" w:rsidRPr="00D650F1" w:rsidRDefault="00342ADA" w:rsidP="00875ADD">
            <w:pPr>
              <w:tabs>
                <w:tab w:val="left" w:pos="540"/>
              </w:tabs>
              <w:spacing w:line="240" w:lineRule="auto"/>
              <w:jc w:val="left"/>
              <w:rPr>
                <w:rFonts w:eastAsia="Calibri"/>
                <w:color w:val="000000" w:themeColor="text1"/>
                <w:sz w:val="20"/>
                <w:szCs w:val="20"/>
              </w:rPr>
            </w:pPr>
            <w:r w:rsidRPr="00D650F1">
              <w:rPr>
                <w:rFonts w:eastAsia="Calibri"/>
                <w:color w:val="000000" w:themeColor="text1"/>
                <w:sz w:val="20"/>
                <w:szCs w:val="20"/>
              </w:rPr>
              <w:t>4.85262</w:t>
            </w:r>
          </w:p>
          <w:p w14:paraId="4C83807F" w14:textId="77777777" w:rsidR="00342ADA" w:rsidRPr="00D650F1" w:rsidRDefault="00342ADA" w:rsidP="00875ADD">
            <w:pPr>
              <w:tabs>
                <w:tab w:val="left" w:pos="540"/>
              </w:tabs>
              <w:spacing w:line="240" w:lineRule="auto"/>
              <w:jc w:val="left"/>
              <w:rPr>
                <w:rFonts w:eastAsia="Calibri"/>
                <w:color w:val="000000" w:themeColor="text1"/>
                <w:sz w:val="20"/>
                <w:szCs w:val="20"/>
              </w:rPr>
            </w:pPr>
            <w:r w:rsidRPr="00D650F1">
              <w:rPr>
                <w:rFonts w:eastAsia="Calibri"/>
                <w:color w:val="000000" w:themeColor="text1"/>
                <w:sz w:val="20"/>
                <w:szCs w:val="20"/>
              </w:rPr>
              <w:t>2.5843</w:t>
            </w:r>
          </w:p>
          <w:p w14:paraId="6BE56A5E" w14:textId="77777777" w:rsidR="00342ADA" w:rsidRPr="00D650F1" w:rsidRDefault="00342ADA" w:rsidP="00875ADD">
            <w:pPr>
              <w:tabs>
                <w:tab w:val="left" w:pos="540"/>
              </w:tabs>
              <w:spacing w:line="240" w:lineRule="auto"/>
              <w:jc w:val="left"/>
              <w:rPr>
                <w:rFonts w:eastAsia="Calibri"/>
                <w:color w:val="000000" w:themeColor="text1"/>
                <w:sz w:val="20"/>
                <w:szCs w:val="20"/>
              </w:rPr>
            </w:pPr>
            <w:r w:rsidRPr="00D650F1">
              <w:rPr>
                <w:rFonts w:eastAsia="Calibri"/>
                <w:color w:val="000000" w:themeColor="text1"/>
                <w:sz w:val="20"/>
                <w:szCs w:val="20"/>
              </w:rPr>
              <w:t>3.59557</w:t>
            </w:r>
          </w:p>
          <w:p w14:paraId="5B2E7702" w14:textId="77777777" w:rsidR="00342ADA" w:rsidRPr="00D650F1" w:rsidRDefault="00342ADA" w:rsidP="00875ADD">
            <w:pPr>
              <w:tabs>
                <w:tab w:val="left" w:pos="540"/>
              </w:tabs>
              <w:spacing w:line="240" w:lineRule="auto"/>
              <w:jc w:val="left"/>
              <w:rPr>
                <w:rFonts w:eastAsia="Calibri"/>
                <w:color w:val="000000" w:themeColor="text1"/>
                <w:sz w:val="20"/>
                <w:szCs w:val="20"/>
              </w:rPr>
            </w:pPr>
            <w:r w:rsidRPr="00D650F1">
              <w:rPr>
                <w:rFonts w:eastAsia="Calibri"/>
                <w:color w:val="000000" w:themeColor="text1"/>
                <w:sz w:val="20"/>
                <w:szCs w:val="20"/>
              </w:rPr>
              <w:t>3.00242</w:t>
            </w:r>
          </w:p>
          <w:p w14:paraId="20986012" w14:textId="77777777" w:rsidR="00342ADA" w:rsidRPr="00D650F1" w:rsidRDefault="00342ADA" w:rsidP="00875ADD">
            <w:pPr>
              <w:tabs>
                <w:tab w:val="left" w:pos="540"/>
              </w:tabs>
              <w:spacing w:line="240" w:lineRule="auto"/>
              <w:jc w:val="left"/>
              <w:rPr>
                <w:rFonts w:eastAsia="Calibri"/>
                <w:color w:val="000000" w:themeColor="text1"/>
                <w:sz w:val="20"/>
                <w:szCs w:val="20"/>
              </w:rPr>
            </w:pPr>
            <w:r w:rsidRPr="00D650F1">
              <w:rPr>
                <w:rFonts w:eastAsia="Calibri"/>
                <w:color w:val="000000" w:themeColor="text1"/>
                <w:sz w:val="20"/>
                <w:szCs w:val="20"/>
              </w:rPr>
              <w:t>5.44697</w:t>
            </w:r>
          </w:p>
          <w:p w14:paraId="10AA4BF0" w14:textId="77777777" w:rsidR="00342ADA" w:rsidRPr="00D650F1" w:rsidRDefault="00342ADA" w:rsidP="00875ADD">
            <w:pPr>
              <w:tabs>
                <w:tab w:val="left" w:pos="540"/>
              </w:tabs>
              <w:spacing w:line="240" w:lineRule="auto"/>
              <w:jc w:val="left"/>
              <w:rPr>
                <w:rFonts w:eastAsia="Calibri"/>
                <w:color w:val="000000" w:themeColor="text1"/>
                <w:sz w:val="20"/>
                <w:szCs w:val="20"/>
              </w:rPr>
            </w:pPr>
            <w:r w:rsidRPr="00D650F1">
              <w:rPr>
                <w:rFonts w:eastAsia="Calibri"/>
                <w:color w:val="000000" w:themeColor="text1"/>
                <w:sz w:val="20"/>
                <w:szCs w:val="20"/>
              </w:rPr>
              <w:t>4.04817</w:t>
            </w:r>
          </w:p>
          <w:p w14:paraId="702FEEE8" w14:textId="77777777" w:rsidR="00342ADA" w:rsidRPr="00D650F1" w:rsidRDefault="00342ADA" w:rsidP="00875ADD">
            <w:pPr>
              <w:tabs>
                <w:tab w:val="left" w:pos="540"/>
              </w:tabs>
              <w:spacing w:line="240" w:lineRule="auto"/>
              <w:jc w:val="left"/>
              <w:rPr>
                <w:rFonts w:eastAsia="Calibri"/>
                <w:color w:val="000000" w:themeColor="text1"/>
                <w:sz w:val="20"/>
                <w:szCs w:val="20"/>
              </w:rPr>
            </w:pPr>
            <w:r w:rsidRPr="00D650F1">
              <w:rPr>
                <w:rFonts w:eastAsia="Calibri"/>
                <w:color w:val="000000" w:themeColor="text1"/>
                <w:sz w:val="20"/>
                <w:szCs w:val="20"/>
              </w:rPr>
              <w:t>4.6304</w:t>
            </w:r>
          </w:p>
        </w:tc>
      </w:tr>
      <w:tr w:rsidR="00342ADA" w:rsidRPr="00D650F1" w14:paraId="221AA420" w14:textId="77777777" w:rsidTr="00875ADD">
        <w:trPr>
          <w:cantSplit/>
        </w:trPr>
        <w:tc>
          <w:tcPr>
            <w:tcW w:w="648" w:type="dxa"/>
          </w:tcPr>
          <w:p w14:paraId="1A0C79B3"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3.</w:t>
            </w:r>
          </w:p>
        </w:tc>
        <w:tc>
          <w:tcPr>
            <w:tcW w:w="1530" w:type="dxa"/>
          </w:tcPr>
          <w:p w14:paraId="6BA58A30" w14:textId="77777777" w:rsidR="00342ADA" w:rsidRPr="00D650F1" w:rsidRDefault="00342ADA" w:rsidP="00875ADD">
            <w:pPr>
              <w:tabs>
                <w:tab w:val="left" w:pos="540"/>
              </w:tabs>
              <w:spacing w:line="240" w:lineRule="auto"/>
              <w:jc w:val="left"/>
              <w:rPr>
                <w:color w:val="000000" w:themeColor="text1"/>
                <w:sz w:val="20"/>
                <w:szCs w:val="20"/>
              </w:rPr>
            </w:pPr>
            <w:r w:rsidRPr="00D650F1">
              <w:rPr>
                <w:rFonts w:eastAsia="Times New Roman"/>
                <w:color w:val="000000" w:themeColor="text1"/>
                <w:sz w:val="20"/>
                <w:szCs w:val="20"/>
                <w:lang w:val="en-IN" w:eastAsia="en-IN"/>
              </w:rPr>
              <w:t>DB00881</w:t>
            </w:r>
          </w:p>
        </w:tc>
        <w:tc>
          <w:tcPr>
            <w:tcW w:w="1530" w:type="dxa"/>
          </w:tcPr>
          <w:p w14:paraId="48B33C30" w14:textId="77777777" w:rsidR="00342ADA" w:rsidRPr="00D650F1" w:rsidRDefault="00342ADA" w:rsidP="00875ADD">
            <w:pPr>
              <w:tabs>
                <w:tab w:val="left" w:pos="540"/>
              </w:tabs>
              <w:spacing w:line="240" w:lineRule="auto"/>
              <w:jc w:val="left"/>
              <w:rPr>
                <w:color w:val="000000" w:themeColor="text1"/>
                <w:sz w:val="20"/>
                <w:szCs w:val="20"/>
              </w:rPr>
            </w:pPr>
            <w:r w:rsidRPr="00D650F1">
              <w:rPr>
                <w:rFonts w:eastAsia="Times New Roman"/>
                <w:color w:val="000000" w:themeColor="text1"/>
                <w:sz w:val="20"/>
                <w:szCs w:val="20"/>
                <w:lang w:val="en-IN" w:eastAsia="en-IN"/>
              </w:rPr>
              <w:t>Quinapril</w:t>
            </w:r>
          </w:p>
        </w:tc>
        <w:tc>
          <w:tcPr>
            <w:tcW w:w="2790" w:type="dxa"/>
          </w:tcPr>
          <w:p w14:paraId="1F18D4E2"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noProof/>
                <w:color w:val="000000" w:themeColor="text1"/>
                <w:sz w:val="20"/>
                <w:szCs w:val="20"/>
              </w:rPr>
              <w:drawing>
                <wp:inline distT="0" distB="0" distL="0" distR="0" wp14:anchorId="727511DF" wp14:editId="103B9CCA">
                  <wp:extent cx="1435100" cy="1161693"/>
                  <wp:effectExtent l="0" t="0" r="0" b="635"/>
                  <wp:docPr id="9489202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266" cy="1165875"/>
                          </a:xfrm>
                          <a:prstGeom prst="rect">
                            <a:avLst/>
                          </a:prstGeom>
                          <a:noFill/>
                          <a:ln>
                            <a:noFill/>
                          </a:ln>
                        </pic:spPr>
                      </pic:pic>
                    </a:graphicData>
                  </a:graphic>
                </wp:inline>
              </w:drawing>
            </w:r>
          </w:p>
        </w:tc>
        <w:tc>
          <w:tcPr>
            <w:tcW w:w="2070" w:type="dxa"/>
          </w:tcPr>
          <w:p w14:paraId="16AB949B"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SER383</w:t>
            </w:r>
          </w:p>
          <w:p w14:paraId="4F70C21E"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GLN152</w:t>
            </w:r>
          </w:p>
          <w:p w14:paraId="33D3E180"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ARG215</w:t>
            </w:r>
          </w:p>
          <w:p w14:paraId="627EB4DA"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THR347</w:t>
            </w:r>
          </w:p>
          <w:p w14:paraId="31ED08BB"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GLY384</w:t>
            </w:r>
          </w:p>
          <w:p w14:paraId="6D74B93C"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HIS226</w:t>
            </w:r>
          </w:p>
          <w:p w14:paraId="31F321B1"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ALA151</w:t>
            </w:r>
          </w:p>
          <w:p w14:paraId="5760568C" w14:textId="77777777" w:rsidR="00342ADA" w:rsidRPr="00D650F1" w:rsidRDefault="00342ADA" w:rsidP="00875ADD">
            <w:pPr>
              <w:tabs>
                <w:tab w:val="left" w:pos="540"/>
              </w:tabs>
              <w:spacing w:line="240" w:lineRule="auto"/>
              <w:jc w:val="left"/>
              <w:rPr>
                <w:color w:val="000000" w:themeColor="text1"/>
                <w:sz w:val="20"/>
                <w:szCs w:val="20"/>
              </w:rPr>
            </w:pPr>
            <w:r w:rsidRPr="00D650F1">
              <w:rPr>
                <w:rFonts w:eastAsia="Times New Roman"/>
                <w:color w:val="000000" w:themeColor="text1"/>
                <w:sz w:val="20"/>
                <w:szCs w:val="20"/>
                <w:lang w:eastAsia="en-IN"/>
              </w:rPr>
              <w:t>ALA338</w:t>
            </w:r>
          </w:p>
        </w:tc>
        <w:tc>
          <w:tcPr>
            <w:tcW w:w="2700" w:type="dxa"/>
          </w:tcPr>
          <w:p w14:paraId="25E50B22"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Conventional Hydrogen Bond</w:t>
            </w:r>
          </w:p>
          <w:p w14:paraId="5EE8DBC2"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Carbon Hydrogen Bond</w:t>
            </w:r>
          </w:p>
          <w:p w14:paraId="26439B76"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Pi-Cation</w:t>
            </w:r>
          </w:p>
          <w:p w14:paraId="0AAFCC9F"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Pi-Sigma</w:t>
            </w:r>
          </w:p>
          <w:p w14:paraId="15499F92"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Pi-Sigma</w:t>
            </w:r>
          </w:p>
          <w:p w14:paraId="447B532B"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Amide-Pi Stacked</w:t>
            </w:r>
          </w:p>
          <w:p w14:paraId="4A327C20"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Pi-Alkyl</w:t>
            </w:r>
          </w:p>
          <w:p w14:paraId="0DD0B9DC" w14:textId="77777777" w:rsidR="00342ADA" w:rsidRPr="00D650F1" w:rsidRDefault="00342ADA" w:rsidP="00875ADD">
            <w:pPr>
              <w:tabs>
                <w:tab w:val="left" w:pos="540"/>
              </w:tabs>
              <w:spacing w:line="240" w:lineRule="auto"/>
              <w:jc w:val="left"/>
              <w:rPr>
                <w:color w:val="000000" w:themeColor="text1"/>
                <w:sz w:val="20"/>
                <w:szCs w:val="20"/>
              </w:rPr>
            </w:pPr>
            <w:r w:rsidRPr="00D650F1">
              <w:rPr>
                <w:rFonts w:eastAsia="Times New Roman"/>
                <w:color w:val="000000" w:themeColor="text1"/>
                <w:sz w:val="20"/>
                <w:szCs w:val="20"/>
                <w:lang w:eastAsia="en-IN"/>
              </w:rPr>
              <w:t>Pi-Alkyl</w:t>
            </w:r>
          </w:p>
        </w:tc>
        <w:tc>
          <w:tcPr>
            <w:tcW w:w="2187" w:type="dxa"/>
          </w:tcPr>
          <w:p w14:paraId="1B76E56C"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1.66691</w:t>
            </w:r>
          </w:p>
          <w:p w14:paraId="3B4C1210"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2.80758</w:t>
            </w:r>
          </w:p>
          <w:p w14:paraId="705DC1A2"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3.49642</w:t>
            </w:r>
          </w:p>
          <w:p w14:paraId="57DA4B2D"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3.86934</w:t>
            </w:r>
          </w:p>
          <w:p w14:paraId="6C82E9C4"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3.97547</w:t>
            </w:r>
          </w:p>
          <w:p w14:paraId="754EFE09"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5.19707</w:t>
            </w:r>
          </w:p>
          <w:p w14:paraId="72748698" w14:textId="77777777" w:rsidR="00342ADA" w:rsidRPr="00D650F1" w:rsidRDefault="00342ADA" w:rsidP="00875ADD">
            <w:pPr>
              <w:tabs>
                <w:tab w:val="left" w:pos="540"/>
              </w:tabs>
              <w:spacing w:line="240" w:lineRule="auto"/>
              <w:jc w:val="left"/>
              <w:rPr>
                <w:rFonts w:eastAsia="Times New Roman"/>
                <w:color w:val="000000" w:themeColor="text1"/>
                <w:sz w:val="20"/>
                <w:szCs w:val="20"/>
                <w:lang w:eastAsia="en-IN"/>
              </w:rPr>
            </w:pPr>
            <w:r w:rsidRPr="00D650F1">
              <w:rPr>
                <w:rFonts w:eastAsia="Times New Roman"/>
                <w:color w:val="000000" w:themeColor="text1"/>
                <w:sz w:val="20"/>
                <w:szCs w:val="20"/>
                <w:lang w:eastAsia="en-IN"/>
              </w:rPr>
              <w:t>4.74128</w:t>
            </w:r>
          </w:p>
          <w:p w14:paraId="7B5C61A3" w14:textId="77777777" w:rsidR="00342ADA" w:rsidRPr="00D650F1" w:rsidRDefault="00342ADA" w:rsidP="00875ADD">
            <w:pPr>
              <w:tabs>
                <w:tab w:val="left" w:pos="540"/>
              </w:tabs>
              <w:spacing w:line="240" w:lineRule="auto"/>
              <w:jc w:val="left"/>
              <w:rPr>
                <w:color w:val="000000" w:themeColor="text1"/>
                <w:sz w:val="20"/>
                <w:szCs w:val="20"/>
              </w:rPr>
            </w:pPr>
            <w:r w:rsidRPr="00D650F1">
              <w:rPr>
                <w:rFonts w:eastAsia="Times New Roman"/>
                <w:color w:val="000000" w:themeColor="text1"/>
                <w:sz w:val="20"/>
                <w:szCs w:val="20"/>
                <w:lang w:eastAsia="en-IN"/>
              </w:rPr>
              <w:t>4.72298</w:t>
            </w:r>
          </w:p>
        </w:tc>
      </w:tr>
      <w:tr w:rsidR="00342ADA" w:rsidRPr="00D650F1" w14:paraId="4EF13273" w14:textId="77777777" w:rsidTr="00875ADD">
        <w:trPr>
          <w:cantSplit/>
        </w:trPr>
        <w:tc>
          <w:tcPr>
            <w:tcW w:w="648" w:type="dxa"/>
          </w:tcPr>
          <w:p w14:paraId="7317277A"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4.</w:t>
            </w:r>
          </w:p>
        </w:tc>
        <w:tc>
          <w:tcPr>
            <w:tcW w:w="1530" w:type="dxa"/>
          </w:tcPr>
          <w:tbl>
            <w:tblPr>
              <w:tblW w:w="9099" w:type="dxa"/>
              <w:tblInd w:w="7" w:type="dxa"/>
              <w:tblLayout w:type="fixed"/>
              <w:tblLook w:val="04A0" w:firstRow="1" w:lastRow="0" w:firstColumn="1" w:lastColumn="0" w:noHBand="0" w:noVBand="1"/>
            </w:tblPr>
            <w:tblGrid>
              <w:gridCol w:w="805"/>
              <w:gridCol w:w="502"/>
            </w:tblGrid>
            <w:tr w:rsidR="00342ADA" w:rsidRPr="00D650F1" w14:paraId="1415E201" w14:textId="77777777" w:rsidTr="00875ADD">
              <w:trPr>
                <w:trHeight w:val="293"/>
              </w:trPr>
              <w:tc>
                <w:tcPr>
                  <w:tcW w:w="6052" w:type="dxa"/>
                  <w:tcBorders>
                    <w:top w:val="nil"/>
                    <w:left w:val="nil"/>
                    <w:bottom w:val="nil"/>
                    <w:right w:val="nil"/>
                  </w:tcBorders>
                  <w:shd w:val="clear" w:color="auto" w:fill="auto"/>
                  <w:noWrap/>
                  <w:vAlign w:val="bottom"/>
                  <w:hideMark/>
                </w:tcPr>
                <w:p w14:paraId="5A527AF0" w14:textId="77777777" w:rsidR="00342ADA" w:rsidRPr="00D650F1" w:rsidRDefault="00342ADA" w:rsidP="00875ADD">
                  <w:pPr>
                    <w:tabs>
                      <w:tab w:val="left" w:pos="540"/>
                    </w:tabs>
                    <w:spacing w:after="0" w:line="240" w:lineRule="auto"/>
                    <w:jc w:val="left"/>
                    <w:rPr>
                      <w:color w:val="000000" w:themeColor="text1"/>
                      <w:sz w:val="20"/>
                      <w:szCs w:val="20"/>
                    </w:rPr>
                  </w:pPr>
                  <w:r w:rsidRPr="00D650F1">
                    <w:rPr>
                      <w:color w:val="000000" w:themeColor="text1"/>
                      <w:sz w:val="20"/>
                      <w:szCs w:val="20"/>
                    </w:rPr>
                    <w:t>DB00542</w:t>
                  </w:r>
                </w:p>
              </w:tc>
              <w:tc>
                <w:tcPr>
                  <w:tcW w:w="3047" w:type="dxa"/>
                  <w:tcBorders>
                    <w:top w:val="nil"/>
                    <w:left w:val="nil"/>
                    <w:bottom w:val="nil"/>
                    <w:right w:val="nil"/>
                  </w:tcBorders>
                  <w:shd w:val="clear" w:color="auto" w:fill="auto"/>
                  <w:noWrap/>
                  <w:vAlign w:val="bottom"/>
                  <w:hideMark/>
                </w:tcPr>
                <w:p w14:paraId="294340B3" w14:textId="77777777" w:rsidR="00342ADA" w:rsidRPr="00D650F1" w:rsidRDefault="00342ADA" w:rsidP="00875ADD">
                  <w:pPr>
                    <w:tabs>
                      <w:tab w:val="left" w:pos="540"/>
                    </w:tabs>
                    <w:spacing w:after="0" w:line="240" w:lineRule="auto"/>
                    <w:jc w:val="left"/>
                    <w:rPr>
                      <w:color w:val="000000" w:themeColor="text1"/>
                      <w:sz w:val="20"/>
                      <w:szCs w:val="20"/>
                    </w:rPr>
                  </w:pPr>
                </w:p>
              </w:tc>
            </w:tr>
          </w:tbl>
          <w:p w14:paraId="268C0513" w14:textId="77777777" w:rsidR="00342ADA" w:rsidRPr="00D650F1" w:rsidRDefault="00342ADA" w:rsidP="00875ADD">
            <w:pPr>
              <w:tabs>
                <w:tab w:val="left" w:pos="540"/>
              </w:tabs>
              <w:spacing w:line="240" w:lineRule="auto"/>
              <w:jc w:val="left"/>
              <w:rPr>
                <w:color w:val="000000" w:themeColor="text1"/>
                <w:sz w:val="20"/>
                <w:szCs w:val="20"/>
              </w:rPr>
            </w:pPr>
          </w:p>
        </w:tc>
        <w:tc>
          <w:tcPr>
            <w:tcW w:w="1530" w:type="dxa"/>
          </w:tcPr>
          <w:p w14:paraId="64AB7308" w14:textId="77777777" w:rsidR="00342ADA" w:rsidRPr="00D650F1" w:rsidRDefault="00342ADA" w:rsidP="00875ADD">
            <w:pPr>
              <w:tabs>
                <w:tab w:val="left" w:pos="540"/>
              </w:tabs>
              <w:spacing w:line="240" w:lineRule="auto"/>
              <w:jc w:val="left"/>
              <w:rPr>
                <w:color w:val="000000" w:themeColor="text1"/>
                <w:sz w:val="20"/>
                <w:szCs w:val="20"/>
              </w:rPr>
            </w:pPr>
            <w:r w:rsidRPr="00D650F1">
              <w:rPr>
                <w:color w:val="000000" w:themeColor="text1"/>
                <w:sz w:val="20"/>
                <w:szCs w:val="20"/>
              </w:rPr>
              <w:t>Benazepril</w:t>
            </w:r>
          </w:p>
        </w:tc>
        <w:tc>
          <w:tcPr>
            <w:tcW w:w="2790" w:type="dxa"/>
          </w:tcPr>
          <w:p w14:paraId="2068DE8A"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noProof/>
                <w:color w:val="000000" w:themeColor="text1"/>
                <w:sz w:val="20"/>
                <w:szCs w:val="20"/>
              </w:rPr>
              <w:drawing>
                <wp:inline distT="0" distB="0" distL="0" distR="0" wp14:anchorId="59FA9FC3" wp14:editId="7ECFE662">
                  <wp:extent cx="1307790" cy="1143000"/>
                  <wp:effectExtent l="0" t="0" r="6985" b="0"/>
                  <wp:docPr id="10696323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425" cy="1143555"/>
                          </a:xfrm>
                          <a:prstGeom prst="rect">
                            <a:avLst/>
                          </a:prstGeom>
                          <a:noFill/>
                          <a:ln>
                            <a:noFill/>
                          </a:ln>
                        </pic:spPr>
                      </pic:pic>
                    </a:graphicData>
                  </a:graphic>
                </wp:inline>
              </w:drawing>
            </w:r>
          </w:p>
        </w:tc>
        <w:tc>
          <w:tcPr>
            <w:tcW w:w="2070" w:type="dxa"/>
          </w:tcPr>
          <w:p w14:paraId="722E056F"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ALA151</w:t>
            </w:r>
          </w:p>
          <w:p w14:paraId="6A936118"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GLN256</w:t>
            </w:r>
          </w:p>
          <w:p w14:paraId="3300B39B"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 xml:space="preserve">PHE150 </w:t>
            </w:r>
          </w:p>
          <w:p w14:paraId="3CF70BA3"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 xml:space="preserve">ALA151 </w:t>
            </w:r>
          </w:p>
          <w:p w14:paraId="6C864D3F"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 xml:space="preserve">HIS226 </w:t>
            </w:r>
          </w:p>
          <w:p w14:paraId="774E4C57" w14:textId="77777777" w:rsidR="00342ADA" w:rsidRPr="00D650F1" w:rsidRDefault="00342ADA" w:rsidP="00875ADD">
            <w:pPr>
              <w:tabs>
                <w:tab w:val="left" w:pos="540"/>
              </w:tabs>
              <w:spacing w:line="240" w:lineRule="auto"/>
              <w:jc w:val="left"/>
              <w:rPr>
                <w:color w:val="000000" w:themeColor="text1"/>
                <w:sz w:val="20"/>
                <w:szCs w:val="20"/>
              </w:rPr>
            </w:pPr>
            <w:r w:rsidRPr="00D650F1">
              <w:rPr>
                <w:rFonts w:eastAsia="Times New Roman"/>
                <w:color w:val="000000" w:themeColor="text1"/>
                <w:sz w:val="20"/>
                <w:szCs w:val="20"/>
                <w:lang w:val="en-IN" w:eastAsia="en-IN"/>
              </w:rPr>
              <w:t>LEU348</w:t>
            </w:r>
          </w:p>
        </w:tc>
        <w:tc>
          <w:tcPr>
            <w:tcW w:w="2700" w:type="dxa"/>
          </w:tcPr>
          <w:p w14:paraId="11D39986"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Carbon Hydrogen Bond</w:t>
            </w:r>
          </w:p>
          <w:p w14:paraId="7DB55D27"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Carbon Hydrogen Bond</w:t>
            </w:r>
          </w:p>
          <w:p w14:paraId="31C39934"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Pi-Pi T-shaped</w:t>
            </w:r>
          </w:p>
          <w:p w14:paraId="37D9396E"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Alkyl</w:t>
            </w:r>
          </w:p>
          <w:p w14:paraId="237D0D20"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Pi-Alkyl</w:t>
            </w:r>
          </w:p>
          <w:p w14:paraId="0F6D4824" w14:textId="77777777" w:rsidR="00342ADA" w:rsidRPr="00D650F1" w:rsidRDefault="00342ADA" w:rsidP="00875ADD">
            <w:pPr>
              <w:tabs>
                <w:tab w:val="left" w:pos="540"/>
              </w:tabs>
              <w:spacing w:line="240" w:lineRule="auto"/>
              <w:jc w:val="left"/>
              <w:rPr>
                <w:color w:val="000000" w:themeColor="text1"/>
                <w:sz w:val="20"/>
                <w:szCs w:val="20"/>
              </w:rPr>
            </w:pPr>
            <w:r w:rsidRPr="00D650F1">
              <w:rPr>
                <w:rFonts w:eastAsia="Times New Roman"/>
                <w:color w:val="000000" w:themeColor="text1"/>
                <w:sz w:val="20"/>
                <w:szCs w:val="20"/>
                <w:lang w:val="en-IN" w:eastAsia="en-IN"/>
              </w:rPr>
              <w:t>Pi-Alkyl</w:t>
            </w:r>
          </w:p>
        </w:tc>
        <w:tc>
          <w:tcPr>
            <w:tcW w:w="2187" w:type="dxa"/>
          </w:tcPr>
          <w:p w14:paraId="6E753370"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3.03911</w:t>
            </w:r>
          </w:p>
          <w:p w14:paraId="21434FE4"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3.14938</w:t>
            </w:r>
          </w:p>
          <w:p w14:paraId="2E5CAF94"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4.64134</w:t>
            </w:r>
          </w:p>
          <w:p w14:paraId="34C87AC3"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4.13136</w:t>
            </w:r>
          </w:p>
          <w:p w14:paraId="0A1A54F3" w14:textId="77777777" w:rsidR="00342ADA" w:rsidRPr="00D650F1" w:rsidRDefault="00342ADA" w:rsidP="00875ADD">
            <w:pPr>
              <w:tabs>
                <w:tab w:val="left" w:pos="540"/>
              </w:tabs>
              <w:spacing w:line="240" w:lineRule="auto"/>
              <w:jc w:val="left"/>
              <w:rPr>
                <w:rFonts w:eastAsia="Times New Roman"/>
                <w:color w:val="000000" w:themeColor="text1"/>
                <w:sz w:val="20"/>
                <w:szCs w:val="20"/>
                <w:lang w:val="en-IN" w:eastAsia="en-IN"/>
              </w:rPr>
            </w:pPr>
            <w:r w:rsidRPr="00D650F1">
              <w:rPr>
                <w:rFonts w:eastAsia="Times New Roman"/>
                <w:color w:val="000000" w:themeColor="text1"/>
                <w:sz w:val="20"/>
                <w:szCs w:val="20"/>
                <w:lang w:val="en-IN" w:eastAsia="en-IN"/>
              </w:rPr>
              <w:t>4.2179</w:t>
            </w:r>
          </w:p>
          <w:p w14:paraId="2F39940B" w14:textId="77777777" w:rsidR="00342ADA" w:rsidRPr="00D650F1" w:rsidRDefault="00342ADA" w:rsidP="00875ADD">
            <w:pPr>
              <w:tabs>
                <w:tab w:val="left" w:pos="540"/>
              </w:tabs>
              <w:spacing w:line="240" w:lineRule="auto"/>
              <w:jc w:val="left"/>
              <w:rPr>
                <w:color w:val="000000" w:themeColor="text1"/>
                <w:sz w:val="20"/>
                <w:szCs w:val="20"/>
              </w:rPr>
            </w:pPr>
            <w:r w:rsidRPr="00D650F1">
              <w:rPr>
                <w:rFonts w:eastAsia="Times New Roman"/>
                <w:color w:val="000000" w:themeColor="text1"/>
                <w:sz w:val="20"/>
                <w:szCs w:val="20"/>
                <w:lang w:val="en-IN" w:eastAsia="en-IN"/>
              </w:rPr>
              <w:t>5.1776</w:t>
            </w:r>
          </w:p>
        </w:tc>
      </w:tr>
    </w:tbl>
    <w:p w14:paraId="1629586C" w14:textId="77777777" w:rsidR="00342ADA" w:rsidRDefault="00342ADA" w:rsidP="00342ADA">
      <w:pPr>
        <w:spacing w:line="259" w:lineRule="auto"/>
        <w:jc w:val="left"/>
        <w:sectPr w:rsidR="00342ADA" w:rsidSect="00342ADA">
          <w:pgSz w:w="16838" w:h="11906" w:orient="landscape"/>
          <w:pgMar w:top="1440" w:right="1440" w:bottom="1440" w:left="1440" w:header="709" w:footer="709" w:gutter="0"/>
          <w:cols w:space="708"/>
          <w:docGrid w:linePitch="360"/>
        </w:sectPr>
      </w:pPr>
    </w:p>
    <w:p w14:paraId="20C39B9F" w14:textId="695DF44E" w:rsidR="0038214D" w:rsidRPr="00342ADA" w:rsidRDefault="0038214D" w:rsidP="00342ADA">
      <w:pPr>
        <w:pStyle w:val="Heading2"/>
        <w:rPr>
          <w:rFonts w:ascii="Times New Roman" w:hAnsi="Times New Roman" w:cs="Times New Roman"/>
        </w:rPr>
      </w:pPr>
    </w:p>
    <w:sectPr w:rsidR="0038214D" w:rsidRPr="00342A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DA"/>
    <w:rsid w:val="00020C51"/>
    <w:rsid w:val="00235F39"/>
    <w:rsid w:val="00342ADA"/>
    <w:rsid w:val="0038214D"/>
    <w:rsid w:val="00AD7A41"/>
    <w:rsid w:val="00AE732B"/>
    <w:rsid w:val="00CF3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DDD1E"/>
  <w15:chartTrackingRefBased/>
  <w15:docId w15:val="{FCFEF64F-30F7-4F74-80C4-9B9CB6C6C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ADA"/>
    <w:pPr>
      <w:spacing w:line="480" w:lineRule="auto"/>
      <w:jc w:val="both"/>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342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2A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42A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2A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2A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2A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A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A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A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A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2A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42A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2A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2A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2A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A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A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ADA"/>
    <w:rPr>
      <w:rFonts w:eastAsiaTheme="majorEastAsia" w:cstheme="majorBidi"/>
      <w:color w:val="272727" w:themeColor="text1" w:themeTint="D8"/>
    </w:rPr>
  </w:style>
  <w:style w:type="paragraph" w:styleId="Title">
    <w:name w:val="Title"/>
    <w:basedOn w:val="Normal"/>
    <w:next w:val="Normal"/>
    <w:link w:val="TitleChar"/>
    <w:uiPriority w:val="10"/>
    <w:qFormat/>
    <w:rsid w:val="00342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A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A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A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ADA"/>
    <w:pPr>
      <w:spacing w:before="160"/>
      <w:jc w:val="center"/>
    </w:pPr>
    <w:rPr>
      <w:i/>
      <w:iCs/>
      <w:color w:val="404040" w:themeColor="text1" w:themeTint="BF"/>
    </w:rPr>
  </w:style>
  <w:style w:type="character" w:customStyle="1" w:styleId="QuoteChar">
    <w:name w:val="Quote Char"/>
    <w:basedOn w:val="DefaultParagraphFont"/>
    <w:link w:val="Quote"/>
    <w:uiPriority w:val="29"/>
    <w:rsid w:val="00342ADA"/>
    <w:rPr>
      <w:i/>
      <w:iCs/>
      <w:color w:val="404040" w:themeColor="text1" w:themeTint="BF"/>
    </w:rPr>
  </w:style>
  <w:style w:type="paragraph" w:styleId="ListParagraph">
    <w:name w:val="List Paragraph"/>
    <w:basedOn w:val="Normal"/>
    <w:uiPriority w:val="34"/>
    <w:qFormat/>
    <w:rsid w:val="00342ADA"/>
    <w:pPr>
      <w:ind w:left="720"/>
      <w:contextualSpacing/>
    </w:pPr>
  </w:style>
  <w:style w:type="character" w:styleId="IntenseEmphasis">
    <w:name w:val="Intense Emphasis"/>
    <w:basedOn w:val="DefaultParagraphFont"/>
    <w:uiPriority w:val="21"/>
    <w:qFormat/>
    <w:rsid w:val="00342ADA"/>
    <w:rPr>
      <w:i/>
      <w:iCs/>
      <w:color w:val="0F4761" w:themeColor="accent1" w:themeShade="BF"/>
    </w:rPr>
  </w:style>
  <w:style w:type="paragraph" w:styleId="IntenseQuote">
    <w:name w:val="Intense Quote"/>
    <w:basedOn w:val="Normal"/>
    <w:next w:val="Normal"/>
    <w:link w:val="IntenseQuoteChar"/>
    <w:uiPriority w:val="30"/>
    <w:qFormat/>
    <w:rsid w:val="00342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2ADA"/>
    <w:rPr>
      <w:i/>
      <w:iCs/>
      <w:color w:val="0F4761" w:themeColor="accent1" w:themeShade="BF"/>
    </w:rPr>
  </w:style>
  <w:style w:type="character" w:styleId="IntenseReference">
    <w:name w:val="Intense Reference"/>
    <w:basedOn w:val="DefaultParagraphFont"/>
    <w:uiPriority w:val="32"/>
    <w:qFormat/>
    <w:rsid w:val="00342ADA"/>
    <w:rPr>
      <w:b/>
      <w:bCs/>
      <w:smallCaps/>
      <w:color w:val="0F4761" w:themeColor="accent1" w:themeShade="BF"/>
      <w:spacing w:val="5"/>
    </w:rPr>
  </w:style>
  <w:style w:type="paragraph" w:styleId="Caption">
    <w:name w:val="caption"/>
    <w:basedOn w:val="Normal"/>
    <w:next w:val="Normal"/>
    <w:uiPriority w:val="35"/>
    <w:unhideWhenUsed/>
    <w:qFormat/>
    <w:rsid w:val="00342ADA"/>
    <w:pPr>
      <w:spacing w:after="200" w:line="240" w:lineRule="auto"/>
    </w:pPr>
    <w:rPr>
      <w:i/>
      <w:iCs/>
      <w:color w:val="0E2841" w:themeColor="text2"/>
      <w:sz w:val="18"/>
      <w:szCs w:val="18"/>
    </w:rPr>
  </w:style>
  <w:style w:type="table" w:styleId="TableGrid">
    <w:name w:val="Table Grid"/>
    <w:basedOn w:val="TableNormal"/>
    <w:uiPriority w:val="39"/>
    <w:rsid w:val="00342A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342ADA"/>
    <w:pPr>
      <w:spacing w:after="0" w:line="240" w:lineRule="auto"/>
    </w:pPr>
    <w:rPr>
      <w:kern w:val="0"/>
      <w:sz w:val="22"/>
      <w:szCs w:val="22"/>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2135</Words>
  <Characters>12174</Characters>
  <Application>Microsoft Office Word</Application>
  <DocSecurity>0</DocSecurity>
  <Lines>101</Lines>
  <Paragraphs>28</Paragraphs>
  <ScaleCrop>false</ScaleCrop>
  <Company>Springer Nature</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2024-11-18T08:52:00Z</dcterms:created>
  <dcterms:modified xsi:type="dcterms:W3CDTF">2024-11-18T08:52:00Z</dcterms:modified>
</cp:coreProperties>
</file>